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10000 Avalon Boulevard, Suite 1000, Alpharetta, Georgia 30009</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(678) 534-5849</w:t>
      </w:r>
    </w:p>
    <w:p>
      <w:pPr>
        <w:spacing w:after="0" w:line="34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October 28, 2022, Bakkt Holdings, Inc. (the “Company”) issued a press release announcing that, for the three months ended September 30, 2022, the Company will record an impairment loss on goodwill and on certain indefinite-lived intangible assets. A copy of the press release is attached hereto as Exhibit 99.1 and incorporated by reference herein.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Exhibit 99.1,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5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October 28, 2022.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Non-Cash Goodwill and Other Intangible Assets Impairment Charge</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ALPHARETTA, GA – October 28, 2022 </w:t>
      </w:r>
      <w:r>
        <w:rPr>
          <w:rFonts w:ascii="Times New Roman" w:cs="Times New Roman" w:eastAsia="Times New Roman" w:hAnsi="Times New Roman"/>
          <w:sz w:val="18"/>
          <w:szCs w:val="18"/>
          <w:color w:val="auto"/>
        </w:rPr>
        <w:t>– Bakkt Holdings, Inc. (NYSE: BKKT) (the “Company” or “Bakkt”) announced that it completed its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testing of goodwill and other intangible assets as required by Accounting Standards Codification (ASC) 350 “Intangibles Goodwill and Other.” As a result of the testing, the Company will record a partial, non-cash goodwill and other intangible assets impairment charge in the quarter ended September 30, 2022. The Company does not expect the impairment charge to have any impact on future operations, or to affect its liquidity or cash flows from operating activities.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the Company conducted a quantitative test of goodwill and intangible assets for impairment due to the elongated timing for expected cryptoasset product activations and the decline in its market capitalization as of September 30, 2022. As a result of the impairment analysis, it was concluded that the carrying value of the Company’s reporting unit exceeded its market value and the Company will record an estimated impairment loss on goodwill of approximately $1,300-$1,400 million and on certain indefinite-lived intangible assets of approximately $150-$160 million.</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“Despite the challenging market dynamics this year that have negatively impacted our stock price and the pace of partner activations, we remain optimistic about our underlying business. The charge is not reflective of our strong cash position, partner pipeline and diversified product offerings, and we remain excited about our future growth potential,” said Karen Alexander, Bakkt’s Chief Financial Officer.</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previously announced, Bakkt will release its complete third quarter 2022 earnings on Thursday, November 10, 2022, before market open. Management will host a conference call at 9:00 a.m. EST on the same day to review the results and answer questions. Please refer to our earnings announcement press release from October 27, 2022 for details on how to access the live call and for replay information.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conference call will be webcast live and archived on the investor relations section of Bakkt’s corporate website under the ‘Events &amp; Presentations’ section, along with any related earnings materials.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Bakkt is a trusted digital asset platform that enables consumers to buy, sell, store and spend digital assets. Bakkt’s platform, now available through the Bakkt App and to partners, amplifies consumer spending and bolsters loyalty programs, adding value for all key stakeholders within the Bakkt payments and digital assets ecosystem. Launched in 2018, Bakkt is headquartered in Alpharetta, GA. For more information, visit: https://www.bakkt.com/ | Twitter @Bakkt | LinkedIn https://www.linkedin.com/company/bakkt/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Bakkt Holdings, Inc.</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DeVries, Head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Ann.DeVries@bakkt.com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Post, Head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Lauren.Post@bakkt.com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Such statements include, but are not limited to, statements regarding Bakkt’s guidance, plans, objectives, expectations and intentions with respect to future operations, products, services and the application of Bakkt’s available cash,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9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following factors, among others, could cause actual results and the timing of events to differ materially from the anticipated results or other expectations expressed in such forward-looking statements: (i) the impact of the ongoing COVID-19 pandemic; (ii) changes in the markets in which Bakkt competes, including with respect to its competitive landscape, technology evolution or regulatory changes; (iii) changes in the markets that Bakkt targets; (iv) risk that Bakkt may not be able to execute its growth strategies, including identifying and executing acquisitions; (v) risks relating to data security; and (vi) risk that Bakkt may not be able to develop and maintain effective internal controls. The foregoing list of factors is not exhaustive. You should carefully consider the foregoing factors and the other risks and uncertainties described under the heading “Risk Factors” in Bakkt’s filings with the Securities and Exchange Commission, including its most recent Annual Report on Form 10-K and any subsequent Quarterly Reports on Form 10-Q.</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2022-10-28T16:29:15Z</dcterms:created>
  <dcterms:modified xsi:type="dcterms:W3CDTF">2022-10-28T16:29:15Z</dcterms:modified>
</cp:coreProperties>
</file>