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1008380</wp:posOffset>
            </wp:positionH>
            <wp:positionV relativeFrom="page">
              <wp:posOffset>728980</wp:posOffset>
            </wp:positionV>
            <wp:extent cx="553212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2120" cy="5715"/>
                    </a:xfrm>
                    <a:prstGeom prst="rect">
                      <a:avLst/>
                    </a:prstGeom>
                    <a:noFill/>
                  </pic:spPr>
                </pic:pic>
              </a:graphicData>
            </a:graphic>
          </wp:anchor>
        </w:drawing>
        <w:drawing>
          <wp:anchor simplePos="0" relativeHeight="251657728" behindDoc="1" locked="0" layoutInCell="0" allowOverlap="1">
            <wp:simplePos x="0" y="0"/>
            <wp:positionH relativeFrom="page">
              <wp:posOffset>1008380</wp:posOffset>
            </wp:positionH>
            <wp:positionV relativeFrom="page">
              <wp:posOffset>746125</wp:posOffset>
            </wp:positionV>
            <wp:extent cx="55321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32120" cy="5715"/>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2315210</wp:posOffset>
            </wp:positionH>
            <wp:positionV relativeFrom="paragraph">
              <wp:posOffset>47625</wp:posOffset>
            </wp:positionV>
            <wp:extent cx="25317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1745" cy="5715"/>
                    </a:xfrm>
                    <a:prstGeom prst="rect">
                      <a:avLst/>
                    </a:prstGeom>
                    <a:noFill/>
                  </pic:spPr>
                </pic:pic>
              </a:graphicData>
            </a:graphic>
          </wp:anchor>
        </w:drawing>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2315210</wp:posOffset>
            </wp:positionH>
            <wp:positionV relativeFrom="paragraph">
              <wp:posOffset>53340</wp:posOffset>
            </wp:positionV>
            <wp:extent cx="25317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1745" cy="5715"/>
                    </a:xfrm>
                    <a:prstGeom prst="rect">
                      <a:avLst/>
                    </a:prstGeom>
                    <a:noFill/>
                  </pic:spPr>
                </pic:pic>
              </a:graphicData>
            </a:graphic>
          </wp:anchor>
        </w:drawing>
      </w:r>
    </w:p>
    <w:p>
      <w:pPr>
        <w:sectPr>
          <w:pgSz w:w="11900" w:h="16838" w:orient="portrait"/>
          <w:cols w:equalWidth="0" w:num="1">
            <w:col w:w="11300"/>
          </w:cols>
          <w:pgMar w:left="300" w:top="1197"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119" w:lineRule="exact"/>
        <w:rPr>
          <w:sz w:val="24"/>
          <w:szCs w:val="24"/>
          <w:color w:val="auto"/>
        </w:rPr>
      </w:pPr>
    </w:p>
    <w:p>
      <w:pPr>
        <w:jc w:val="center"/>
        <w:ind w:left="1820"/>
        <w:spacing w:after="0"/>
        <w:rPr>
          <w:sz w:val="20"/>
          <w:szCs w:val="20"/>
          <w:color w:val="auto"/>
        </w:rPr>
      </w:pPr>
      <w:r>
        <w:rPr>
          <w:rFonts w:ascii="Times New Roman" w:cs="Times New Roman" w:eastAsia="Times New Roman" w:hAnsi="Times New Roman"/>
          <w:sz w:val="11"/>
          <w:szCs w:val="11"/>
          <w:b w:val="1"/>
          <w:bCs w:val="1"/>
          <w:color w:val="auto"/>
        </w:rPr>
        <w:t>10000 Avalon Boulevard, Suite 1000,</w:t>
      </w:r>
    </w:p>
    <w:p>
      <w:pPr>
        <w:spacing w:after="0" w:line="25" w:lineRule="exact"/>
        <w:rPr>
          <w:sz w:val="24"/>
          <w:szCs w:val="24"/>
          <w:color w:val="auto"/>
        </w:rPr>
      </w:pPr>
    </w:p>
    <w:p>
      <w:pPr>
        <w:jc w:val="center"/>
        <w:ind w:left="1820"/>
        <w:spacing w:after="0"/>
        <w:rPr>
          <w:sz w:val="20"/>
          <w:szCs w:val="20"/>
          <w:color w:val="auto"/>
        </w:rPr>
      </w:pPr>
      <w:r>
        <w:rPr>
          <w:rFonts w:ascii="Times New Roman" w:cs="Times New Roman" w:eastAsia="Times New Roman" w:hAnsi="Times New Roman"/>
          <w:sz w:val="12"/>
          <w:szCs w:val="12"/>
          <w:b w:val="1"/>
          <w:bCs w:val="1"/>
          <w:color w:val="auto"/>
        </w:rPr>
        <w:t>Alpharetta, Georgia</w:t>
      </w:r>
    </w:p>
    <w:p>
      <w:pPr>
        <w:spacing w:after="0" w:line="2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3940"/>
        <w:spacing w:after="0" w:line="216" w:lineRule="auto"/>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7" w:lineRule="exact"/>
        <w:rPr>
          <w:sz w:val="24"/>
          <w:szCs w:val="24"/>
          <w:color w:val="auto"/>
        </w:rPr>
      </w:pPr>
    </w:p>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1" w:lineRule="exact"/>
        <w:rPr>
          <w:sz w:val="24"/>
          <w:szCs w:val="24"/>
          <w:color w:val="auto"/>
        </w:rPr>
      </w:pPr>
    </w:p>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-173355</wp:posOffset>
            </wp:positionH>
            <wp:positionV relativeFrom="paragraph">
              <wp:posOffset>47625</wp:posOffset>
            </wp:positionV>
            <wp:extent cx="25317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1745" cy="5715"/>
                    </a:xfrm>
                    <a:prstGeom prst="rect">
                      <a:avLst/>
                    </a:prstGeom>
                    <a:noFill/>
                  </pic:spPr>
                </pic:pic>
              </a:graphicData>
            </a:graphic>
          </wp:anchor>
        </w:drawing>
      </w:r>
    </w:p>
    <w:p>
      <w:pPr>
        <w:spacing w:after="0" w:line="149" w:lineRule="exact"/>
        <w:rPr>
          <w:sz w:val="24"/>
          <w:szCs w:val="24"/>
          <w:color w:val="auto"/>
        </w:rPr>
      </w:pPr>
    </w:p>
    <w:p>
      <w:pPr>
        <w:jc w:val="center"/>
        <w:ind w:right="3940"/>
        <w:spacing w:after="0"/>
        <w:rPr>
          <w:sz w:val="20"/>
          <w:szCs w:val="20"/>
          <w:color w:val="auto"/>
        </w:rPr>
      </w:pPr>
      <w:r>
        <w:rPr>
          <w:rFonts w:ascii="Times New Roman" w:cs="Times New Roman" w:eastAsia="Times New Roman" w:hAnsi="Times New Roman"/>
          <w:sz w:val="24"/>
          <w:szCs w:val="24"/>
          <w:b w:val="1"/>
          <w:bCs w:val="1"/>
          <w:color w:val="auto"/>
        </w:rPr>
        <w:t>Bakkt Holdings, Inc.</w:t>
      </w:r>
    </w:p>
    <w:p>
      <w:pPr>
        <w:ind w:left="40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-173355</wp:posOffset>
            </wp:positionH>
            <wp:positionV relativeFrom="paragraph">
              <wp:posOffset>48895</wp:posOffset>
            </wp:positionV>
            <wp:extent cx="25317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1745" cy="5715"/>
                    </a:xfrm>
                    <a:prstGeom prst="rect">
                      <a:avLst/>
                    </a:prstGeom>
                    <a:noFill/>
                  </pic:spPr>
                </pic:pic>
              </a:graphicData>
            </a:graphic>
          </wp:anchor>
        </w:drawing>
      </w:r>
    </w:p>
    <w:p>
      <w:pPr>
        <w:spacing w:after="0" w:line="141" w:lineRule="exact"/>
        <w:rPr>
          <w:sz w:val="24"/>
          <w:szCs w:val="24"/>
          <w:color w:val="auto"/>
        </w:rPr>
      </w:pPr>
    </w:p>
    <w:tbl>
      <w:tblPr>
        <w:tblLayout w:type="fixed"/>
        <w:tblInd w:w="1440" w:type="dxa"/>
        <w:tblCellMar>
          <w:top w:w="0" w:type="dxa"/>
          <w:left w:w="0" w:type="dxa"/>
          <w:bottom w:w="0" w:type="dxa"/>
          <w:right w:w="0" w:type="dxa"/>
        </w:tblCellMar>
      </w:tblPr>
      <w:tr>
        <w:trPr>
          <w:trHeight w:val="159"/>
        </w:trPr>
        <w:tc>
          <w:tcPr>
            <w:tcW w:w="2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001-39544</w:t>
            </w:r>
          </w:p>
        </w:tc>
        <w:tc>
          <w:tcPr>
            <w:tcW w:w="2340" w:type="dxa"/>
            <w:vAlign w:val="bottom"/>
          </w:tcPr>
          <w:p>
            <w:pPr>
              <w:jc w:val="center"/>
              <w:ind w:left="1548"/>
              <w:spacing w:after="0"/>
              <w:rPr>
                <w:sz w:val="20"/>
                <w:szCs w:val="20"/>
                <w:color w:val="auto"/>
              </w:rPr>
            </w:pPr>
            <w:r>
              <w:rPr>
                <w:rFonts w:ascii="Times New Roman" w:cs="Times New Roman" w:eastAsia="Times New Roman" w:hAnsi="Times New Roman"/>
                <w:sz w:val="12"/>
                <w:szCs w:val="12"/>
                <w:b w:val="1"/>
                <w:bCs w:val="1"/>
                <w:color w:val="auto"/>
                <w:w w:val="99"/>
              </w:rPr>
              <w:t>98-1550750</w:t>
            </w:r>
          </w:p>
        </w:tc>
      </w:tr>
      <w:tr>
        <w:trPr>
          <w:trHeight w:val="119"/>
        </w:trPr>
        <w:tc>
          <w:tcPr>
            <w:tcW w:w="2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(Commission</w:t>
            </w:r>
          </w:p>
        </w:tc>
        <w:tc>
          <w:tcPr>
            <w:tcW w:w="2340" w:type="dxa"/>
            <w:vAlign w:val="bottom"/>
          </w:tcPr>
          <w:p>
            <w:pPr>
              <w:jc w:val="center"/>
              <w:ind w:left="1548"/>
              <w:spacing w:after="0"/>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2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2340" w:type="dxa"/>
            <w:vAlign w:val="bottom"/>
          </w:tcPr>
          <w:p>
            <w:pPr>
              <w:jc w:val="center"/>
              <w:ind w:left="15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73" w:lineRule="exact"/>
        <w:rPr>
          <w:sz w:val="24"/>
          <w:szCs w:val="24"/>
          <w:color w:val="auto"/>
        </w:rPr>
      </w:pPr>
    </w:p>
    <w:p>
      <w:pPr>
        <w:jc w:val="center"/>
        <w:ind w:left="-1519"/>
        <w:spacing w:after="0"/>
        <w:rPr>
          <w:sz w:val="20"/>
          <w:szCs w:val="20"/>
          <w:color w:val="auto"/>
        </w:rPr>
      </w:pPr>
      <w:r>
        <w:rPr>
          <w:rFonts w:ascii="Times New Roman" w:cs="Times New Roman" w:eastAsia="Times New Roman" w:hAnsi="Times New Roman"/>
          <w:sz w:val="12"/>
          <w:szCs w:val="12"/>
          <w:b w:val="1"/>
          <w:bCs w:val="1"/>
          <w:color w:val="auto"/>
        </w:rPr>
        <w:t>30009</w:t>
      </w:r>
    </w:p>
    <w:p>
      <w:pPr>
        <w:spacing w:after="0" w:line="94" w:lineRule="exact"/>
        <w:rPr>
          <w:sz w:val="24"/>
          <w:szCs w:val="24"/>
          <w:color w:val="auto"/>
        </w:rPr>
      </w:pPr>
    </w:p>
    <w:p>
      <w:pPr>
        <w:jc w:val="right"/>
        <w:ind w:right="2560"/>
        <w:spacing w:after="0"/>
        <w:rPr>
          <w:sz w:val="20"/>
          <w:szCs w:val="20"/>
          <w:color w:val="auto"/>
        </w:rPr>
      </w:pPr>
      <w:r>
        <w:rPr>
          <w:rFonts w:ascii="Times New Roman" w:cs="Times New Roman" w:eastAsia="Times New Roman" w:hAnsi="Times New Roman"/>
          <w:sz w:val="10"/>
          <w:szCs w:val="10"/>
          <w:b w:val="1"/>
          <w:bCs w:val="1"/>
          <w:color w:val="auto"/>
        </w:rPr>
        <w:t>(Zip Code)</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-173355</wp:posOffset>
            </wp:positionH>
            <wp:positionV relativeFrom="paragraph">
              <wp:posOffset>127635</wp:posOffset>
            </wp:positionV>
            <wp:extent cx="25317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1745" cy="571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700" w:space="220"/>
            <w:col w:w="7380"/>
          </w:cols>
          <w:pgMar w:left="300" w:top="1197" w:right="299" w:bottom="1440" w:gutter="0" w:footer="0" w:header="0"/>
          <w:type w:val="continuous"/>
        </w:sectPr>
      </w:pP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300" w:hanging="218"/>
        <w:spacing w:after="0"/>
        <w:tabs>
          <w:tab w:leader="none" w:pos="3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 pursuant to Rule 425 under the Securities Act (17 CFR 230.425)</w:t>
      </w:r>
    </w:p>
    <w:p>
      <w:pPr>
        <w:spacing w:after="0" w:line="51" w:lineRule="exact"/>
        <w:rPr>
          <w:rFonts w:ascii="MS PGothic" w:cs="MS PGothic" w:eastAsia="MS PGothic" w:hAnsi="MS PGothic"/>
          <w:sz w:val="12"/>
          <w:szCs w:val="12"/>
          <w:color w:val="auto"/>
        </w:rPr>
      </w:pPr>
    </w:p>
    <w:p>
      <w:pPr>
        <w:ind w:left="300" w:hanging="218"/>
        <w:spacing w:after="0"/>
        <w:tabs>
          <w:tab w:leader="none" w:pos="3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51" w:lineRule="exact"/>
        <w:rPr>
          <w:rFonts w:ascii="MS PGothic" w:cs="MS PGothic" w:eastAsia="MS PGothic" w:hAnsi="MS PGothic"/>
          <w:sz w:val="12"/>
          <w:szCs w:val="12"/>
          <w:color w:val="auto"/>
        </w:rPr>
      </w:pPr>
    </w:p>
    <w:p>
      <w:pPr>
        <w:ind w:left="300" w:hanging="218"/>
        <w:spacing w:after="0"/>
        <w:tabs>
          <w:tab w:leader="none" w:pos="3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51" w:lineRule="exact"/>
        <w:rPr>
          <w:rFonts w:ascii="MS PGothic" w:cs="MS PGothic" w:eastAsia="MS PGothic" w:hAnsi="MS PGothic"/>
          <w:sz w:val="12"/>
          <w:szCs w:val="12"/>
          <w:color w:val="auto"/>
        </w:rPr>
      </w:pPr>
    </w:p>
    <w:p>
      <w:pPr>
        <w:ind w:left="300" w:hanging="218"/>
        <w:spacing w:after="0"/>
        <w:tabs>
          <w:tab w:leader="none" w:pos="3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5300" w:type="dxa"/>
            <w:vAlign w:val="bottom"/>
            <w:vMerge w:val="restart"/>
          </w:tcPr>
          <w:p>
            <w:pPr>
              <w:ind w:left="208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600" w:type="dxa"/>
            <w:vAlign w:val="bottom"/>
          </w:tcPr>
          <w:p>
            <w:pPr>
              <w:jc w:val="center"/>
              <w:ind w:left="224"/>
              <w:spacing w:after="0"/>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3400" w:type="dxa"/>
            <w:vAlign w:val="bottom"/>
          </w:tcPr>
          <w:p>
            <w:pPr>
              <w:jc w:val="center"/>
              <w:ind w:right="186"/>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17"/>
        </w:trPr>
        <w:tc>
          <w:tcPr>
            <w:tcW w:w="5300" w:type="dxa"/>
            <w:vAlign w:val="bottom"/>
            <w:tcBorders>
              <w:bottom w:val="single" w:sz="8" w:color="auto"/>
            </w:tcBorders>
            <w:vMerge w:val="continue"/>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36"/>
        </w:trPr>
        <w:tc>
          <w:tcPr>
            <w:tcW w:w="5300" w:type="dxa"/>
            <w:vAlign w:val="bottom"/>
          </w:tcPr>
          <w:p>
            <w:pPr>
              <w:jc w:val="center"/>
              <w:ind w:left="444"/>
              <w:spacing w:after="0" w:line="136" w:lineRule="exact"/>
              <w:rPr>
                <w:sz w:val="20"/>
                <w:szCs w:val="20"/>
                <w:color w:val="auto"/>
              </w:rPr>
            </w:pPr>
            <w:r>
              <w:rPr>
                <w:rFonts w:ascii="Times New Roman" w:cs="Times New Roman" w:eastAsia="Times New Roman" w:hAnsi="Times New Roman"/>
                <w:sz w:val="12"/>
                <w:szCs w:val="12"/>
                <w:b w:val="1"/>
                <w:bCs w:val="1"/>
                <w:color w:val="auto"/>
                <w:w w:val="99"/>
              </w:rPr>
              <w:t>Class A Common Stock, par value $0.0001 per share</w:t>
            </w:r>
          </w:p>
        </w:tc>
        <w:tc>
          <w:tcPr>
            <w:tcW w:w="2600" w:type="dxa"/>
            <w:vAlign w:val="bottom"/>
          </w:tcPr>
          <w:p>
            <w:pPr>
              <w:jc w:val="center"/>
              <w:ind w:left="224"/>
              <w:spacing w:after="0" w:line="136" w:lineRule="exact"/>
              <w:rPr>
                <w:sz w:val="20"/>
                <w:szCs w:val="20"/>
                <w:color w:val="auto"/>
              </w:rPr>
            </w:pPr>
            <w:r>
              <w:rPr>
                <w:rFonts w:ascii="Times New Roman" w:cs="Times New Roman" w:eastAsia="Times New Roman" w:hAnsi="Times New Roman"/>
                <w:sz w:val="12"/>
                <w:szCs w:val="12"/>
                <w:b w:val="1"/>
                <w:bCs w:val="1"/>
                <w:color w:val="auto"/>
              </w:rPr>
              <w:t>BKKT</w:t>
            </w:r>
          </w:p>
        </w:tc>
        <w:tc>
          <w:tcPr>
            <w:tcW w:w="3400" w:type="dxa"/>
            <w:vAlign w:val="bottom"/>
          </w:tcPr>
          <w:p>
            <w:pPr>
              <w:jc w:val="center"/>
              <w:ind w:right="186"/>
              <w:spacing w:after="0" w:line="136" w:lineRule="exact"/>
              <w:rPr>
                <w:sz w:val="20"/>
                <w:szCs w:val="20"/>
                <w:color w:val="auto"/>
              </w:rPr>
            </w:pPr>
            <w:r>
              <w:rPr>
                <w:rFonts w:ascii="Times New Roman" w:cs="Times New Roman" w:eastAsia="Times New Roman" w:hAnsi="Times New Roman"/>
                <w:sz w:val="12"/>
                <w:szCs w:val="12"/>
                <w:b w:val="1"/>
                <w:bCs w:val="1"/>
                <w:color w:val="auto"/>
                <w:w w:val="99"/>
              </w:rPr>
              <w:t>The New York Stock Exchange</w:t>
            </w:r>
          </w:p>
        </w:tc>
        <w:tc>
          <w:tcPr>
            <w:tcW w:w="0" w:type="dxa"/>
            <w:vAlign w:val="bottom"/>
          </w:tcPr>
          <w:p>
            <w:pPr>
              <w:spacing w:after="0"/>
              <w:rPr>
                <w:sz w:val="1"/>
                <w:szCs w:val="1"/>
                <w:color w:val="auto"/>
              </w:rPr>
            </w:pPr>
          </w:p>
        </w:tc>
      </w:tr>
      <w:tr>
        <w:trPr>
          <w:trHeight w:val="159"/>
        </w:trPr>
        <w:tc>
          <w:tcPr>
            <w:tcW w:w="5300" w:type="dxa"/>
            <w:vAlign w:val="bottom"/>
          </w:tcPr>
          <w:p>
            <w:pPr>
              <w:jc w:val="center"/>
              <w:ind w:left="444"/>
              <w:spacing w:after="0"/>
              <w:rPr>
                <w:sz w:val="20"/>
                <w:szCs w:val="20"/>
                <w:color w:val="auto"/>
              </w:rPr>
            </w:pPr>
            <w:r>
              <w:rPr>
                <w:rFonts w:ascii="Times New Roman" w:cs="Times New Roman" w:eastAsia="Times New Roman" w:hAnsi="Times New Roman"/>
                <w:sz w:val="12"/>
                <w:szCs w:val="12"/>
                <w:b w:val="1"/>
                <w:bCs w:val="1"/>
                <w:color w:val="auto"/>
                <w:w w:val="99"/>
              </w:rPr>
              <w:t>Warrants to purchase Class A Common Stock</w:t>
            </w:r>
          </w:p>
        </w:tc>
        <w:tc>
          <w:tcPr>
            <w:tcW w:w="2600" w:type="dxa"/>
            <w:vAlign w:val="bottom"/>
          </w:tcPr>
          <w:p>
            <w:pPr>
              <w:jc w:val="center"/>
              <w:ind w:left="224"/>
              <w:spacing w:after="0"/>
              <w:rPr>
                <w:sz w:val="20"/>
                <w:szCs w:val="20"/>
                <w:color w:val="auto"/>
              </w:rPr>
            </w:pPr>
            <w:r>
              <w:rPr>
                <w:rFonts w:ascii="Times New Roman" w:cs="Times New Roman" w:eastAsia="Times New Roman" w:hAnsi="Times New Roman"/>
                <w:sz w:val="12"/>
                <w:szCs w:val="12"/>
                <w:b w:val="1"/>
                <w:bCs w:val="1"/>
                <w:color w:val="auto"/>
                <w:w w:val="99"/>
              </w:rPr>
              <w:t>BKKT WS</w:t>
            </w:r>
          </w:p>
        </w:tc>
        <w:tc>
          <w:tcPr>
            <w:tcW w:w="3400" w:type="dxa"/>
            <w:vAlign w:val="bottom"/>
          </w:tcPr>
          <w:p>
            <w:pPr>
              <w:jc w:val="center"/>
              <w:ind w:right="186"/>
              <w:spacing w:after="0"/>
              <w:rPr>
                <w:sz w:val="20"/>
                <w:szCs w:val="20"/>
                <w:color w:val="auto"/>
              </w:rPr>
            </w:pPr>
            <w:r>
              <w:rPr>
                <w:rFonts w:ascii="Times New Roman" w:cs="Times New Roman" w:eastAsia="Times New Roman" w:hAnsi="Times New Roman"/>
                <w:sz w:val="12"/>
                <w:szCs w:val="12"/>
                <w:b w:val="1"/>
                <w:bCs w:val="1"/>
                <w:color w:val="auto"/>
                <w:w w:val="99"/>
              </w:rPr>
              <w:t>The New York Stock Exchange</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1" w:lineRule="exact"/>
        <w:rPr>
          <w:sz w:val="24"/>
          <w:szCs w:val="24"/>
          <w:color w:val="auto"/>
        </w:rPr>
      </w:pPr>
    </w:p>
    <w:p>
      <w:pPr>
        <w:ind w:right="100"/>
        <w:spacing w:after="0" w:line="15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780415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38735</wp:posOffset>
            </wp:positionV>
            <wp:extent cx="55321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2120" cy="571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55880</wp:posOffset>
            </wp:positionV>
            <wp:extent cx="55321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2120" cy="5715"/>
                    </a:xfrm>
                    <a:prstGeom prst="rect">
                      <a:avLst/>
                    </a:prstGeom>
                    <a:noFill/>
                  </pic:spPr>
                </pic:pic>
              </a:graphicData>
            </a:graphic>
          </wp:anchor>
        </w:drawing>
      </w:r>
    </w:p>
    <w:p>
      <w:pPr>
        <w:sectPr>
          <w:pgSz w:w="11900" w:h="16838" w:orient="portrait"/>
          <w:cols w:equalWidth="0" w:num="1">
            <w:col w:w="11300"/>
          </w:cols>
          <w:pgMar w:left="300" w:top="1197" w:right="299" w:bottom="1440" w:gutter="0" w:footer="0" w:header="0"/>
          <w:type w:val="continuous"/>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Conditions.</w:t>
      </w:r>
    </w:p>
    <w:p>
      <w:pPr>
        <w:spacing w:after="0" w:line="127"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2"/>
          <w:szCs w:val="12"/>
          <w:color w:val="auto"/>
        </w:rPr>
        <w:t>On November 10, 2022, Bakkt Holdings, Inc. (the “Company”) issued a press release regarding the Company’s results for the quarter ended September 30, 2022. In addition, the Company will be using a slide presentation during its earnings conference call. Copies of the press release and the slide presentation are attached hereto as Exhibit 99.1 and 99.2, respectively, and incorporated herein by reference.</w:t>
      </w:r>
    </w:p>
    <w:p>
      <w:pPr>
        <w:spacing w:after="0" w:line="102" w:lineRule="exact"/>
        <w:rPr>
          <w:sz w:val="20"/>
          <w:szCs w:val="20"/>
          <w:color w:val="auto"/>
        </w:rPr>
      </w:pPr>
    </w:p>
    <w:p>
      <w:pPr>
        <w:jc w:val="both"/>
        <w:ind w:firstLine="432"/>
        <w:spacing w:after="0" w:line="221" w:lineRule="auto"/>
        <w:rPr>
          <w:sz w:val="20"/>
          <w:szCs w:val="20"/>
          <w:color w:val="auto"/>
        </w:rPr>
      </w:pPr>
      <w:r>
        <w:rPr>
          <w:rFonts w:ascii="Times New Roman" w:cs="Times New Roman" w:eastAsia="Times New Roman" w:hAnsi="Times New Roman"/>
          <w:sz w:val="12"/>
          <w:szCs w:val="12"/>
          <w:color w:val="auto"/>
        </w:rPr>
        <w:t>The information in this Item 2.02, including Exhibit 99.1 and Exhibit 99.2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forth by specific reference in such filing.</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provided in Item 2.02 of this Current Report on Form 8-K is incorporated in this Item 7.01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Forward-Looking Statements</w:t>
      </w:r>
    </w:p>
    <w:p>
      <w:pPr>
        <w:spacing w:after="0" w:line="125" w:lineRule="exact"/>
        <w:rPr>
          <w:sz w:val="20"/>
          <w:szCs w:val="20"/>
          <w:color w:val="auto"/>
        </w:rPr>
      </w:pPr>
    </w:p>
    <w:p>
      <w:pPr>
        <w:jc w:val="both"/>
        <w:ind w:firstLine="432"/>
        <w:spacing w:after="0" w:line="221"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Section 27A of the Securities Act of 1933, as amended, and Section 21E of the Securities Exchange Act of 1934, as amended. Such statements include, but are not limited to, statements regarding the closing of the acquisition of all of the membership interests of Apex Crypto and the resulting impacts from that acquisition, and Bakkt’s plans, objectives,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expectations and intentions with respect to future operations, products, services, the benefits of the combined company’s operations, anticipated synergies, the expected timing of the transaction, post-closing commercial arrangements, and the timing and amounts of consideration that Bakkt may pay in the Acquisition,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 Report on Form 8-K to reflect events or circumstances after the date hereof or to reflect new information or the occurrence of unanticipated events.</w:t>
      </w:r>
    </w:p>
    <w:p>
      <w:pPr>
        <w:spacing w:after="0" w:line="111" w:lineRule="exact"/>
        <w:rPr>
          <w:sz w:val="20"/>
          <w:szCs w:val="20"/>
          <w:color w:val="auto"/>
        </w:rPr>
      </w:pPr>
    </w:p>
    <w:p>
      <w:pPr>
        <w:jc w:val="both"/>
        <w:ind w:firstLine="432"/>
        <w:spacing w:after="0" w:line="221" w:lineRule="auto"/>
        <w:rPr>
          <w:sz w:val="20"/>
          <w:szCs w:val="20"/>
          <w:color w:val="auto"/>
        </w:rPr>
      </w:pPr>
      <w:r>
        <w:rPr>
          <w:rFonts w:ascii="Times New Roman" w:cs="Times New Roman" w:eastAsia="Times New Roman" w:hAnsi="Times New Roman"/>
          <w:sz w:val="12"/>
          <w:szCs w:val="12"/>
          <w:color w:val="auto"/>
        </w:rPr>
        <w:t>The following factors, among others, could cause actual results and the timing of events to differ materially from the anticipated results or other expectations expressed in such forward-looking statements: (i) Bakkt and Apex Fintech Solutions being unable to obtain the necessary regulatory approvals and/or otherwise fail to satisfy all closing conditions related to the acquisitions of all of the membership interests of Apex Crypto and successfully integrating</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the acquired business and employees; (ii) the impact of the ongoing COVID-19 pandemic; (iii) changes in the markets in which Bakkt competes, including with respect to its competitive landscape, technology evolution or regulatory changes; (iv) changes in the markets that Bakkt targets; (v) risk that Bakkt may not be able to execute its growth strategies, including identifying and executing acquisitions; (vi) risks relating to data security; and (vii) the companies being unable to obtain the necessary regulatory approvals or otherwise fail to satisfy all closing conditions. The foregoing list of factors is not exhaustive. You should carefully consider the foregoing factors and the other risks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uncertainties described under the heading “Risk Factors” in Bakkt’s filings with the Securities and Exchange Commission, including its most recent Annual Report on Form 10-K and any subsequent Quarterly Reports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870585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4" w:right="299" w:bottom="1440" w:gutter="0" w:footer="0" w:header="0"/>
        </w:sectPr>
      </w:pPr>
    </w:p>
    <w:bookmarkStart w:id="2" w:name="page3"/>
    <w:bookmarkEnd w:id="2"/>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Exhibits</w:t>
      </w:r>
    </w:p>
    <w:p>
      <w:pPr>
        <w:spacing w:after="0" w:line="184" w:lineRule="exact"/>
        <w:rPr>
          <w:sz w:val="20"/>
          <w:szCs w:val="20"/>
          <w:color w:val="auto"/>
        </w:rPr>
      </w:pPr>
    </w:p>
    <w:p>
      <w:pPr>
        <w:jc w:val="right"/>
        <w:ind w:right="3139"/>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Exhibit No.</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13335</wp:posOffset>
            </wp:positionV>
            <wp:extent cx="70980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5715"/>
                    </a:xfrm>
                    <a:prstGeom prst="rect">
                      <a:avLst/>
                    </a:prstGeom>
                    <a:noFill/>
                  </pic:spPr>
                </pic:pic>
              </a:graphicData>
            </a:graphic>
          </wp:anchor>
        </w:drawing>
      </w:r>
    </w:p>
    <w:p>
      <w:pPr>
        <w:sectPr>
          <w:pgSz w:w="11900" w:h="16838" w:orient="portrait"/>
          <w:cols w:equalWidth="0" w:num="1">
            <w:col w:w="10159"/>
          </w:cols>
          <w:pgMar w:left="300" w:top="1124" w:right="1440" w:bottom="1440" w:gutter="0" w:footer="0" w:header="0"/>
        </w:sectPr>
      </w:pPr>
    </w:p>
    <w:p>
      <w:pPr>
        <w:spacing w:after="0" w:line="3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color w:val="auto"/>
        </w:rPr>
        <w:t>99.1</w:t>
      </w:r>
    </w:p>
    <w:p>
      <w:pPr>
        <w:spacing w:after="0" w:line="4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color w:val="auto"/>
        </w:rPr>
        <w:t>99.2</w:t>
      </w:r>
    </w:p>
    <w:p>
      <w:pPr>
        <w:spacing w:after="0" w:line="3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Press release issued by Bakkt Holdings, Inc. on November 10,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Bakkt Holdings, Inc. presentation dated November 10,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460" w:space="720"/>
            <w:col w:w="7979"/>
          </w:cols>
          <w:pgMar w:left="300" w:top="1124" w:right="1440"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124" w:right="1440" w:bottom="1440" w:gutter="0" w:footer="0" w:header="0"/>
          <w:type w:val="continuous"/>
        </w:sectPr>
      </w:pPr>
    </w:p>
    <w:bookmarkStart w:id="3" w:name="page4"/>
    <w:bookmarkEnd w:id="3"/>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November 10, 2022</w:t>
      </w:r>
    </w:p>
    <w:p>
      <w:pPr>
        <w:spacing w:after="0" w:line="17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b w:val="1"/>
          <w:bCs w:val="1"/>
          <w:color w:val="auto"/>
        </w:rPr>
        <w:t>BAKKT HOLDINGS, INC.</w:t>
      </w:r>
    </w:p>
    <w:p>
      <w:pPr>
        <w:spacing w:after="0" w:line="172" w:lineRule="exact"/>
        <w:rPr>
          <w:sz w:val="20"/>
          <w:szCs w:val="20"/>
          <w:color w:val="auto"/>
        </w:rPr>
      </w:pPr>
    </w:p>
    <w:tbl>
      <w:tblPr>
        <w:tblLayout w:type="fixed"/>
        <w:tblInd w:w="5820" w:type="dxa"/>
        <w:tblCellMar>
          <w:top w:w="0" w:type="dxa"/>
          <w:left w:w="0" w:type="dxa"/>
          <w:bottom w:w="0" w:type="dxa"/>
          <w:right w:w="0" w:type="dxa"/>
        </w:tblCellMar>
      </w:tblPr>
      <w:tr>
        <w:trPr>
          <w:trHeight w:val="155"/>
        </w:trPr>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By:</w:t>
            </w:r>
          </w:p>
        </w:tc>
        <w:tc>
          <w:tcPr>
            <w:tcW w:w="4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/s/ Marc D'Annunzio</w:t>
            </w:r>
          </w:p>
        </w:tc>
      </w:tr>
      <w:tr>
        <w:trPr>
          <w:trHeight w:val="140"/>
        </w:trPr>
        <w:tc>
          <w:tcPr>
            <w:tcW w:w="320" w:type="dxa"/>
            <w:vAlign w:val="bottom"/>
          </w:tcPr>
          <w:p>
            <w:pPr>
              <w:spacing w:after="0"/>
              <w:rPr>
                <w:sz w:val="12"/>
                <w:szCs w:val="1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Name:</w:t>
            </w:r>
          </w:p>
        </w:tc>
        <w:tc>
          <w:tcPr>
            <w:tcW w:w="42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Marc D’Annunzio</w:t>
            </w:r>
          </w:p>
        </w:tc>
      </w:tr>
      <w:tr>
        <w:trPr>
          <w:trHeight w:val="155"/>
        </w:trPr>
        <w:tc>
          <w:tcPr>
            <w:tcW w:w="32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Title:</w:t>
            </w:r>
          </w:p>
        </w:tc>
        <w:tc>
          <w:tcPr>
            <w:tcW w:w="42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General Counsel and Secretary</w:t>
            </w:r>
          </w:p>
        </w:tc>
      </w:tr>
    </w:tbl>
    <w:p>
      <w:pPr>
        <w:sectPr>
          <w:pgSz w:w="11900" w:h="16838" w:orient="portrait"/>
          <w:cols w:equalWidth="0" w:num="1">
            <w:col w:w="11100"/>
          </w:cols>
          <w:pgMar w:left="300" w:top="980" w:right="49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13"/>
          <w:szCs w:val="13"/>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
        <w:spacing w:after="0"/>
        <w:rPr>
          <w:sz w:val="20"/>
          <w:szCs w:val="20"/>
          <w:color w:val="auto"/>
        </w:rPr>
      </w:pPr>
      <w:r>
        <w:rPr>
          <w:rFonts w:ascii="Calibri" w:cs="Calibri" w:eastAsia="Calibri" w:hAnsi="Calibri"/>
          <w:sz w:val="14"/>
          <w:szCs w:val="14"/>
          <w:b w:val="1"/>
          <w:bCs w:val="1"/>
          <w:color w:val="auto"/>
        </w:rPr>
        <w:t>Bakkt Reports Third Quarter 2022 Results</w:t>
      </w:r>
    </w:p>
    <w:p>
      <w:pPr>
        <w:spacing w:after="0" w:line="107" w:lineRule="exact"/>
        <w:rPr>
          <w:sz w:val="20"/>
          <w:szCs w:val="20"/>
          <w:color w:val="auto"/>
        </w:rPr>
      </w:pPr>
    </w:p>
    <w:p>
      <w:pPr>
        <w:jc w:val="center"/>
        <w:ind w:right="-7"/>
        <w:spacing w:after="0"/>
        <w:rPr>
          <w:sz w:val="20"/>
          <w:szCs w:val="20"/>
          <w:color w:val="auto"/>
        </w:rPr>
      </w:pPr>
      <w:r>
        <w:rPr>
          <w:rFonts w:ascii="Calibri" w:cs="Calibri" w:eastAsia="Calibri" w:hAnsi="Calibri"/>
          <w:sz w:val="14"/>
          <w:szCs w:val="14"/>
          <w:i w:val="1"/>
          <w:iCs w:val="1"/>
          <w:color w:val="auto"/>
        </w:rPr>
        <w:t>Quarterly net revenue of $12.9 million, increased 41% year over year</w:t>
      </w:r>
    </w:p>
    <w:p>
      <w:pPr>
        <w:spacing w:after="0" w:line="99" w:lineRule="exact"/>
        <w:rPr>
          <w:sz w:val="20"/>
          <w:szCs w:val="20"/>
          <w:color w:val="auto"/>
        </w:rPr>
      </w:pPr>
    </w:p>
    <w:p>
      <w:pPr>
        <w:jc w:val="center"/>
        <w:ind w:right="-7"/>
        <w:spacing w:after="0"/>
        <w:rPr>
          <w:sz w:val="20"/>
          <w:szCs w:val="20"/>
          <w:color w:val="auto"/>
        </w:rPr>
      </w:pPr>
      <w:r>
        <w:rPr>
          <w:rFonts w:ascii="Calibri" w:cs="Calibri" w:eastAsia="Calibri" w:hAnsi="Calibri"/>
          <w:sz w:val="14"/>
          <w:szCs w:val="14"/>
          <w:i w:val="1"/>
          <w:iCs w:val="1"/>
          <w:color w:val="auto"/>
        </w:rPr>
        <w:t>Strong customer actvity with digital asset conversion volume up 73% year over year</w:t>
      </w:r>
    </w:p>
    <w:p>
      <w:pPr>
        <w:spacing w:after="0" w:line="108" w:lineRule="exact"/>
        <w:rPr>
          <w:sz w:val="20"/>
          <w:szCs w:val="20"/>
          <w:color w:val="auto"/>
        </w:rPr>
      </w:pPr>
    </w:p>
    <w:p>
      <w:pPr>
        <w:jc w:val="center"/>
        <w:ind w:right="-7"/>
        <w:spacing w:after="0"/>
        <w:rPr>
          <w:sz w:val="20"/>
          <w:szCs w:val="20"/>
          <w:color w:val="auto"/>
        </w:rPr>
      </w:pPr>
      <w:r>
        <w:rPr>
          <w:rFonts w:ascii="Calibri" w:cs="Calibri" w:eastAsia="Calibri" w:hAnsi="Calibri"/>
          <w:sz w:val="14"/>
          <w:szCs w:val="14"/>
          <w:i w:val="1"/>
          <w:iCs w:val="1"/>
          <w:color w:val="auto"/>
        </w:rPr>
        <w:t>Recently announced signing of defnitve agreement to acquire Apex Crypto. Acquisiton is expected to signifcantly expand client vertcals and scale</w:t>
      </w:r>
    </w:p>
    <w:p>
      <w:pPr>
        <w:spacing w:after="0" w:line="109" w:lineRule="exact"/>
        <w:rPr>
          <w:sz w:val="20"/>
          <w:szCs w:val="20"/>
          <w:color w:val="auto"/>
        </w:rPr>
      </w:pPr>
    </w:p>
    <w:p>
      <w:pPr>
        <w:jc w:val="center"/>
        <w:ind w:right="-7"/>
        <w:spacing w:after="0"/>
        <w:rPr>
          <w:sz w:val="20"/>
          <w:szCs w:val="20"/>
          <w:color w:val="auto"/>
        </w:rPr>
      </w:pPr>
      <w:r>
        <w:rPr>
          <w:rFonts w:ascii="Calibri" w:cs="Calibri" w:eastAsia="Calibri" w:hAnsi="Calibri"/>
          <w:sz w:val="14"/>
          <w:szCs w:val="14"/>
          <w:i w:val="1"/>
          <w:iCs w:val="1"/>
          <w:color w:val="auto"/>
        </w:rPr>
        <w:t>Available cash and other liquid assets</w:t>
      </w:r>
      <w:r>
        <w:rPr>
          <w:rFonts w:ascii="Calibri" w:cs="Calibri" w:eastAsia="Calibri" w:hAnsi="Calibri"/>
          <w:sz w:val="17"/>
          <w:szCs w:val="17"/>
          <w:b w:val="1"/>
          <w:bCs w:val="1"/>
          <w:i w:val="1"/>
          <w:iCs w:val="1"/>
          <w:color w:val="auto"/>
          <w:vertAlign w:val="superscript"/>
        </w:rPr>
        <w:t>1</w:t>
      </w:r>
      <w:r>
        <w:rPr>
          <w:rFonts w:ascii="Calibri" w:cs="Calibri" w:eastAsia="Calibri" w:hAnsi="Calibri"/>
          <w:sz w:val="14"/>
          <w:szCs w:val="14"/>
          <w:i w:val="1"/>
          <w:iCs w:val="1"/>
          <w:color w:val="auto"/>
        </w:rPr>
        <w:t xml:space="preserve"> of over $273.7 million provides signifcant growth capital</w:t>
      </w:r>
    </w:p>
    <w:p>
      <w:pPr>
        <w:spacing w:after="0" w:line="216"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auto"/>
        </w:rPr>
        <w:t xml:space="preserve">ALPHARETTA, GA – November 10, 2022 </w:t>
      </w:r>
      <w:r>
        <w:rPr>
          <w:rFonts w:ascii="Calibri" w:cs="Calibri" w:eastAsia="Calibri" w:hAnsi="Calibri"/>
          <w:sz w:val="13"/>
          <w:szCs w:val="13"/>
          <w:color w:val="auto"/>
        </w:rPr>
        <w:t>– Bakkt Holdings, Inc. (“Bakkt”) (NYSE: BKKT) announced its fnancial and operatonal results for the quarter ended September 30, 2022.</w:t>
      </w:r>
    </w:p>
    <w:p>
      <w:pPr>
        <w:spacing w:after="0" w:line="104" w:lineRule="exact"/>
        <w:rPr>
          <w:sz w:val="20"/>
          <w:szCs w:val="20"/>
          <w:color w:val="auto"/>
        </w:rPr>
      </w:pPr>
    </w:p>
    <w:p>
      <w:pPr>
        <w:ind w:left="8" w:right="100"/>
        <w:spacing w:after="0" w:line="251" w:lineRule="auto"/>
        <w:rPr>
          <w:sz w:val="20"/>
          <w:szCs w:val="20"/>
          <w:color w:val="auto"/>
        </w:rPr>
      </w:pPr>
      <w:r>
        <w:rPr>
          <w:rFonts w:ascii="Calibri" w:cs="Calibri" w:eastAsia="Calibri" w:hAnsi="Calibri"/>
          <w:sz w:val="13"/>
          <w:szCs w:val="13"/>
          <w:color w:val="auto"/>
        </w:rPr>
        <w:t>“We are pleased with the momentum we are building with net revenue up 41% year-over-year and digital asset conversion volumes up 73% year-over-year” said Gavin Michael, President and CEO. “Our focus on executon is paying of and we are proud to have inital actvatons with our crypto capabilites. We are working closely with our partners to bring even more of them to market in the near-term. We are thrilled about the signing of the acquisiton of Apex Crypto, which we expect will accelerate our growth plans post-close as it will signifcantly expand our client vertcals and cryptocurrency product ofering. We believe that Apex Crypto will be highly complementary with our platorm and the acquisiton will ultmately help us deliver long-term sustainable value for our partners, customers and shareholders.”</w:t>
      </w:r>
    </w:p>
    <w:p>
      <w:pPr>
        <w:spacing w:after="0" w:line="200" w:lineRule="exact"/>
        <w:rPr>
          <w:sz w:val="20"/>
          <w:szCs w:val="20"/>
          <w:color w:val="auto"/>
        </w:rPr>
      </w:pPr>
    </w:p>
    <w:p>
      <w:pPr>
        <w:spacing w:after="0" w:line="313"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auto"/>
        </w:rPr>
        <w:t>Recent Strategic Highlights</w:t>
      </w:r>
    </w:p>
    <w:p>
      <w:pPr>
        <w:spacing w:after="0" w:line="14" w:lineRule="exact"/>
        <w:rPr>
          <w:sz w:val="20"/>
          <w:szCs w:val="20"/>
          <w:color w:val="auto"/>
        </w:rPr>
      </w:pPr>
    </w:p>
    <w:p>
      <w:pPr>
        <w:ind w:left="428" w:right="40" w:hanging="212"/>
        <w:spacing w:after="0" w:line="248" w:lineRule="auto"/>
        <w:tabs>
          <w:tab w:leader="none" w:pos="423" w:val="left"/>
        </w:tabs>
        <w:numPr>
          <w:ilvl w:val="0"/>
          <w:numId w:val="2"/>
        </w:numPr>
        <w:rPr>
          <w:rFonts w:ascii="Calibri" w:cs="Calibri" w:eastAsia="Calibri" w:hAnsi="Calibri"/>
          <w:sz w:val="13"/>
          <w:szCs w:val="13"/>
          <w:color w:val="auto"/>
        </w:rPr>
      </w:pPr>
      <w:r>
        <w:rPr>
          <w:rFonts w:ascii="Calibri" w:cs="Calibri" w:eastAsia="Calibri" w:hAnsi="Calibri"/>
          <w:sz w:val="13"/>
          <w:szCs w:val="13"/>
          <w:b w:val="1"/>
          <w:bCs w:val="1"/>
          <w:color w:val="auto"/>
        </w:rPr>
        <w:t xml:space="preserve">Acquisiton of Apex Crypto – </w:t>
      </w:r>
      <w:r>
        <w:rPr>
          <w:rFonts w:ascii="Calibri" w:cs="Calibri" w:eastAsia="Calibri" w:hAnsi="Calibri"/>
          <w:sz w:val="13"/>
          <w:szCs w:val="13"/>
          <w:color w:val="auto"/>
        </w:rPr>
        <w:t>We announced our signing of a defnitve agreement to acquire Apex Crypto from Apex Fintech Solutons. Once closed, we expect the acquisiton will signifcantly bolster</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our cryptocurrency product ofering and expand our footprint into additonal client vertcals including providing support for broker-dealers, fntechs, trading app companies, and neo-banks. The purchase agreement provides for an aggregate potental consideraton paid by Bakkt of up to $200 million through a mix of $55 million of cash and up to $145 million of stock and seller notes ted to the successful achievement of fnancial growth targets through 2025. The transacton is expected to close in the frst half of 2023, subject to required regulatory approvals.</w:t>
      </w:r>
    </w:p>
    <w:p>
      <w:pPr>
        <w:spacing w:after="0" w:line="98" w:lineRule="exact"/>
        <w:rPr>
          <w:rFonts w:ascii="Calibri" w:cs="Calibri" w:eastAsia="Calibri" w:hAnsi="Calibri"/>
          <w:sz w:val="13"/>
          <w:szCs w:val="13"/>
          <w:color w:val="auto"/>
        </w:rPr>
      </w:pPr>
    </w:p>
    <w:p>
      <w:pPr>
        <w:ind w:left="428" w:hanging="212"/>
        <w:spacing w:after="0"/>
        <w:tabs>
          <w:tab w:leader="none" w:pos="428" w:val="left"/>
        </w:tabs>
        <w:numPr>
          <w:ilvl w:val="0"/>
          <w:numId w:val="2"/>
        </w:numPr>
        <w:rPr>
          <w:rFonts w:ascii="Calibri" w:cs="Calibri" w:eastAsia="Calibri" w:hAnsi="Calibri"/>
          <w:sz w:val="13"/>
          <w:szCs w:val="13"/>
          <w:color w:val="auto"/>
        </w:rPr>
      </w:pPr>
      <w:r>
        <w:rPr>
          <w:rFonts w:ascii="Calibri" w:cs="Calibri" w:eastAsia="Calibri" w:hAnsi="Calibri"/>
          <w:sz w:val="13"/>
          <w:szCs w:val="13"/>
          <w:b w:val="1"/>
          <w:bCs w:val="1"/>
          <w:color w:val="auto"/>
        </w:rPr>
        <w:t xml:space="preserve">Crypto Platorm: Global Payments – </w:t>
      </w:r>
      <w:r>
        <w:rPr>
          <w:rFonts w:ascii="Calibri" w:cs="Calibri" w:eastAsia="Calibri" w:hAnsi="Calibri"/>
          <w:sz w:val="13"/>
          <w:szCs w:val="13"/>
          <w:color w:val="auto"/>
        </w:rPr>
        <w:t>We launched our inital pilot and are in the process of bringing our broader crypto capabilites to market across the Global Payments platorm.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8" w:hanging="68"/>
        <w:spacing w:after="0"/>
        <w:tabs>
          <w:tab w:leader="none" w:pos="68" w:val="left"/>
        </w:tabs>
        <w:numPr>
          <w:ilvl w:val="0"/>
          <w:numId w:val="3"/>
        </w:numPr>
        <w:rPr>
          <w:rFonts w:ascii="Calibri" w:cs="Calibri" w:eastAsia="Calibri" w:hAnsi="Calibri"/>
          <w:sz w:val="16"/>
          <w:szCs w:val="16"/>
          <w:color w:val="auto"/>
          <w:vertAlign w:val="superscript"/>
        </w:rPr>
      </w:pPr>
      <w:r>
        <w:rPr>
          <w:rFonts w:ascii="Calibri" w:cs="Calibri" w:eastAsia="Calibri" w:hAnsi="Calibri"/>
          <w:sz w:val="12"/>
          <w:szCs w:val="12"/>
          <w:color w:val="auto"/>
        </w:rPr>
        <w:t>Includes other highly liquid assets such as Treasury bills and notes; excludes restricted cash</w:t>
      </w:r>
    </w:p>
    <w:p>
      <w:pPr>
        <w:spacing w:after="0" w:line="200" w:lineRule="exact"/>
        <w:rPr>
          <w:sz w:val="20"/>
          <w:szCs w:val="20"/>
          <w:color w:val="auto"/>
        </w:rPr>
      </w:pPr>
    </w:p>
    <w:p>
      <w:pPr>
        <w:spacing w:after="0" w:line="347" w:lineRule="exact"/>
        <w:rPr>
          <w:sz w:val="20"/>
          <w:szCs w:val="20"/>
          <w:color w:val="auto"/>
        </w:rPr>
      </w:pPr>
    </w:p>
    <w:p>
      <w:pPr>
        <w:jc w:val="center"/>
        <w:ind w:right="-7"/>
        <w:spacing w:after="0"/>
        <w:rPr>
          <w:sz w:val="20"/>
          <w:szCs w:val="20"/>
          <w:color w:val="auto"/>
        </w:rPr>
      </w:pPr>
      <w:r>
        <w:rPr>
          <w:rFonts w:ascii="Calibri" w:cs="Calibri" w:eastAsia="Calibri" w:hAnsi="Calibri"/>
          <w:sz w:val="13"/>
          <w:szCs w:val="13"/>
          <w:color w:val="auto"/>
        </w:rPr>
        <w:t>1</w:t>
      </w:r>
    </w:p>
    <w:p>
      <w:pPr>
        <w:sectPr>
          <w:pgSz w:w="11900" w:h="16838" w:orient="portrait"/>
          <w:cols w:equalWidth="0" w:num="1">
            <w:col w:w="11308"/>
          </w:cols>
          <w:pgMar w:left="292" w:top="121" w:right="299" w:bottom="1440" w:gutter="0" w:footer="0" w:header="0"/>
        </w:sectPr>
      </w:pPr>
    </w:p>
    <w:bookmarkStart w:id="5" w:name="page6"/>
    <w:bookmarkEnd w:id="5"/>
    <w:p>
      <w:pPr>
        <w:spacing w:after="0"/>
        <w:rPr>
          <w:sz w:val="20"/>
          <w:szCs w:val="20"/>
          <w:color w:val="auto"/>
        </w:rPr>
      </w:pPr>
      <w:r>
        <w:rPr>
          <w:rFonts w:ascii="Calibri" w:cs="Calibri" w:eastAsia="Calibri" w:hAnsi="Calibri"/>
          <w:sz w:val="13"/>
          <w:szCs w:val="13"/>
          <w:b w:val="1"/>
          <w:bCs w:val="1"/>
          <w:color w:val="auto"/>
        </w:rPr>
        <w:t>Third Quarter Financial Highlights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20" w:type="dxa"/>
            <w:vAlign w:val="bottom"/>
            <w:shd w:val="clear" w:color="auto" w:fill="000000"/>
          </w:tcPr>
          <w:p>
            <w:pPr>
              <w:spacing w:after="0"/>
              <w:rPr>
                <w:sz w:val="20"/>
                <w:szCs w:val="20"/>
                <w:color w:val="auto"/>
              </w:rPr>
            </w:pPr>
            <w:r>
              <w:rPr>
                <w:rFonts w:ascii="Calibri" w:cs="Calibri" w:eastAsia="Calibri" w:hAnsi="Calibri"/>
                <w:sz w:val="11"/>
                <w:szCs w:val="11"/>
                <w:b w:val="1"/>
                <w:bCs w:val="1"/>
                <w:color w:val="FFFFFF"/>
              </w:rPr>
              <w:t>$mm’s</w:t>
            </w:r>
          </w:p>
        </w:tc>
        <w:tc>
          <w:tcPr>
            <w:tcW w:w="1600" w:type="dxa"/>
            <w:vAlign w:val="bottom"/>
            <w:tcBorders>
              <w:right w:val="single" w:sz="8" w:color="auto"/>
            </w:tcBorders>
            <w:shd w:val="clear" w:color="auto" w:fill="000000"/>
          </w:tcPr>
          <w:p>
            <w:pPr>
              <w:jc w:val="right"/>
              <w:spacing w:after="0"/>
              <w:rPr>
                <w:sz w:val="20"/>
                <w:szCs w:val="20"/>
                <w:color w:val="auto"/>
              </w:rPr>
            </w:pPr>
            <w:r>
              <w:rPr>
                <w:rFonts w:ascii="Calibri" w:cs="Calibri" w:eastAsia="Calibri" w:hAnsi="Calibri"/>
                <w:sz w:val="11"/>
                <w:szCs w:val="11"/>
                <w:b w:val="1"/>
                <w:bCs w:val="1"/>
                <w:color w:val="FFFFFF"/>
              </w:rPr>
              <w:t>Successor</w:t>
            </w:r>
          </w:p>
        </w:tc>
        <w:tc>
          <w:tcPr>
            <w:tcW w:w="3020" w:type="dxa"/>
            <w:vAlign w:val="bottom"/>
            <w:shd w:val="clear" w:color="auto" w:fill="000000"/>
          </w:tcPr>
          <w:p>
            <w:pPr>
              <w:jc w:val="right"/>
              <w:ind w:right="801"/>
              <w:spacing w:after="0"/>
              <w:rPr>
                <w:sz w:val="20"/>
                <w:szCs w:val="20"/>
                <w:color w:val="auto"/>
              </w:rPr>
            </w:pPr>
            <w:r>
              <w:rPr>
                <w:rFonts w:ascii="Calibri" w:cs="Calibri" w:eastAsia="Calibri" w:hAnsi="Calibri"/>
                <w:sz w:val="11"/>
                <w:szCs w:val="11"/>
                <w:b w:val="1"/>
                <w:bCs w:val="1"/>
                <w:color w:val="FFFFFF"/>
              </w:rPr>
              <w:t>Predecessor</w:t>
            </w:r>
          </w:p>
        </w:tc>
        <w:tc>
          <w:tcPr>
            <w:tcW w:w="1360" w:type="dxa"/>
            <w:vAlign w:val="bottom"/>
            <w:shd w:val="clear" w:color="auto" w:fill="000000"/>
          </w:tcPr>
          <w:p>
            <w:pPr>
              <w:jc w:val="right"/>
              <w:spacing w:after="0"/>
              <w:rPr>
                <w:sz w:val="20"/>
                <w:szCs w:val="20"/>
                <w:color w:val="auto"/>
              </w:rPr>
            </w:pPr>
            <w:r>
              <w:rPr>
                <w:rFonts w:ascii="Calibri" w:cs="Calibri" w:eastAsia="Calibri" w:hAnsi="Calibri"/>
                <w:sz w:val="11"/>
                <w:szCs w:val="11"/>
                <w:b w:val="1"/>
                <w:bCs w:val="1"/>
                <w:color w:val="FFFFFF"/>
              </w:rPr>
              <w:t>Increase/</w:t>
            </w:r>
          </w:p>
        </w:tc>
        <w:tc>
          <w:tcPr>
            <w:tcW w:w="0" w:type="dxa"/>
            <w:vAlign w:val="bottom"/>
          </w:tcPr>
          <w:p>
            <w:pPr>
              <w:spacing w:after="0"/>
              <w:rPr>
                <w:sz w:val="1"/>
                <w:szCs w:val="1"/>
                <w:color w:val="auto"/>
              </w:rPr>
            </w:pPr>
          </w:p>
        </w:tc>
      </w:tr>
      <w:tr>
        <w:trPr>
          <w:trHeight w:val="149"/>
        </w:trPr>
        <w:tc>
          <w:tcPr>
            <w:tcW w:w="4820" w:type="dxa"/>
            <w:vAlign w:val="bottom"/>
            <w:tcBorders>
              <w:bottom w:val="single" w:sz="8" w:color="auto"/>
            </w:tcBorders>
            <w:shd w:val="clear" w:color="auto" w:fill="000000"/>
          </w:tcPr>
          <w:p>
            <w:pPr>
              <w:spacing w:after="0"/>
              <w:rPr>
                <w:sz w:val="12"/>
                <w:szCs w:val="12"/>
                <w:color w:val="auto"/>
              </w:rPr>
            </w:pPr>
          </w:p>
        </w:tc>
        <w:tc>
          <w:tcPr>
            <w:tcW w:w="1600" w:type="dxa"/>
            <w:vAlign w:val="bottom"/>
            <w:tcBorders>
              <w:bottom w:val="single" w:sz="8" w:color="auto"/>
              <w:right w:val="single" w:sz="8" w:color="auto"/>
            </w:tcBorders>
            <w:shd w:val="clear" w:color="auto" w:fill="000000"/>
          </w:tcPr>
          <w:p>
            <w:pPr>
              <w:jc w:val="right"/>
              <w:spacing w:after="0"/>
              <w:rPr>
                <w:sz w:val="20"/>
                <w:szCs w:val="20"/>
                <w:color w:val="auto"/>
              </w:rPr>
            </w:pPr>
            <w:r>
              <w:rPr>
                <w:rFonts w:ascii="Calibri" w:cs="Calibri" w:eastAsia="Calibri" w:hAnsi="Calibri"/>
                <w:sz w:val="11"/>
                <w:szCs w:val="11"/>
                <w:b w:val="1"/>
                <w:bCs w:val="1"/>
                <w:color w:val="FFFFFF"/>
              </w:rPr>
              <w:t>3Q22</w:t>
            </w:r>
          </w:p>
        </w:tc>
        <w:tc>
          <w:tcPr>
            <w:tcW w:w="3020" w:type="dxa"/>
            <w:vAlign w:val="bottom"/>
            <w:tcBorders>
              <w:bottom w:val="single" w:sz="8" w:color="auto"/>
            </w:tcBorders>
            <w:shd w:val="clear" w:color="auto" w:fill="000000"/>
          </w:tcPr>
          <w:p>
            <w:pPr>
              <w:jc w:val="right"/>
              <w:ind w:right="801"/>
              <w:spacing w:after="0"/>
              <w:rPr>
                <w:sz w:val="20"/>
                <w:szCs w:val="20"/>
                <w:color w:val="auto"/>
              </w:rPr>
            </w:pPr>
            <w:r>
              <w:rPr>
                <w:rFonts w:ascii="Calibri" w:cs="Calibri" w:eastAsia="Calibri" w:hAnsi="Calibri"/>
                <w:sz w:val="11"/>
                <w:szCs w:val="11"/>
                <w:b w:val="1"/>
                <w:bCs w:val="1"/>
                <w:color w:val="FFFFFF"/>
              </w:rPr>
              <w:t>3Q21</w:t>
            </w:r>
          </w:p>
        </w:tc>
        <w:tc>
          <w:tcPr>
            <w:tcW w:w="1360" w:type="dxa"/>
            <w:vAlign w:val="bottom"/>
            <w:tcBorders>
              <w:bottom w:val="single" w:sz="8" w:color="auto"/>
            </w:tcBorders>
            <w:shd w:val="clear" w:color="auto" w:fill="000000"/>
          </w:tcPr>
          <w:p>
            <w:pPr>
              <w:jc w:val="right"/>
              <w:spacing w:after="0"/>
              <w:rPr>
                <w:sz w:val="20"/>
                <w:szCs w:val="20"/>
                <w:color w:val="auto"/>
              </w:rPr>
            </w:pPr>
            <w:r>
              <w:rPr>
                <w:rFonts w:ascii="Calibri" w:cs="Calibri" w:eastAsia="Calibri" w:hAnsi="Calibri"/>
                <w:sz w:val="11"/>
                <w:szCs w:val="11"/>
                <w:b w:val="1"/>
                <w:bCs w:val="1"/>
                <w:color w:val="FFFFFF"/>
              </w:rPr>
              <w:t>(decrease)</w:t>
            </w: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Calibri" w:cs="Calibri" w:eastAsia="Calibri" w:hAnsi="Calibri"/>
                <w:sz w:val="12"/>
                <w:szCs w:val="12"/>
                <w:color w:val="auto"/>
              </w:rPr>
              <w:t>Net revenues</w:t>
            </w:r>
          </w:p>
        </w:tc>
        <w:tc>
          <w:tcPr>
            <w:tcW w:w="1600" w:type="dxa"/>
            <w:vAlign w:val="bottom"/>
            <w:tcBorders>
              <w:right w:val="single" w:sz="8" w:color="auto"/>
            </w:tcBorders>
          </w:tcPr>
          <w:p>
            <w:pPr>
              <w:jc w:val="right"/>
              <w:spacing w:after="0" w:line="142" w:lineRule="exact"/>
              <w:rPr>
                <w:sz w:val="20"/>
                <w:szCs w:val="20"/>
                <w:color w:val="auto"/>
              </w:rPr>
            </w:pPr>
            <w:r>
              <w:rPr>
                <w:rFonts w:ascii="Calibri" w:cs="Calibri" w:eastAsia="Calibri" w:hAnsi="Calibri"/>
                <w:sz w:val="12"/>
                <w:szCs w:val="12"/>
                <w:color w:val="auto"/>
              </w:rPr>
              <w:t>$12.9</w:t>
            </w:r>
          </w:p>
        </w:tc>
        <w:tc>
          <w:tcPr>
            <w:tcW w:w="3020" w:type="dxa"/>
            <w:vAlign w:val="bottom"/>
          </w:tcPr>
          <w:p>
            <w:pPr>
              <w:jc w:val="right"/>
              <w:ind w:right="801"/>
              <w:spacing w:after="0" w:line="142" w:lineRule="exact"/>
              <w:rPr>
                <w:sz w:val="20"/>
                <w:szCs w:val="20"/>
                <w:color w:val="auto"/>
              </w:rPr>
            </w:pPr>
            <w:r>
              <w:rPr>
                <w:rFonts w:ascii="Calibri" w:cs="Calibri" w:eastAsia="Calibri" w:hAnsi="Calibri"/>
                <w:sz w:val="12"/>
                <w:szCs w:val="12"/>
                <w:color w:val="auto"/>
              </w:rPr>
              <w:t>$9.1</w:t>
            </w:r>
          </w:p>
        </w:tc>
        <w:tc>
          <w:tcPr>
            <w:tcW w:w="1360" w:type="dxa"/>
            <w:vAlign w:val="bottom"/>
          </w:tcPr>
          <w:p>
            <w:pPr>
              <w:jc w:val="right"/>
              <w:spacing w:after="0" w:line="142" w:lineRule="exact"/>
              <w:rPr>
                <w:sz w:val="20"/>
                <w:szCs w:val="20"/>
                <w:color w:val="auto"/>
              </w:rPr>
            </w:pPr>
            <w:r>
              <w:rPr>
                <w:rFonts w:ascii="Calibri" w:cs="Calibri" w:eastAsia="Calibri" w:hAnsi="Calibri"/>
                <w:sz w:val="12"/>
                <w:szCs w:val="12"/>
                <w:color w:val="auto"/>
              </w:rPr>
              <w:t>41%</w:t>
            </w:r>
          </w:p>
        </w:tc>
        <w:tc>
          <w:tcPr>
            <w:tcW w:w="0" w:type="dxa"/>
            <w:vAlign w:val="bottom"/>
          </w:tcPr>
          <w:p>
            <w:pPr>
              <w:spacing w:after="0"/>
              <w:rPr>
                <w:sz w:val="1"/>
                <w:szCs w:val="1"/>
                <w:color w:val="auto"/>
              </w:rPr>
            </w:pPr>
          </w:p>
        </w:tc>
      </w:tr>
      <w:tr>
        <w:trPr>
          <w:trHeight w:val="156"/>
        </w:trPr>
        <w:tc>
          <w:tcPr>
            <w:tcW w:w="4820" w:type="dxa"/>
            <w:vAlign w:val="bottom"/>
          </w:tcPr>
          <w:p>
            <w:pPr>
              <w:ind w:left="140"/>
              <w:spacing w:after="0"/>
              <w:rPr>
                <w:sz w:val="20"/>
                <w:szCs w:val="20"/>
                <w:color w:val="auto"/>
              </w:rPr>
            </w:pPr>
            <w:r>
              <w:rPr>
                <w:rFonts w:ascii="Calibri" w:cs="Calibri" w:eastAsia="Calibri" w:hAnsi="Calibri"/>
                <w:sz w:val="12"/>
                <w:szCs w:val="12"/>
                <w:color w:val="auto"/>
              </w:rPr>
              <w:t>Goodwill &amp; intangible assets impairments</w:t>
            </w: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1,547.7</w:t>
            </w:r>
          </w:p>
        </w:tc>
        <w:tc>
          <w:tcPr>
            <w:tcW w:w="3020" w:type="dxa"/>
            <w:vAlign w:val="bottom"/>
          </w:tcPr>
          <w:p>
            <w:pPr>
              <w:jc w:val="right"/>
              <w:ind w:right="821"/>
              <w:spacing w:after="0"/>
              <w:rPr>
                <w:sz w:val="20"/>
                <w:szCs w:val="20"/>
                <w:color w:val="auto"/>
              </w:rPr>
            </w:pPr>
            <w:r>
              <w:rPr>
                <w:rFonts w:ascii="Calibri" w:cs="Calibri" w:eastAsia="Calibri" w:hAnsi="Calibri"/>
                <w:sz w:val="12"/>
                <w:szCs w:val="12"/>
                <w:color w:val="auto"/>
              </w:rPr>
              <w:t>–</w:t>
            </w:r>
          </w:p>
        </w:tc>
        <w:tc>
          <w:tcPr>
            <w:tcW w:w="1360" w:type="dxa"/>
            <w:vAlign w:val="bottom"/>
          </w:tcPr>
          <w:p>
            <w:pPr>
              <w:jc w:val="right"/>
              <w:spacing w:after="0"/>
              <w:rPr>
                <w:sz w:val="20"/>
                <w:szCs w:val="20"/>
                <w:color w:val="auto"/>
              </w:rPr>
            </w:pPr>
            <w:r>
              <w:rPr>
                <w:rFonts w:ascii="Calibri" w:cs="Calibri" w:eastAsia="Calibri" w:hAnsi="Calibri"/>
                <w:sz w:val="12"/>
                <w:szCs w:val="12"/>
                <w:color w:val="auto"/>
              </w:rPr>
              <w:t>NM</w:t>
            </w:r>
          </w:p>
        </w:tc>
        <w:tc>
          <w:tcPr>
            <w:tcW w:w="0" w:type="dxa"/>
            <w:vAlign w:val="bottom"/>
          </w:tcPr>
          <w:p>
            <w:pPr>
              <w:spacing w:after="0"/>
              <w:rPr>
                <w:sz w:val="1"/>
                <w:szCs w:val="1"/>
                <w:color w:val="auto"/>
              </w:rPr>
            </w:pPr>
          </w:p>
        </w:tc>
      </w:tr>
      <w:tr>
        <w:trPr>
          <w:trHeight w:val="171"/>
        </w:trPr>
        <w:tc>
          <w:tcPr>
            <w:tcW w:w="4820" w:type="dxa"/>
            <w:vAlign w:val="bottom"/>
          </w:tcPr>
          <w:p>
            <w:pPr>
              <w:ind w:left="140"/>
              <w:spacing w:after="0"/>
              <w:rPr>
                <w:sz w:val="20"/>
                <w:szCs w:val="20"/>
                <w:color w:val="auto"/>
              </w:rPr>
            </w:pPr>
            <w:r>
              <w:rPr>
                <w:rFonts w:ascii="Calibri" w:cs="Calibri" w:eastAsia="Calibri" w:hAnsi="Calibri"/>
                <w:sz w:val="12"/>
                <w:szCs w:val="12"/>
                <w:color w:val="auto"/>
              </w:rPr>
              <w:t>Operatng expenses, excluding impairment</w:t>
            </w: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60.0</w:t>
            </w:r>
          </w:p>
        </w:tc>
        <w:tc>
          <w:tcPr>
            <w:tcW w:w="3020" w:type="dxa"/>
            <w:vAlign w:val="bottom"/>
          </w:tcPr>
          <w:p>
            <w:pPr>
              <w:jc w:val="right"/>
              <w:ind w:right="801"/>
              <w:spacing w:after="0"/>
              <w:rPr>
                <w:sz w:val="20"/>
                <w:szCs w:val="20"/>
                <w:color w:val="auto"/>
              </w:rPr>
            </w:pPr>
            <w:r>
              <w:rPr>
                <w:rFonts w:ascii="Calibri" w:cs="Calibri" w:eastAsia="Calibri" w:hAnsi="Calibri"/>
                <w:sz w:val="12"/>
                <w:szCs w:val="12"/>
                <w:color w:val="auto"/>
              </w:rPr>
              <w:t>39.0</w:t>
            </w:r>
          </w:p>
        </w:tc>
        <w:tc>
          <w:tcPr>
            <w:tcW w:w="1360" w:type="dxa"/>
            <w:vAlign w:val="bottom"/>
          </w:tcPr>
          <w:p>
            <w:pPr>
              <w:jc w:val="right"/>
              <w:spacing w:after="0"/>
              <w:rPr>
                <w:sz w:val="20"/>
                <w:szCs w:val="20"/>
                <w:color w:val="auto"/>
              </w:rPr>
            </w:pPr>
            <w:r>
              <w:rPr>
                <w:rFonts w:ascii="Calibri" w:cs="Calibri" w:eastAsia="Calibri" w:hAnsi="Calibri"/>
                <w:sz w:val="12"/>
                <w:szCs w:val="12"/>
                <w:color w:val="auto"/>
              </w:rPr>
              <w:t>54%</w:t>
            </w:r>
          </w:p>
        </w:tc>
        <w:tc>
          <w:tcPr>
            <w:tcW w:w="0" w:type="dxa"/>
            <w:vAlign w:val="bottom"/>
          </w:tcPr>
          <w:p>
            <w:pPr>
              <w:spacing w:after="0"/>
              <w:rPr>
                <w:sz w:val="1"/>
                <w:szCs w:val="1"/>
                <w:color w:val="auto"/>
              </w:rPr>
            </w:pPr>
          </w:p>
        </w:tc>
      </w:tr>
      <w:tr>
        <w:trPr>
          <w:trHeight w:val="35"/>
        </w:trPr>
        <w:tc>
          <w:tcPr>
            <w:tcW w:w="4820" w:type="dxa"/>
            <w:vAlign w:val="bottom"/>
            <w:vMerge w:val="restart"/>
          </w:tcPr>
          <w:p>
            <w:pPr>
              <w:spacing w:after="0"/>
              <w:rPr>
                <w:sz w:val="20"/>
                <w:szCs w:val="20"/>
                <w:color w:val="auto"/>
              </w:rPr>
            </w:pPr>
            <w:r>
              <w:rPr>
                <w:rFonts w:ascii="Calibri" w:cs="Calibri" w:eastAsia="Calibri" w:hAnsi="Calibri"/>
                <w:sz w:val="12"/>
                <w:szCs w:val="12"/>
                <w:color w:val="auto"/>
              </w:rPr>
              <w:t>Total operatng expenses</w:t>
            </w:r>
          </w:p>
        </w:tc>
        <w:tc>
          <w:tcPr>
            <w:tcW w:w="160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4820" w:type="dxa"/>
            <w:vAlign w:val="bottom"/>
            <w:vMerge w:val="continue"/>
          </w:tcPr>
          <w:p>
            <w:pPr>
              <w:spacing w:after="0"/>
              <w:rPr>
                <w:sz w:val="11"/>
                <w:szCs w:val="11"/>
                <w:color w:val="auto"/>
              </w:rPr>
            </w:pPr>
          </w:p>
        </w:tc>
        <w:tc>
          <w:tcPr>
            <w:tcW w:w="160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1,607.8</w:t>
            </w:r>
          </w:p>
        </w:tc>
        <w:tc>
          <w:tcPr>
            <w:tcW w:w="3020" w:type="dxa"/>
            <w:vAlign w:val="bottom"/>
          </w:tcPr>
          <w:p>
            <w:pPr>
              <w:jc w:val="right"/>
              <w:ind w:right="801"/>
              <w:spacing w:after="0" w:line="131" w:lineRule="exact"/>
              <w:rPr>
                <w:sz w:val="20"/>
                <w:szCs w:val="20"/>
                <w:color w:val="auto"/>
              </w:rPr>
            </w:pPr>
            <w:r>
              <w:rPr>
                <w:rFonts w:ascii="Calibri" w:cs="Calibri" w:eastAsia="Calibri" w:hAnsi="Calibri"/>
                <w:sz w:val="12"/>
                <w:szCs w:val="12"/>
                <w:color w:val="auto"/>
              </w:rPr>
              <w:t>39.0</w:t>
            </w:r>
          </w:p>
        </w:tc>
        <w:tc>
          <w:tcPr>
            <w:tcW w:w="1360" w:type="dxa"/>
            <w:vAlign w:val="bottom"/>
          </w:tcPr>
          <w:p>
            <w:pPr>
              <w:jc w:val="right"/>
              <w:spacing w:after="0" w:line="131" w:lineRule="exact"/>
              <w:rPr>
                <w:sz w:val="20"/>
                <w:szCs w:val="20"/>
                <w:color w:val="auto"/>
              </w:rPr>
            </w:pPr>
            <w:r>
              <w:rPr>
                <w:rFonts w:ascii="Calibri" w:cs="Calibri" w:eastAsia="Calibri" w:hAnsi="Calibri"/>
                <w:sz w:val="12"/>
                <w:szCs w:val="12"/>
                <w:color w:val="auto"/>
              </w:rPr>
              <w:t>NM</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Calibri" w:cs="Calibri" w:eastAsia="Calibri" w:hAnsi="Calibri"/>
                <w:sz w:val="12"/>
                <w:szCs w:val="12"/>
                <w:color w:val="auto"/>
              </w:rPr>
              <w:t>Operatng loss</w:t>
            </w: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4820" w:type="dxa"/>
            <w:vAlign w:val="bottom"/>
            <w:vMerge w:val="continue"/>
          </w:tcPr>
          <w:p>
            <w:pPr>
              <w:spacing w:after="0"/>
              <w:rPr>
                <w:sz w:val="11"/>
                <w:szCs w:val="11"/>
                <w:color w:val="auto"/>
              </w:rPr>
            </w:pPr>
          </w:p>
        </w:tc>
        <w:tc>
          <w:tcPr>
            <w:tcW w:w="160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$(1,594.9)</w:t>
            </w:r>
          </w:p>
        </w:tc>
        <w:tc>
          <w:tcPr>
            <w:tcW w:w="3020" w:type="dxa"/>
            <w:vAlign w:val="bottom"/>
          </w:tcPr>
          <w:p>
            <w:pPr>
              <w:jc w:val="right"/>
              <w:ind w:right="801"/>
              <w:spacing w:after="0" w:line="131" w:lineRule="exact"/>
              <w:rPr>
                <w:sz w:val="20"/>
                <w:szCs w:val="20"/>
                <w:color w:val="auto"/>
              </w:rPr>
            </w:pPr>
            <w:r>
              <w:rPr>
                <w:rFonts w:ascii="Calibri" w:cs="Calibri" w:eastAsia="Calibri" w:hAnsi="Calibri"/>
                <w:sz w:val="12"/>
                <w:szCs w:val="12"/>
                <w:color w:val="auto"/>
              </w:rPr>
              <w:t>$(29.9)</w:t>
            </w:r>
          </w:p>
        </w:tc>
        <w:tc>
          <w:tcPr>
            <w:tcW w:w="1360" w:type="dxa"/>
            <w:vAlign w:val="bottom"/>
          </w:tcPr>
          <w:p>
            <w:pPr>
              <w:jc w:val="right"/>
              <w:spacing w:after="0" w:line="131" w:lineRule="exact"/>
              <w:rPr>
                <w:sz w:val="20"/>
                <w:szCs w:val="20"/>
                <w:color w:val="auto"/>
              </w:rPr>
            </w:pPr>
            <w:r>
              <w:rPr>
                <w:rFonts w:ascii="Calibri" w:cs="Calibri" w:eastAsia="Calibri" w:hAnsi="Calibri"/>
                <w:sz w:val="12"/>
                <w:szCs w:val="12"/>
                <w:color w:val="auto"/>
              </w:rPr>
              <w:t>NM</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20"/>
                <w:szCs w:val="20"/>
                <w:color w:val="auto"/>
              </w:rPr>
            </w:pPr>
            <w:r>
              <w:rPr>
                <w:rFonts w:ascii="Calibri" w:cs="Calibri" w:eastAsia="Calibri" w:hAnsi="Calibri"/>
                <w:sz w:val="12"/>
                <w:szCs w:val="12"/>
                <w:color w:val="auto"/>
              </w:rPr>
              <w:t>Net loss</w:t>
            </w: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$(1,592.5)</w:t>
            </w:r>
          </w:p>
        </w:tc>
        <w:tc>
          <w:tcPr>
            <w:tcW w:w="3020" w:type="dxa"/>
            <w:vAlign w:val="bottom"/>
          </w:tcPr>
          <w:p>
            <w:pPr>
              <w:jc w:val="right"/>
              <w:ind w:right="801"/>
              <w:spacing w:after="0"/>
              <w:rPr>
                <w:sz w:val="20"/>
                <w:szCs w:val="20"/>
                <w:color w:val="auto"/>
              </w:rPr>
            </w:pPr>
            <w:r>
              <w:rPr>
                <w:rFonts w:ascii="Calibri" w:cs="Calibri" w:eastAsia="Calibri" w:hAnsi="Calibri"/>
                <w:sz w:val="12"/>
                <w:szCs w:val="12"/>
                <w:color w:val="auto"/>
              </w:rPr>
              <w:t>$(28.8)</w:t>
            </w:r>
          </w:p>
        </w:tc>
        <w:tc>
          <w:tcPr>
            <w:tcW w:w="1360" w:type="dxa"/>
            <w:vAlign w:val="bottom"/>
          </w:tcPr>
          <w:p>
            <w:pPr>
              <w:jc w:val="right"/>
              <w:spacing w:after="0"/>
              <w:rPr>
                <w:sz w:val="20"/>
                <w:szCs w:val="20"/>
                <w:color w:val="auto"/>
              </w:rPr>
            </w:pPr>
            <w:r>
              <w:rPr>
                <w:rFonts w:ascii="Calibri" w:cs="Calibri" w:eastAsia="Calibri" w:hAnsi="Calibri"/>
                <w:sz w:val="12"/>
                <w:szCs w:val="12"/>
                <w:color w:val="auto"/>
              </w:rPr>
              <w:t>NM</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20"/>
                <w:szCs w:val="20"/>
                <w:color w:val="auto"/>
              </w:rPr>
            </w:pPr>
            <w:r>
              <w:rPr>
                <w:rFonts w:ascii="Calibri" w:cs="Calibri" w:eastAsia="Calibri" w:hAnsi="Calibri"/>
                <w:sz w:val="12"/>
                <w:szCs w:val="12"/>
                <w:color w:val="auto"/>
              </w:rPr>
              <w:t>Adjusted EBITDA (non-GAAP)</w:t>
            </w: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$(30.7)</w:t>
            </w:r>
          </w:p>
        </w:tc>
        <w:tc>
          <w:tcPr>
            <w:tcW w:w="3020" w:type="dxa"/>
            <w:vAlign w:val="bottom"/>
          </w:tcPr>
          <w:p>
            <w:pPr>
              <w:jc w:val="right"/>
              <w:ind w:right="801"/>
              <w:spacing w:after="0"/>
              <w:rPr>
                <w:sz w:val="20"/>
                <w:szCs w:val="20"/>
                <w:color w:val="auto"/>
              </w:rPr>
            </w:pPr>
            <w:r>
              <w:rPr>
                <w:rFonts w:ascii="Calibri" w:cs="Calibri" w:eastAsia="Calibri" w:hAnsi="Calibri"/>
                <w:sz w:val="12"/>
                <w:szCs w:val="12"/>
                <w:color w:val="auto"/>
              </w:rPr>
              <w:t>$(24.1)</w:t>
            </w:r>
          </w:p>
        </w:tc>
        <w:tc>
          <w:tcPr>
            <w:tcW w:w="1360" w:type="dxa"/>
            <w:vAlign w:val="bottom"/>
          </w:tcPr>
          <w:p>
            <w:pPr>
              <w:jc w:val="right"/>
              <w:spacing w:after="0"/>
              <w:rPr>
                <w:sz w:val="20"/>
                <w:szCs w:val="20"/>
                <w:color w:val="auto"/>
              </w:rPr>
            </w:pPr>
            <w:r>
              <w:rPr>
                <w:rFonts w:ascii="Calibri" w:cs="Calibri" w:eastAsia="Calibri" w:hAnsi="Calibri"/>
                <w:sz w:val="12"/>
                <w:szCs w:val="12"/>
                <w:color w:val="auto"/>
              </w:rPr>
              <w:t>(27%)</w:t>
            </w:r>
          </w:p>
        </w:tc>
        <w:tc>
          <w:tcPr>
            <w:tcW w:w="0" w:type="dxa"/>
            <w:vAlign w:val="bottom"/>
          </w:tcPr>
          <w:p>
            <w:pPr>
              <w:spacing w:after="0"/>
              <w:rPr>
                <w:sz w:val="1"/>
                <w:szCs w:val="1"/>
                <w:color w:val="auto"/>
              </w:rPr>
            </w:pPr>
          </w:p>
        </w:tc>
      </w:tr>
      <w:tr>
        <w:trPr>
          <w:trHeight w:val="26"/>
        </w:trPr>
        <w:tc>
          <w:tcPr>
            <w:tcW w:w="48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Calibri" w:cs="Calibri" w:eastAsia="Calibri" w:hAnsi="Calibri"/>
          <w:sz w:val="8"/>
          <w:szCs w:val="8"/>
          <w:color w:val="auto"/>
        </w:rPr>
        <w:t>Note: “NM” denotes Not Meaningful</w:t>
      </w:r>
    </w:p>
    <w:p>
      <w:pPr>
        <w:spacing w:after="0" w:line="153" w:lineRule="exact"/>
        <w:rPr>
          <w:sz w:val="20"/>
          <w:szCs w:val="20"/>
          <w:color w:val="auto"/>
        </w:rPr>
      </w:pPr>
    </w:p>
    <w:p>
      <w:pPr>
        <w:ind w:left="420" w:right="280" w:hanging="212"/>
        <w:spacing w:after="0" w:line="242" w:lineRule="auto"/>
        <w:tabs>
          <w:tab w:leader="none" w:pos="415"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Transactng accounts of 678,000 increased 21% year-over-year. Digital asset conversion volume of $182 million increased 73% year-over-year due to loyalty redempton related to increased travel actvity</w:t>
      </w:r>
    </w:p>
    <w:p>
      <w:pPr>
        <w:spacing w:after="0" w:line="11" w:lineRule="exact"/>
        <w:rPr>
          <w:rFonts w:ascii="Calibri" w:cs="Calibri" w:eastAsia="Calibri" w:hAnsi="Calibri"/>
          <w:sz w:val="13"/>
          <w:szCs w:val="13"/>
          <w:color w:val="auto"/>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Net revenue of $12.9 million increased 41% year-over-year, primarily driven by signifcant improvement in travel loyalty redemptons</w:t>
      </w:r>
    </w:p>
    <w:p>
      <w:pPr>
        <w:spacing w:after="0" w:line="5" w:lineRule="exact"/>
        <w:rPr>
          <w:rFonts w:ascii="Calibri" w:cs="Calibri" w:eastAsia="Calibri" w:hAnsi="Calibri"/>
          <w:sz w:val="13"/>
          <w:szCs w:val="13"/>
          <w:color w:val="auto"/>
        </w:rPr>
      </w:pPr>
    </w:p>
    <w:p>
      <w:pPr>
        <w:ind w:left="420" w:right="560" w:hanging="212"/>
        <w:spacing w:after="0" w:line="242" w:lineRule="auto"/>
        <w:tabs>
          <w:tab w:leader="none" w:pos="415"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Operatng expense of $1,607.8 million increased year-over-year, primarily driven by a partal, non-cash goodwill and other intangible assets impairment charge of $1,547.7 million due to the elongated tming for expected cryptoasset product actvatons and the decline in our market capitalizaton</w:t>
      </w:r>
    </w:p>
    <w:p>
      <w:pPr>
        <w:spacing w:after="0" w:line="11" w:lineRule="exact"/>
        <w:rPr>
          <w:rFonts w:ascii="Calibri" w:cs="Calibri" w:eastAsia="Calibri" w:hAnsi="Calibri"/>
          <w:sz w:val="13"/>
          <w:szCs w:val="13"/>
          <w:color w:val="auto"/>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Adjusted EBITDA (non-GAAP) of $(30.7) million decreased 27% year-over-year, due to higher operatng expenses</w:t>
      </w:r>
    </w:p>
    <w:p>
      <w:pPr>
        <w:spacing w:after="0" w:line="327"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Webcast and Conference Call Informaton</w:t>
      </w:r>
    </w:p>
    <w:p>
      <w:pPr>
        <w:spacing w:after="0" w:line="104" w:lineRule="exact"/>
        <w:rPr>
          <w:sz w:val="20"/>
          <w:szCs w:val="20"/>
          <w:color w:val="auto"/>
        </w:rPr>
      </w:pPr>
    </w:p>
    <w:p>
      <w:pPr>
        <w:spacing w:after="0" w:line="248" w:lineRule="auto"/>
        <w:rPr>
          <w:sz w:val="20"/>
          <w:szCs w:val="20"/>
          <w:color w:val="auto"/>
        </w:rPr>
      </w:pPr>
      <w:r>
        <w:rPr>
          <w:rFonts w:ascii="Calibri" w:cs="Calibri" w:eastAsia="Calibri" w:hAnsi="Calibri"/>
          <w:sz w:val="13"/>
          <w:szCs w:val="13"/>
          <w:color w:val="auto"/>
        </w:rPr>
        <w:t xml:space="preserve">Bakkt will host a conference call at 9:00AM ET, November 10, 2022. The live webcast of Bakkt’s earnings conference call can be accessed at </w:t>
      </w:r>
      <w:r>
        <w:rPr>
          <w:rFonts w:ascii="Calibri" w:cs="Calibri" w:eastAsia="Calibri" w:hAnsi="Calibri"/>
          <w:sz w:val="13"/>
          <w:szCs w:val="13"/>
          <w:u w:val="single" w:color="auto"/>
          <w:color w:val="0563C1"/>
        </w:rPr>
        <w:t>htps://investors.bakkt.com</w:t>
      </w:r>
      <w:r>
        <w:rPr>
          <w:rFonts w:ascii="Calibri" w:cs="Calibri" w:eastAsia="Calibri" w:hAnsi="Calibri"/>
          <w:sz w:val="13"/>
          <w:szCs w:val="13"/>
          <w:color w:val="auto"/>
        </w:rPr>
        <w:t>, along with the earnings press release and accompanying slide presentaton. Investors and analysts interested in partcipatng in the call are invited to dial (844) 200-6205 or (646) 904-5544, and reference partcipant access code 406638 approximately ten minutes prior to the start of the call. A replay will be available promptly afer the call and can be accessed by dialing (866) 813-9403 and entering the access code 255918. The replay will be available through December 9, 2022.</w:t>
      </w:r>
    </w:p>
    <w:p>
      <w:pPr>
        <w:spacing w:after="0" w:line="15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w:t>
      </w:r>
    </w:p>
    <w:p>
      <w:pPr>
        <w:spacing w:after="0" w:line="162"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Bakkt</w:t>
      </w:r>
    </w:p>
    <w:p>
      <w:pPr>
        <w:spacing w:after="0" w:line="104" w:lineRule="exact"/>
        <w:rPr>
          <w:sz w:val="20"/>
          <w:szCs w:val="20"/>
          <w:color w:val="auto"/>
        </w:rPr>
      </w:pPr>
    </w:p>
    <w:p>
      <w:pPr>
        <w:jc w:val="both"/>
        <w:ind w:right="120"/>
        <w:spacing w:after="0" w:line="249" w:lineRule="auto"/>
        <w:rPr>
          <w:sz w:val="20"/>
          <w:szCs w:val="20"/>
          <w:color w:val="auto"/>
        </w:rPr>
      </w:pPr>
      <w:r>
        <w:rPr>
          <w:rFonts w:ascii="Calibri" w:cs="Calibri" w:eastAsia="Calibri" w:hAnsi="Calibri"/>
          <w:sz w:val="13"/>
          <w:szCs w:val="13"/>
          <w:color w:val="auto"/>
        </w:rPr>
        <w:t>Bakkt is a digital asset platorm that unlocks crypto and drives loyalty to create delightul, connected experiences for a broad range of clients. Bakkt’s platorm, available through partners, delivers access to crypto and bolsters loyalty programs, adding value for all key stakeholders within the Bakkt digital assets ecosystem. Launched in 2018, Bakkt is headquartered in Alphareta, GA. For more informaton, visit: htps://www.bakkt.com/ | Twiter @Bakkt | LinkedIn</w:t>
      </w:r>
    </w:p>
    <w:p>
      <w:pPr>
        <w:spacing w:after="0"/>
        <w:rPr>
          <w:sz w:val="20"/>
          <w:szCs w:val="20"/>
          <w:color w:val="auto"/>
        </w:rPr>
      </w:pPr>
      <w:r>
        <w:rPr>
          <w:rFonts w:ascii="Calibri" w:cs="Calibri" w:eastAsia="Calibri" w:hAnsi="Calibri"/>
          <w:sz w:val="13"/>
          <w:szCs w:val="13"/>
          <w:u w:val="single" w:color="auto"/>
          <w:color w:val="0563C1"/>
        </w:rPr>
        <w:t>htps://www.linkedin.com/company/bakkt/</w:t>
      </w:r>
    </w:p>
    <w:p>
      <w:pPr>
        <w:spacing w:after="0" w:line="327" w:lineRule="exact"/>
        <w:rPr>
          <w:sz w:val="20"/>
          <w:szCs w:val="20"/>
          <w:color w:val="auto"/>
        </w:rPr>
      </w:pPr>
    </w:p>
    <w:p>
      <w:pPr>
        <w:spacing w:after="0"/>
        <w:rPr>
          <w:sz w:val="20"/>
          <w:szCs w:val="20"/>
          <w:color w:val="auto"/>
        </w:rPr>
      </w:pPr>
      <w:r>
        <w:rPr>
          <w:rFonts w:ascii="Calibri" w:cs="Calibri" w:eastAsia="Calibri" w:hAnsi="Calibri"/>
          <w:sz w:val="11"/>
          <w:szCs w:val="11"/>
          <w:color w:val="auto"/>
        </w:rPr>
        <w:t>Bakkt-E</w:t>
      </w:r>
    </w:p>
    <w:p>
      <w:pPr>
        <w:spacing w:after="0" w:line="209" w:lineRule="auto"/>
        <w:rPr>
          <w:sz w:val="20"/>
          <w:szCs w:val="20"/>
          <w:color w:val="auto"/>
        </w:rPr>
      </w:pPr>
      <w:r>
        <w:rPr>
          <w:rFonts w:ascii="Calibri" w:cs="Calibri" w:eastAsia="Calibri" w:hAnsi="Calibri"/>
          <w:sz w:val="11"/>
          <w:szCs w:val="11"/>
          <w:i w:val="1"/>
          <w:iCs w:val="1"/>
          <w:color w:val="auto"/>
        </w:rPr>
        <w:t>Source: Bakkt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2</w:t>
      </w:r>
    </w:p>
    <w:p>
      <w:pPr>
        <w:sectPr>
          <w:pgSz w:w="11900" w:h="16838" w:orient="portrait"/>
          <w:cols w:equalWidth="0" w:num="1">
            <w:col w:w="11300"/>
          </w:cols>
          <w:pgMar w:left="300" w:top="976" w:right="299" w:bottom="1440" w:gutter="0" w:footer="0" w:header="0"/>
        </w:sectPr>
      </w:pPr>
    </w:p>
    <w:bookmarkStart w:id="6" w:name="page7"/>
    <w:bookmarkEnd w:id="6"/>
    <w:p>
      <w:pPr>
        <w:ind w:left="8"/>
        <w:spacing w:after="0"/>
        <w:rPr>
          <w:sz w:val="20"/>
          <w:szCs w:val="20"/>
          <w:color w:val="auto"/>
        </w:rPr>
      </w:pPr>
      <w:r>
        <w:rPr>
          <w:rFonts w:ascii="Calibri" w:cs="Calibri" w:eastAsia="Calibri" w:hAnsi="Calibri"/>
          <w:sz w:val="13"/>
          <w:szCs w:val="13"/>
          <w:b w:val="1"/>
          <w:bCs w:val="1"/>
          <w:color w:val="auto"/>
        </w:rPr>
        <w:t>Contacts</w:t>
      </w:r>
    </w:p>
    <w:p>
      <w:pPr>
        <w:spacing w:after="0" w:line="165"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auto"/>
        </w:rPr>
        <w:t>Investor Relatons</w:t>
      </w:r>
    </w:p>
    <w:p>
      <w:pPr>
        <w:spacing w:after="0" w:line="12" w:lineRule="exact"/>
        <w:rPr>
          <w:sz w:val="20"/>
          <w:szCs w:val="20"/>
          <w:color w:val="auto"/>
        </w:rPr>
      </w:pPr>
    </w:p>
    <w:p>
      <w:pPr>
        <w:ind w:left="8"/>
        <w:spacing w:after="0"/>
        <w:rPr>
          <w:sz w:val="20"/>
          <w:szCs w:val="20"/>
          <w:color w:val="auto"/>
        </w:rPr>
      </w:pPr>
      <w:r>
        <w:rPr>
          <w:rFonts w:ascii="Calibri" w:cs="Calibri" w:eastAsia="Calibri" w:hAnsi="Calibri"/>
          <w:sz w:val="13"/>
          <w:szCs w:val="13"/>
          <w:color w:val="auto"/>
        </w:rPr>
        <w:t>Ann DeVries, Head of Investor Relatons</w:t>
      </w:r>
    </w:p>
    <w:p>
      <w:pPr>
        <w:spacing w:after="0" w:line="3" w:lineRule="exact"/>
        <w:rPr>
          <w:sz w:val="20"/>
          <w:szCs w:val="20"/>
          <w:color w:val="auto"/>
        </w:rPr>
      </w:pPr>
    </w:p>
    <w:p>
      <w:pPr>
        <w:ind w:left="8"/>
        <w:spacing w:after="0"/>
        <w:rPr>
          <w:sz w:val="20"/>
          <w:szCs w:val="20"/>
          <w:color w:val="auto"/>
        </w:rPr>
      </w:pPr>
      <w:r>
        <w:rPr>
          <w:rFonts w:ascii="Calibri" w:cs="Calibri" w:eastAsia="Calibri" w:hAnsi="Calibri"/>
          <w:sz w:val="13"/>
          <w:szCs w:val="13"/>
          <w:u w:val="single" w:color="auto"/>
          <w:color w:val="0563C1"/>
        </w:rPr>
        <w:t>Ann.DeVries@bakkt.com</w:t>
      </w:r>
    </w:p>
    <w:p>
      <w:pPr>
        <w:spacing w:after="0" w:line="165"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auto"/>
        </w:rPr>
        <w:t>Media</w:t>
      </w:r>
    </w:p>
    <w:p>
      <w:pPr>
        <w:spacing w:after="0" w:line="12" w:lineRule="exact"/>
        <w:rPr>
          <w:sz w:val="20"/>
          <w:szCs w:val="20"/>
          <w:color w:val="auto"/>
        </w:rPr>
      </w:pPr>
    </w:p>
    <w:p>
      <w:pPr>
        <w:ind w:left="8"/>
        <w:spacing w:after="0"/>
        <w:rPr>
          <w:sz w:val="20"/>
          <w:szCs w:val="20"/>
          <w:color w:val="auto"/>
        </w:rPr>
      </w:pPr>
      <w:r>
        <w:rPr>
          <w:rFonts w:ascii="Calibri" w:cs="Calibri" w:eastAsia="Calibri" w:hAnsi="Calibri"/>
          <w:sz w:val="13"/>
          <w:szCs w:val="13"/>
          <w:color w:val="auto"/>
        </w:rPr>
        <w:t>Lauren Post, Head of Communicatons</w:t>
      </w:r>
    </w:p>
    <w:p>
      <w:pPr>
        <w:spacing w:after="0" w:line="3" w:lineRule="exact"/>
        <w:rPr>
          <w:sz w:val="20"/>
          <w:szCs w:val="20"/>
          <w:color w:val="auto"/>
        </w:rPr>
      </w:pPr>
    </w:p>
    <w:p>
      <w:pPr>
        <w:ind w:left="8"/>
        <w:spacing w:after="0"/>
        <w:rPr>
          <w:sz w:val="20"/>
          <w:szCs w:val="20"/>
          <w:color w:val="auto"/>
        </w:rPr>
      </w:pPr>
      <w:r>
        <w:rPr>
          <w:rFonts w:ascii="Calibri" w:cs="Calibri" w:eastAsia="Calibri" w:hAnsi="Calibri"/>
          <w:sz w:val="13"/>
          <w:szCs w:val="13"/>
          <w:u w:val="single" w:color="auto"/>
          <w:color w:val="0563C1"/>
        </w:rPr>
        <w:t>Lauren.Post@bakkt.com</w:t>
      </w:r>
    </w:p>
    <w:p>
      <w:pPr>
        <w:spacing w:after="0" w:line="327"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auto"/>
        </w:rPr>
        <w:t>Basis of Presentaton</w:t>
      </w:r>
    </w:p>
    <w:p>
      <w:pPr>
        <w:spacing w:after="0" w:line="104" w:lineRule="exact"/>
        <w:rPr>
          <w:sz w:val="20"/>
          <w:szCs w:val="20"/>
          <w:color w:val="auto"/>
        </w:rPr>
      </w:pPr>
    </w:p>
    <w:p>
      <w:pPr>
        <w:ind w:left="8" w:right="400"/>
        <w:spacing w:after="0" w:line="255" w:lineRule="auto"/>
        <w:rPr>
          <w:sz w:val="20"/>
          <w:szCs w:val="20"/>
          <w:color w:val="auto"/>
        </w:rPr>
      </w:pPr>
      <w:r>
        <w:rPr>
          <w:rFonts w:ascii="Calibri" w:cs="Calibri" w:eastAsia="Calibri" w:hAnsi="Calibri"/>
          <w:sz w:val="13"/>
          <w:szCs w:val="13"/>
          <w:color w:val="auto"/>
        </w:rPr>
        <w:t>“Predecessor” informaton represents the results of Bakkt Holdings, LLC prior to the business combinaton with VPC Impact Acquisiton Holdings (VIH), which closed on October 15, 2021. “Successor” informaton represents the results of Bakkt Holdings, Inc. from the date the business combinaton closed through the end of the applicable period.</w:t>
      </w:r>
    </w:p>
    <w:p>
      <w:pPr>
        <w:spacing w:after="0" w:line="318"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auto"/>
        </w:rPr>
        <w:t>Note on Forward-Looking Statements</w:t>
      </w:r>
    </w:p>
    <w:p>
      <w:pPr>
        <w:spacing w:after="0" w:line="104" w:lineRule="exact"/>
        <w:rPr>
          <w:sz w:val="20"/>
          <w:szCs w:val="20"/>
          <w:color w:val="auto"/>
        </w:rPr>
      </w:pPr>
    </w:p>
    <w:p>
      <w:pPr>
        <w:ind w:left="8"/>
        <w:spacing w:after="0" w:line="249" w:lineRule="auto"/>
        <w:rPr>
          <w:sz w:val="20"/>
          <w:szCs w:val="20"/>
          <w:color w:val="auto"/>
        </w:rPr>
      </w:pPr>
      <w:r>
        <w:rPr>
          <w:rFonts w:ascii="Calibri" w:cs="Calibri" w:eastAsia="Calibri" w:hAnsi="Calibri"/>
          <w:sz w:val="13"/>
          <w:szCs w:val="13"/>
          <w:color w:val="auto"/>
        </w:rPr>
        <w:t>This press release contains “forward-looking statements” within the meaning of Secton 27A of the Securites Act of 1933, as amended, and Secton 21E of the Securites Exchange Act of 1934, as amended. Such statements include, but are not limited to, statements regarding the closing of the Apex Crypto acquisiton and the resultng impacts from that acquisiton and Bakkt’s guidance, plans, objectves, expectatons and intentons with respect to future operatons, products, services and the applicaton of Bakkt’s available cash, among others. Forward-looking statements can be identfed by words such as “will,” “likely,” “expect,” “contnue,” “antcipate,” “estmate,” “believe,” “intend,” “plan,” “projecton,” “outlook,” “grow,” “progress,” “potental” or words of similar meaning. Such forward-looking statements are based upon the current beliefs and expectatons of Bakkt’s management and are inherently subject to signifcant business, economic and compettve uncertaintes and contngencies, many of which are difcult to predict and beyond Bakkt’s control. Actual results and the tming of events may difer materially from the results antcipated in such forward-looking statements. You are cautoned not to place undue reliance on such forward-looking statements. Such forward-looking statements relate only to events as of the date on which such statements are made and are based on informaton available to us as of the date of this press release. Unless otherwise required by law, we undertake no obligaton to update any forward-looking statements made in this press release to refect events or circumstances afer the date of this press release or to refect new informaton or the occurrence of unantcipated events.</w:t>
      </w:r>
    </w:p>
    <w:p>
      <w:pPr>
        <w:spacing w:after="0" w:line="100" w:lineRule="exact"/>
        <w:rPr>
          <w:sz w:val="20"/>
          <w:szCs w:val="20"/>
          <w:color w:val="auto"/>
        </w:rPr>
      </w:pPr>
    </w:p>
    <w:p>
      <w:pPr>
        <w:ind w:left="8"/>
        <w:spacing w:after="0"/>
        <w:rPr>
          <w:sz w:val="20"/>
          <w:szCs w:val="20"/>
          <w:color w:val="auto"/>
        </w:rPr>
      </w:pPr>
      <w:r>
        <w:rPr>
          <w:rFonts w:ascii="Calibri" w:cs="Calibri" w:eastAsia="Calibri" w:hAnsi="Calibri"/>
          <w:sz w:val="13"/>
          <w:szCs w:val="13"/>
          <w:color w:val="auto"/>
        </w:rPr>
        <w:t>The following factors, among others, could cause actual results and the tming of events to difer materially from the antcipated results or other expectatons expressed in such forward-looking statements:</w:t>
      </w:r>
    </w:p>
    <w:p>
      <w:pPr>
        <w:spacing w:after="0" w:line="5" w:lineRule="exact"/>
        <w:rPr>
          <w:sz w:val="20"/>
          <w:szCs w:val="20"/>
          <w:color w:val="auto"/>
        </w:rPr>
      </w:pPr>
    </w:p>
    <w:p>
      <w:pPr>
        <w:ind w:left="8" w:right="120" w:hanging="8"/>
        <w:spacing w:after="0" w:line="242" w:lineRule="auto"/>
        <w:tabs>
          <w:tab w:leader="none" w:pos="151"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Bakkt and Apex Fintech Solutons being unable to obtain the necessary regulatory approvals and/or otherwise fail to satsfy all closing conditons related to the Apex Crypto acquisiton; (ii) the impact of the ongoing COVID-19 pandemic; (iii) changes in the markets in which Bakkt competes, including with respect to its compettve landscape, technology evoluton or regulatory changes; (iv) changes in the</w:t>
      </w:r>
    </w:p>
    <w:p>
      <w:pPr>
        <w:spacing w:after="0" w:line="12" w:lineRule="exact"/>
        <w:rPr>
          <w:rFonts w:ascii="Calibri" w:cs="Calibri" w:eastAsia="Calibri" w:hAnsi="Calibri"/>
          <w:sz w:val="13"/>
          <w:szCs w:val="13"/>
          <w:color w:val="auto"/>
        </w:rPr>
      </w:pPr>
    </w:p>
    <w:p>
      <w:pPr>
        <w:ind w:left="8" w:right="40"/>
        <w:spacing w:after="0" w:line="242" w:lineRule="auto"/>
        <w:rPr>
          <w:rFonts w:ascii="Calibri" w:cs="Calibri" w:eastAsia="Calibri" w:hAnsi="Calibri"/>
          <w:sz w:val="13"/>
          <w:szCs w:val="13"/>
          <w:color w:val="auto"/>
        </w:rPr>
      </w:pPr>
      <w:r>
        <w:rPr>
          <w:rFonts w:ascii="Calibri" w:cs="Calibri" w:eastAsia="Calibri" w:hAnsi="Calibri"/>
          <w:sz w:val="13"/>
          <w:szCs w:val="13"/>
          <w:color w:val="auto"/>
        </w:rPr>
        <w:t>markets that Bakkt targets; (v) risk that Bakkt may not be able to execute its growth strategies, including identfying and executng acquisitons; (vi) risks relatng to data security; and (vii) risk that Bakkt may not be able to develop and maintain efectve internal controls. The foregoing list of factors is not exhaustve. You should carefully consider the foregoing factors and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7"/>
        <w:spacing w:after="0"/>
        <w:rPr>
          <w:sz w:val="20"/>
          <w:szCs w:val="20"/>
          <w:color w:val="auto"/>
        </w:rPr>
      </w:pPr>
      <w:r>
        <w:rPr>
          <w:rFonts w:ascii="Calibri" w:cs="Calibri" w:eastAsia="Calibri" w:hAnsi="Calibri"/>
          <w:sz w:val="13"/>
          <w:szCs w:val="13"/>
          <w:color w:val="auto"/>
        </w:rPr>
        <w:t>3</w:t>
      </w:r>
    </w:p>
    <w:p>
      <w:pPr>
        <w:sectPr>
          <w:pgSz w:w="11900" w:h="16838" w:orient="portrait"/>
          <w:cols w:equalWidth="0" w:num="1">
            <w:col w:w="11228"/>
          </w:cols>
          <w:pgMar w:left="292" w:top="985" w:right="379" w:bottom="1440" w:gutter="0" w:footer="0" w:header="0"/>
        </w:sectPr>
      </w:pPr>
    </w:p>
    <w:bookmarkStart w:id="7" w:name="page8"/>
    <w:bookmarkEnd w:id="7"/>
    <w:p>
      <w:pPr>
        <w:ind w:right="200"/>
        <w:spacing w:after="0" w:line="242" w:lineRule="auto"/>
        <w:rPr>
          <w:sz w:val="20"/>
          <w:szCs w:val="20"/>
          <w:color w:val="auto"/>
        </w:rPr>
      </w:pPr>
      <w:r>
        <w:rPr>
          <w:rFonts w:ascii="Calibri" w:cs="Calibri" w:eastAsia="Calibri" w:hAnsi="Calibri"/>
          <w:sz w:val="13"/>
          <w:szCs w:val="13"/>
          <w:color w:val="auto"/>
        </w:rPr>
        <w:t>the other risks and uncertaintes described under the heading “Risk Factors” in Bakkt’s flings with the Securites and Exchange Commission, including its most recent Annual Report on Form 10-K and any subsequent Quarterly Reports on Form 10-Q.</w:t>
      </w:r>
    </w:p>
    <w:p>
      <w:pPr>
        <w:spacing w:after="0" w:line="33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Defnitons</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Digital asset conversion volume:</w:t>
      </w:r>
      <w:r>
        <w:rPr>
          <w:rFonts w:ascii="Calibri" w:cs="Calibri" w:eastAsia="Calibri" w:hAnsi="Calibri"/>
          <w:sz w:val="13"/>
          <w:szCs w:val="13"/>
          <w:color w:val="auto"/>
        </w:rPr>
        <w:t xml:space="preserve"> Dollar value of transacton volume across loyalty redempton, crypto buy/sell and gif card purchases</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Transactng accounts:</w:t>
      </w:r>
      <w:r>
        <w:rPr>
          <w:rFonts w:ascii="Calibri" w:cs="Calibri" w:eastAsia="Calibri" w:hAnsi="Calibri"/>
          <w:sz w:val="13"/>
          <w:szCs w:val="13"/>
          <w:color w:val="auto"/>
        </w:rPr>
        <w:t xml:space="preserve"> Unique accounts that perform transactons on the Bakkt platorm each month</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Non-GAAP Financial Measures</w:t>
      </w:r>
    </w:p>
    <w:p>
      <w:pPr>
        <w:spacing w:after="0" w:line="104" w:lineRule="exact"/>
        <w:rPr>
          <w:sz w:val="20"/>
          <w:szCs w:val="20"/>
          <w:color w:val="auto"/>
        </w:rPr>
      </w:pPr>
    </w:p>
    <w:p>
      <w:pPr>
        <w:ind w:right="20"/>
        <w:spacing w:after="0" w:line="247" w:lineRule="auto"/>
        <w:rPr>
          <w:sz w:val="20"/>
          <w:szCs w:val="20"/>
          <w:color w:val="auto"/>
        </w:rPr>
      </w:pPr>
      <w:r>
        <w:rPr>
          <w:rFonts w:ascii="Calibri" w:cs="Calibri" w:eastAsia="Calibri" w:hAnsi="Calibri"/>
          <w:sz w:val="13"/>
          <w:szCs w:val="13"/>
          <w:color w:val="auto"/>
        </w:rPr>
        <w:t>Adjusted EBITDA is a non-GAAP fnancial measure, which we defne as earnings before interest, income taxes, depreciaton, amortzaton and certain non-cash and/or non-recurring items that do not contribute directly to our evaluaton of operatng results. Adjusted EBITDA provides management with an understanding of earnings before the impact of investng and fnancing transactons and income taxes, and the efects of aforementoned items that do not refect the ordinary earnings of our operatons. This measure may be useful to an investor in evaluatng our performance. Adjusted EBITDA is not a measure of our fnancial performance under GAAP and should not be considered as an alternatve to net income (loss) or other performance measures derived in accordance with GAAP. Our defniton of Adjusted EBITDA may not be comparable to similarly ted measures used by other companies.</w:t>
      </w:r>
    </w:p>
    <w:p>
      <w:pPr>
        <w:spacing w:after="0" w:line="101" w:lineRule="exact"/>
        <w:rPr>
          <w:sz w:val="20"/>
          <w:szCs w:val="20"/>
          <w:color w:val="auto"/>
        </w:rPr>
      </w:pPr>
    </w:p>
    <w:p>
      <w:pPr>
        <w:ind w:right="340"/>
        <w:spacing w:after="0" w:line="242" w:lineRule="auto"/>
        <w:rPr>
          <w:sz w:val="20"/>
          <w:szCs w:val="20"/>
          <w:color w:val="auto"/>
        </w:rPr>
      </w:pPr>
      <w:r>
        <w:rPr>
          <w:rFonts w:ascii="Calibri" w:cs="Calibri" w:eastAsia="Calibri" w:hAnsi="Calibri"/>
          <w:sz w:val="13"/>
          <w:szCs w:val="13"/>
          <w:color w:val="auto"/>
        </w:rPr>
        <w:t>Non-GAAP fnancial measures like Adjusted EBITDA have limitatons, should be considered as supplemental in nature and are not meant as a substtute for the related fnancial informaton prepared in accordance with GAAP. These limitatons include the following:</w:t>
      </w:r>
    </w:p>
    <w:p>
      <w:pPr>
        <w:spacing w:after="0" w:line="101" w:lineRule="exact"/>
        <w:rPr>
          <w:sz w:val="20"/>
          <w:szCs w:val="20"/>
          <w:color w:val="auto"/>
        </w:rPr>
      </w:pPr>
    </w:p>
    <w:p>
      <w:pPr>
        <w:ind w:left="420" w:hanging="212"/>
        <w:spacing w:after="0"/>
        <w:tabs>
          <w:tab w:leader="none" w:pos="4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share-based and unit-based compensaton expense, including changes in the fair value of our partcipaton unit liability, which has been excluded from Adjusted EBITDA because the amount of such</w:t>
      </w:r>
    </w:p>
    <w:p>
      <w:pPr>
        <w:spacing w:after="0" w:line="14" w:lineRule="exact"/>
        <w:rPr>
          <w:rFonts w:ascii="Calibri" w:cs="Calibri" w:eastAsia="Calibri" w:hAnsi="Calibri"/>
          <w:sz w:val="13"/>
          <w:szCs w:val="13"/>
          <w:color w:val="auto"/>
        </w:rPr>
      </w:pPr>
    </w:p>
    <w:p>
      <w:pPr>
        <w:ind w:left="420" w:right="460"/>
        <w:spacing w:after="0" w:line="242" w:lineRule="auto"/>
        <w:rPr>
          <w:rFonts w:ascii="Calibri" w:cs="Calibri" w:eastAsia="Calibri" w:hAnsi="Calibri"/>
          <w:sz w:val="13"/>
          <w:szCs w:val="13"/>
          <w:color w:val="auto"/>
        </w:rPr>
      </w:pPr>
      <w:r>
        <w:rPr>
          <w:rFonts w:ascii="Calibri" w:cs="Calibri" w:eastAsia="Calibri" w:hAnsi="Calibri"/>
          <w:sz w:val="13"/>
          <w:szCs w:val="13"/>
          <w:color w:val="auto"/>
        </w:rPr>
        <w:t>expenses in any specifc period may not directly correlate to the underlying performance of our business operatons, has been, and will contnue to be for the foreseeable future, a signifcant recurring expense in our business and an important part of our compensaton strategy;</w:t>
      </w:r>
    </w:p>
    <w:p>
      <w:pPr>
        <w:spacing w:after="0" w:line="2" w:lineRule="exact"/>
        <w:rPr>
          <w:rFonts w:ascii="Calibri" w:cs="Calibri" w:eastAsia="Calibri" w:hAnsi="Calibri"/>
          <w:sz w:val="13"/>
          <w:szCs w:val="13"/>
          <w:color w:val="auto"/>
        </w:rPr>
      </w:pPr>
    </w:p>
    <w:p>
      <w:pPr>
        <w:ind w:left="420" w:hanging="212"/>
        <w:spacing w:after="0"/>
        <w:tabs>
          <w:tab w:leader="none" w:pos="4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goodwill and intangible asset impairment charges have been excluded from Adjusted EBITDA given their non-recurring nature and non-cash impact;</w:t>
      </w:r>
    </w:p>
    <w:p>
      <w:pPr>
        <w:spacing w:after="0" w:line="14" w:lineRule="exact"/>
        <w:rPr>
          <w:rFonts w:ascii="Calibri" w:cs="Calibri" w:eastAsia="Calibri" w:hAnsi="Calibri"/>
          <w:sz w:val="13"/>
          <w:szCs w:val="13"/>
          <w:color w:val="auto"/>
        </w:rPr>
      </w:pPr>
    </w:p>
    <w:p>
      <w:pPr>
        <w:ind w:left="420" w:hanging="212"/>
        <w:spacing w:after="0" w:line="242" w:lineRule="auto"/>
        <w:tabs>
          <w:tab w:leader="none" w:pos="415"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changes in the fair value of our warrant liability, which in any specifc period may not directly correlate to the underlying performance of our business operatons, and do not necessarily refect future cash outlays as the liability is measured at each reportng date;</w:t>
      </w:r>
    </w:p>
    <w:p>
      <w:pPr>
        <w:spacing w:after="0" w:line="3" w:lineRule="exact"/>
        <w:rPr>
          <w:rFonts w:ascii="Calibri" w:cs="Calibri" w:eastAsia="Calibri" w:hAnsi="Calibri"/>
          <w:sz w:val="13"/>
          <w:szCs w:val="13"/>
          <w:color w:val="auto"/>
        </w:rPr>
      </w:pPr>
    </w:p>
    <w:p>
      <w:pPr>
        <w:ind w:left="420" w:right="420" w:hanging="212"/>
        <w:spacing w:after="0" w:line="251" w:lineRule="auto"/>
        <w:tabs>
          <w:tab w:leader="none" w:pos="415"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the intangible assets being amortzed, and property and equipment being depreciated, may have to be replaced in the future, and the non-GAAP fnancial measures do not refect cash capital expenditure requirements for such replacements or for new capital expenditures or other capital commitments; and</w:t>
      </w:r>
    </w:p>
    <w:p>
      <w:pPr>
        <w:ind w:left="420" w:hanging="212"/>
        <w:spacing w:after="0"/>
        <w:tabs>
          <w:tab w:leader="none" w:pos="4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non-GAAP measures do not refect changes in, or cash requirements for, our working capital needs.</w:t>
      </w:r>
    </w:p>
    <w:p>
      <w:pPr>
        <w:spacing w:after="0" w:line="327" w:lineRule="exact"/>
        <w:rPr>
          <w:sz w:val="20"/>
          <w:szCs w:val="20"/>
          <w:color w:val="auto"/>
        </w:rPr>
      </w:pPr>
    </w:p>
    <w:p>
      <w:pPr>
        <w:spacing w:after="0"/>
        <w:rPr>
          <w:sz w:val="20"/>
          <w:szCs w:val="20"/>
          <w:color w:val="auto"/>
        </w:rPr>
      </w:pPr>
      <w:r>
        <w:rPr>
          <w:rFonts w:ascii="Calibri" w:cs="Calibri" w:eastAsia="Calibri" w:hAnsi="Calibri"/>
          <w:sz w:val="13"/>
          <w:szCs w:val="13"/>
          <w:color w:val="auto"/>
        </w:rPr>
        <w:t>Because of these limitatons, Adjusted EBITDA should be considered alongside other fnancial performance measures, including net loss and our other fnancial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Calibri" w:cs="Calibri" w:eastAsia="Calibri" w:hAnsi="Calibri"/>
          <w:sz w:val="13"/>
          <w:szCs w:val="13"/>
          <w:color w:val="auto"/>
        </w:rPr>
        <w:t>4</w:t>
      </w:r>
    </w:p>
    <w:p>
      <w:pPr>
        <w:sectPr>
          <w:pgSz w:w="11900" w:h="16838" w:orient="portrait"/>
          <w:cols w:equalWidth="0" w:num="1">
            <w:col w:w="11240"/>
          </w:cols>
          <w:pgMar w:left="300" w:top="987" w:right="359" w:bottom="1440" w:gutter="0" w:footer="0" w:header="0"/>
        </w:sectPr>
      </w:pPr>
    </w:p>
    <w:bookmarkStart w:id="8" w:name="page9"/>
    <w:bookmarkEnd w:id="8"/>
    <w:p>
      <w:pPr>
        <w:ind w:left="8"/>
        <w:spacing w:after="0"/>
        <w:rPr>
          <w:sz w:val="20"/>
          <w:szCs w:val="20"/>
          <w:color w:val="auto"/>
        </w:rPr>
      </w:pPr>
      <w:r>
        <w:rPr>
          <w:rFonts w:ascii="Calibri" w:cs="Calibri" w:eastAsia="Calibri" w:hAnsi="Calibri"/>
          <w:sz w:val="13"/>
          <w:szCs w:val="13"/>
          <w:b w:val="1"/>
          <w:bCs w:val="1"/>
          <w:color w:val="auto"/>
        </w:rPr>
        <w:t>Reconciliaton of GAAP Net Income / (Loss) to Non-GAAP Adjusted EBITDA ($ in millions) (unaudited)</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6040" w:type="dxa"/>
            <w:vAlign w:val="bottom"/>
            <w:shd w:val="clear" w:color="auto" w:fill="000000"/>
          </w:tcPr>
          <w:p>
            <w:pPr>
              <w:spacing w:after="0"/>
              <w:rPr>
                <w:sz w:val="14"/>
                <w:szCs w:val="14"/>
                <w:color w:val="auto"/>
              </w:rPr>
            </w:pPr>
          </w:p>
        </w:tc>
        <w:tc>
          <w:tcPr>
            <w:tcW w:w="2640" w:type="dxa"/>
            <w:vAlign w:val="bottom"/>
            <w:tcBorders>
              <w:right w:val="single" w:sz="8" w:color="auto"/>
            </w:tcBorders>
            <w:shd w:val="clear" w:color="auto" w:fill="000000"/>
          </w:tcPr>
          <w:p>
            <w:pPr>
              <w:jc w:val="right"/>
              <w:spacing w:after="0"/>
              <w:rPr>
                <w:sz w:val="20"/>
                <w:szCs w:val="20"/>
                <w:color w:val="auto"/>
              </w:rPr>
            </w:pPr>
            <w:r>
              <w:rPr>
                <w:rFonts w:ascii="Calibri" w:cs="Calibri" w:eastAsia="Calibri" w:hAnsi="Calibri"/>
                <w:sz w:val="12"/>
                <w:szCs w:val="12"/>
                <w:b w:val="1"/>
                <w:bCs w:val="1"/>
                <w:color w:val="FFFFFF"/>
              </w:rPr>
              <w:t>Successor</w:t>
            </w:r>
          </w:p>
        </w:tc>
        <w:tc>
          <w:tcPr>
            <w:tcW w:w="2620" w:type="dxa"/>
            <w:vAlign w:val="bottom"/>
            <w:shd w:val="clear" w:color="auto" w:fill="000000"/>
          </w:tcPr>
          <w:p>
            <w:pPr>
              <w:jc w:val="right"/>
              <w:spacing w:after="0"/>
              <w:rPr>
                <w:sz w:val="20"/>
                <w:szCs w:val="20"/>
                <w:color w:val="auto"/>
              </w:rPr>
            </w:pPr>
            <w:r>
              <w:rPr>
                <w:rFonts w:ascii="Calibri" w:cs="Calibri" w:eastAsia="Calibri" w:hAnsi="Calibri"/>
                <w:sz w:val="12"/>
                <w:szCs w:val="12"/>
                <w:b w:val="1"/>
                <w:bCs w:val="1"/>
                <w:color w:val="FFFFFF"/>
              </w:rPr>
              <w:t>Predecessor</w:t>
            </w:r>
          </w:p>
        </w:tc>
        <w:tc>
          <w:tcPr>
            <w:tcW w:w="0" w:type="dxa"/>
            <w:vAlign w:val="bottom"/>
          </w:tcPr>
          <w:p>
            <w:pPr>
              <w:spacing w:after="0"/>
              <w:rPr>
                <w:sz w:val="1"/>
                <w:szCs w:val="1"/>
                <w:color w:val="auto"/>
              </w:rPr>
            </w:pPr>
          </w:p>
        </w:tc>
      </w:tr>
      <w:tr>
        <w:trPr>
          <w:trHeight w:val="160"/>
        </w:trPr>
        <w:tc>
          <w:tcPr>
            <w:tcW w:w="6040" w:type="dxa"/>
            <w:vAlign w:val="bottom"/>
            <w:tcBorders>
              <w:bottom w:val="single" w:sz="8" w:color="auto"/>
            </w:tcBorders>
            <w:shd w:val="clear" w:color="auto" w:fill="000000"/>
          </w:tcPr>
          <w:p>
            <w:pPr>
              <w:spacing w:after="0"/>
              <w:rPr>
                <w:sz w:val="13"/>
                <w:szCs w:val="13"/>
                <w:color w:val="auto"/>
              </w:rPr>
            </w:pPr>
          </w:p>
        </w:tc>
        <w:tc>
          <w:tcPr>
            <w:tcW w:w="2640" w:type="dxa"/>
            <w:vAlign w:val="bottom"/>
            <w:tcBorders>
              <w:bottom w:val="single" w:sz="8" w:color="auto"/>
              <w:right w:val="single" w:sz="8" w:color="auto"/>
            </w:tcBorders>
            <w:shd w:val="clear" w:color="auto" w:fill="000000"/>
          </w:tcPr>
          <w:p>
            <w:pPr>
              <w:jc w:val="right"/>
              <w:spacing w:after="0" w:line="145" w:lineRule="exact"/>
              <w:rPr>
                <w:sz w:val="20"/>
                <w:szCs w:val="20"/>
                <w:color w:val="auto"/>
              </w:rPr>
            </w:pPr>
            <w:r>
              <w:rPr>
                <w:rFonts w:ascii="Calibri" w:cs="Calibri" w:eastAsia="Calibri" w:hAnsi="Calibri"/>
                <w:sz w:val="12"/>
                <w:szCs w:val="12"/>
                <w:b w:val="1"/>
                <w:bCs w:val="1"/>
                <w:color w:val="FFFFFF"/>
              </w:rPr>
              <w:t>3Q22</w:t>
            </w:r>
          </w:p>
        </w:tc>
        <w:tc>
          <w:tcPr>
            <w:tcW w:w="2620" w:type="dxa"/>
            <w:vAlign w:val="bottom"/>
            <w:tcBorders>
              <w:bottom w:val="single" w:sz="8" w:color="auto"/>
            </w:tcBorders>
            <w:shd w:val="clear" w:color="auto" w:fill="000000"/>
          </w:tcPr>
          <w:p>
            <w:pPr>
              <w:jc w:val="right"/>
              <w:spacing w:after="0" w:line="145" w:lineRule="exact"/>
              <w:rPr>
                <w:sz w:val="20"/>
                <w:szCs w:val="20"/>
                <w:color w:val="auto"/>
              </w:rPr>
            </w:pPr>
            <w:r>
              <w:rPr>
                <w:rFonts w:ascii="Calibri" w:cs="Calibri" w:eastAsia="Calibri" w:hAnsi="Calibri"/>
                <w:sz w:val="12"/>
                <w:szCs w:val="12"/>
                <w:b w:val="1"/>
                <w:bCs w:val="1"/>
                <w:color w:val="FFFFFF"/>
              </w:rPr>
              <w:t>3Q21</w:t>
            </w:r>
          </w:p>
        </w:tc>
        <w:tc>
          <w:tcPr>
            <w:tcW w:w="0" w:type="dxa"/>
            <w:vAlign w:val="bottom"/>
          </w:tcPr>
          <w:p>
            <w:pPr>
              <w:spacing w:after="0"/>
              <w:rPr>
                <w:sz w:val="1"/>
                <w:szCs w:val="1"/>
                <w:color w:val="auto"/>
              </w:rPr>
            </w:pPr>
          </w:p>
        </w:tc>
      </w:tr>
      <w:tr>
        <w:trPr>
          <w:trHeight w:val="142"/>
        </w:trPr>
        <w:tc>
          <w:tcPr>
            <w:tcW w:w="6040" w:type="dxa"/>
            <w:vAlign w:val="bottom"/>
          </w:tcPr>
          <w:p>
            <w:pPr>
              <w:spacing w:after="0" w:line="142" w:lineRule="exact"/>
              <w:rPr>
                <w:sz w:val="20"/>
                <w:szCs w:val="20"/>
                <w:color w:val="auto"/>
              </w:rPr>
            </w:pPr>
            <w:r>
              <w:rPr>
                <w:rFonts w:ascii="Calibri" w:cs="Calibri" w:eastAsia="Calibri" w:hAnsi="Calibri"/>
                <w:sz w:val="12"/>
                <w:szCs w:val="12"/>
                <w:color w:val="auto"/>
              </w:rPr>
              <w:t>Net loss</w:t>
            </w:r>
          </w:p>
        </w:tc>
        <w:tc>
          <w:tcPr>
            <w:tcW w:w="2640" w:type="dxa"/>
            <w:vAlign w:val="bottom"/>
            <w:tcBorders>
              <w:right w:val="single" w:sz="8" w:color="auto"/>
            </w:tcBorders>
          </w:tcPr>
          <w:p>
            <w:pPr>
              <w:jc w:val="right"/>
              <w:spacing w:after="0" w:line="142" w:lineRule="exact"/>
              <w:rPr>
                <w:sz w:val="20"/>
                <w:szCs w:val="20"/>
                <w:color w:val="auto"/>
              </w:rPr>
            </w:pPr>
            <w:r>
              <w:rPr>
                <w:rFonts w:ascii="Calibri" w:cs="Calibri" w:eastAsia="Calibri" w:hAnsi="Calibri"/>
                <w:sz w:val="12"/>
                <w:szCs w:val="12"/>
                <w:color w:val="auto"/>
              </w:rPr>
              <w:t>$(1,592.5)</w:t>
            </w:r>
          </w:p>
        </w:tc>
        <w:tc>
          <w:tcPr>
            <w:tcW w:w="2620" w:type="dxa"/>
            <w:vAlign w:val="bottom"/>
          </w:tcPr>
          <w:p>
            <w:pPr>
              <w:jc w:val="right"/>
              <w:spacing w:after="0" w:line="142" w:lineRule="exact"/>
              <w:rPr>
                <w:sz w:val="20"/>
                <w:szCs w:val="20"/>
                <w:color w:val="auto"/>
              </w:rPr>
            </w:pPr>
            <w:r>
              <w:rPr>
                <w:rFonts w:ascii="Calibri" w:cs="Calibri" w:eastAsia="Calibri" w:hAnsi="Calibri"/>
                <w:sz w:val="12"/>
                <w:szCs w:val="12"/>
                <w:color w:val="auto"/>
              </w:rPr>
              <w:t>$(28.8)</w:t>
            </w:r>
          </w:p>
        </w:tc>
        <w:tc>
          <w:tcPr>
            <w:tcW w:w="0" w:type="dxa"/>
            <w:vAlign w:val="bottom"/>
          </w:tcPr>
          <w:p>
            <w:pPr>
              <w:spacing w:after="0"/>
              <w:rPr>
                <w:sz w:val="1"/>
                <w:szCs w:val="1"/>
                <w:color w:val="auto"/>
              </w:rPr>
            </w:pPr>
          </w:p>
        </w:tc>
      </w:tr>
      <w:tr>
        <w:trPr>
          <w:trHeight w:val="165"/>
        </w:trPr>
        <w:tc>
          <w:tcPr>
            <w:tcW w:w="6040" w:type="dxa"/>
            <w:vAlign w:val="bottom"/>
          </w:tcPr>
          <w:p>
            <w:pPr>
              <w:ind w:left="80"/>
              <w:spacing w:after="0"/>
              <w:rPr>
                <w:sz w:val="20"/>
                <w:szCs w:val="20"/>
                <w:color w:val="auto"/>
              </w:rPr>
            </w:pPr>
            <w:r>
              <w:rPr>
                <w:rFonts w:ascii="Calibri" w:cs="Calibri" w:eastAsia="Calibri" w:hAnsi="Calibri"/>
                <w:sz w:val="12"/>
                <w:szCs w:val="12"/>
                <w:color w:val="auto"/>
              </w:rPr>
              <w:t>Depreciaton and amortzaton</w:t>
            </w:r>
          </w:p>
        </w:tc>
        <w:tc>
          <w:tcPr>
            <w:tcW w:w="264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6.4</w:t>
            </w:r>
          </w:p>
        </w:tc>
        <w:tc>
          <w:tcPr>
            <w:tcW w:w="2620" w:type="dxa"/>
            <w:vAlign w:val="bottom"/>
          </w:tcPr>
          <w:p>
            <w:pPr>
              <w:jc w:val="right"/>
              <w:spacing w:after="0"/>
              <w:rPr>
                <w:sz w:val="20"/>
                <w:szCs w:val="20"/>
                <w:color w:val="auto"/>
              </w:rPr>
            </w:pPr>
            <w:r>
              <w:rPr>
                <w:rFonts w:ascii="Calibri" w:cs="Calibri" w:eastAsia="Calibri" w:hAnsi="Calibri"/>
                <w:sz w:val="12"/>
                <w:szCs w:val="12"/>
                <w:color w:val="auto"/>
              </w:rPr>
              <w:t>3.3</w:t>
            </w:r>
          </w:p>
        </w:tc>
        <w:tc>
          <w:tcPr>
            <w:tcW w:w="0" w:type="dxa"/>
            <w:vAlign w:val="bottom"/>
          </w:tcPr>
          <w:p>
            <w:pPr>
              <w:spacing w:after="0"/>
              <w:rPr>
                <w:sz w:val="1"/>
                <w:szCs w:val="1"/>
                <w:color w:val="auto"/>
              </w:rPr>
            </w:pPr>
          </w:p>
        </w:tc>
      </w:tr>
      <w:tr>
        <w:trPr>
          <w:trHeight w:val="171"/>
        </w:trPr>
        <w:tc>
          <w:tcPr>
            <w:tcW w:w="6040" w:type="dxa"/>
            <w:vAlign w:val="bottom"/>
          </w:tcPr>
          <w:p>
            <w:pPr>
              <w:ind w:left="80"/>
              <w:spacing w:after="0"/>
              <w:rPr>
                <w:sz w:val="20"/>
                <w:szCs w:val="20"/>
                <w:color w:val="auto"/>
              </w:rPr>
            </w:pPr>
            <w:r>
              <w:rPr>
                <w:rFonts w:ascii="Calibri" w:cs="Calibri" w:eastAsia="Calibri" w:hAnsi="Calibri"/>
                <w:sz w:val="12"/>
                <w:szCs w:val="12"/>
                <w:color w:val="auto"/>
              </w:rPr>
              <w:t>Interest (income) expense</w:t>
            </w:r>
          </w:p>
        </w:tc>
        <w:tc>
          <w:tcPr>
            <w:tcW w:w="264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(0.6)</w:t>
            </w:r>
          </w:p>
        </w:tc>
        <w:tc>
          <w:tcPr>
            <w:tcW w:w="2620" w:type="dxa"/>
            <w:vAlign w:val="bottom"/>
          </w:tcPr>
          <w:p>
            <w:pPr>
              <w:jc w:val="right"/>
              <w:spacing w:after="0"/>
              <w:rPr>
                <w:sz w:val="20"/>
                <w:szCs w:val="20"/>
                <w:color w:val="auto"/>
              </w:rPr>
            </w:pPr>
            <w:r>
              <w:rPr>
                <w:rFonts w:ascii="Calibri" w:cs="Calibri" w:eastAsia="Calibri" w:hAnsi="Calibri"/>
                <w:sz w:val="12"/>
                <w:szCs w:val="12"/>
                <w:color w:val="auto"/>
              </w:rPr>
              <w:t>0.1</w:t>
            </w:r>
          </w:p>
        </w:tc>
        <w:tc>
          <w:tcPr>
            <w:tcW w:w="0" w:type="dxa"/>
            <w:vAlign w:val="bottom"/>
          </w:tcPr>
          <w:p>
            <w:pPr>
              <w:spacing w:after="0"/>
              <w:rPr>
                <w:sz w:val="1"/>
                <w:szCs w:val="1"/>
                <w:color w:val="auto"/>
              </w:rPr>
            </w:pPr>
          </w:p>
        </w:tc>
      </w:tr>
      <w:tr>
        <w:trPr>
          <w:trHeight w:val="171"/>
        </w:trPr>
        <w:tc>
          <w:tcPr>
            <w:tcW w:w="6040" w:type="dxa"/>
            <w:vAlign w:val="bottom"/>
          </w:tcPr>
          <w:p>
            <w:pPr>
              <w:ind w:left="80"/>
              <w:spacing w:after="0"/>
              <w:rPr>
                <w:sz w:val="20"/>
                <w:szCs w:val="20"/>
                <w:color w:val="auto"/>
              </w:rPr>
            </w:pPr>
            <w:r>
              <w:rPr>
                <w:rFonts w:ascii="Calibri" w:cs="Calibri" w:eastAsia="Calibri" w:hAnsi="Calibri"/>
                <w:sz w:val="12"/>
                <w:szCs w:val="12"/>
                <w:color w:val="auto"/>
              </w:rPr>
              <w:t>Income tax (beneft) expense</w:t>
            </w:r>
          </w:p>
        </w:tc>
        <w:tc>
          <w:tcPr>
            <w:tcW w:w="264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(0.6)</w:t>
            </w:r>
          </w:p>
        </w:tc>
        <w:tc>
          <w:tcPr>
            <w:tcW w:w="26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35"/>
        </w:trPr>
        <w:tc>
          <w:tcPr>
            <w:tcW w:w="6040" w:type="dxa"/>
            <w:vAlign w:val="bottom"/>
            <w:vMerge w:val="restart"/>
          </w:tcPr>
          <w:p>
            <w:pPr>
              <w:spacing w:after="0"/>
              <w:rPr>
                <w:sz w:val="20"/>
                <w:szCs w:val="20"/>
                <w:color w:val="auto"/>
              </w:rPr>
            </w:pPr>
            <w:r>
              <w:rPr>
                <w:rFonts w:ascii="Calibri" w:cs="Calibri" w:eastAsia="Calibri" w:hAnsi="Calibri"/>
                <w:sz w:val="12"/>
                <w:szCs w:val="12"/>
                <w:b w:val="1"/>
                <w:bCs w:val="1"/>
                <w:color w:val="auto"/>
              </w:rPr>
              <w:t>EBITDA</w:t>
            </w:r>
          </w:p>
        </w:tc>
        <w:tc>
          <w:tcPr>
            <w:tcW w:w="264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040" w:type="dxa"/>
            <w:vAlign w:val="bottom"/>
            <w:vMerge w:val="continue"/>
          </w:tcPr>
          <w:p>
            <w:pPr>
              <w:spacing w:after="0"/>
              <w:rPr>
                <w:sz w:val="11"/>
                <w:szCs w:val="11"/>
                <w:color w:val="auto"/>
              </w:rPr>
            </w:pPr>
          </w:p>
        </w:tc>
        <w:tc>
          <w:tcPr>
            <w:tcW w:w="264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$(1,587.4)</w:t>
            </w:r>
          </w:p>
        </w:tc>
        <w:tc>
          <w:tcPr>
            <w:tcW w:w="2620" w:type="dxa"/>
            <w:vAlign w:val="bottom"/>
          </w:tcPr>
          <w:p>
            <w:pPr>
              <w:jc w:val="right"/>
              <w:spacing w:after="0" w:line="131" w:lineRule="exact"/>
              <w:rPr>
                <w:sz w:val="20"/>
                <w:szCs w:val="20"/>
                <w:color w:val="auto"/>
              </w:rPr>
            </w:pPr>
            <w:r>
              <w:rPr>
                <w:rFonts w:ascii="Calibri" w:cs="Calibri" w:eastAsia="Calibri" w:hAnsi="Calibri"/>
                <w:sz w:val="12"/>
                <w:szCs w:val="12"/>
                <w:color w:val="auto"/>
              </w:rPr>
              <w:t>$(25.5)</w:t>
            </w:r>
          </w:p>
        </w:tc>
        <w:tc>
          <w:tcPr>
            <w:tcW w:w="0" w:type="dxa"/>
            <w:vAlign w:val="bottom"/>
          </w:tcPr>
          <w:p>
            <w:pPr>
              <w:spacing w:after="0"/>
              <w:rPr>
                <w:sz w:val="1"/>
                <w:szCs w:val="1"/>
                <w:color w:val="auto"/>
              </w:rPr>
            </w:pPr>
          </w:p>
        </w:tc>
      </w:tr>
      <w:tr>
        <w:trPr>
          <w:trHeight w:val="471"/>
        </w:trPr>
        <w:tc>
          <w:tcPr>
            <w:tcW w:w="6040" w:type="dxa"/>
            <w:vAlign w:val="bottom"/>
          </w:tcPr>
          <w:p>
            <w:pPr>
              <w:spacing w:after="0"/>
              <w:rPr>
                <w:sz w:val="20"/>
                <w:szCs w:val="20"/>
                <w:color w:val="auto"/>
              </w:rPr>
            </w:pPr>
            <w:r>
              <w:rPr>
                <w:rFonts w:ascii="Calibri" w:cs="Calibri" w:eastAsia="Calibri" w:hAnsi="Calibri"/>
                <w:sz w:val="12"/>
                <w:szCs w:val="12"/>
                <w:color w:val="auto"/>
              </w:rPr>
              <w:t>Acquisiton-related expenses</w:t>
            </w:r>
          </w:p>
        </w:tc>
        <w:tc>
          <w:tcPr>
            <w:tcW w:w="264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0.5</w:t>
            </w:r>
          </w:p>
        </w:tc>
        <w:tc>
          <w:tcPr>
            <w:tcW w:w="2620" w:type="dxa"/>
            <w:vAlign w:val="bottom"/>
          </w:tcPr>
          <w:p>
            <w:pPr>
              <w:jc w:val="right"/>
              <w:spacing w:after="0"/>
              <w:rPr>
                <w:sz w:val="20"/>
                <w:szCs w:val="20"/>
                <w:color w:val="auto"/>
              </w:rPr>
            </w:pPr>
            <w:r>
              <w:rPr>
                <w:rFonts w:ascii="Calibri" w:cs="Calibri" w:eastAsia="Calibri" w:hAnsi="Calibri"/>
                <w:sz w:val="12"/>
                <w:szCs w:val="12"/>
                <w:color w:val="auto"/>
              </w:rPr>
              <w:t>1.8</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20"/>
                <w:szCs w:val="20"/>
                <w:color w:val="auto"/>
              </w:rPr>
            </w:pPr>
            <w:r>
              <w:rPr>
                <w:rFonts w:ascii="Calibri" w:cs="Calibri" w:eastAsia="Calibri" w:hAnsi="Calibri"/>
                <w:sz w:val="12"/>
                <w:szCs w:val="12"/>
                <w:color w:val="auto"/>
              </w:rPr>
              <w:t>Share-based and unit-based compensaton expense</w:t>
            </w:r>
          </w:p>
        </w:tc>
        <w:tc>
          <w:tcPr>
            <w:tcW w:w="264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8.8</w:t>
            </w:r>
          </w:p>
        </w:tc>
        <w:tc>
          <w:tcPr>
            <w:tcW w:w="2620" w:type="dxa"/>
            <w:vAlign w:val="bottom"/>
          </w:tcPr>
          <w:p>
            <w:pPr>
              <w:jc w:val="right"/>
              <w:spacing w:after="0"/>
              <w:rPr>
                <w:sz w:val="20"/>
                <w:szCs w:val="20"/>
                <w:color w:val="auto"/>
              </w:rPr>
            </w:pPr>
            <w:r>
              <w:rPr>
                <w:rFonts w:ascii="Calibri" w:cs="Calibri" w:eastAsia="Calibri" w:hAnsi="Calibri"/>
                <w:sz w:val="12"/>
                <w:szCs w:val="12"/>
                <w:color w:val="auto"/>
              </w:rPr>
              <w:t>0.6</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20"/>
                <w:szCs w:val="20"/>
                <w:color w:val="auto"/>
              </w:rPr>
            </w:pPr>
            <w:r>
              <w:rPr>
                <w:rFonts w:ascii="Calibri" w:cs="Calibri" w:eastAsia="Calibri" w:hAnsi="Calibri"/>
                <w:sz w:val="12"/>
                <w:szCs w:val="12"/>
                <w:color w:val="auto"/>
              </w:rPr>
              <w:t>(Gain) from change in fair value of warrant liability</w:t>
            </w:r>
          </w:p>
        </w:tc>
        <w:tc>
          <w:tcPr>
            <w:tcW w:w="264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(0.4)</w:t>
            </w:r>
          </w:p>
        </w:tc>
        <w:tc>
          <w:tcPr>
            <w:tcW w:w="26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20"/>
                <w:szCs w:val="20"/>
                <w:color w:val="auto"/>
              </w:rPr>
            </w:pPr>
            <w:r>
              <w:rPr>
                <w:rFonts w:ascii="Calibri" w:cs="Calibri" w:eastAsia="Calibri" w:hAnsi="Calibri"/>
                <w:sz w:val="12"/>
                <w:szCs w:val="12"/>
                <w:color w:val="auto"/>
              </w:rPr>
              <w:t>Goodwill and intangible assets impairments</w:t>
            </w:r>
          </w:p>
        </w:tc>
        <w:tc>
          <w:tcPr>
            <w:tcW w:w="264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1,547.7</w:t>
            </w:r>
          </w:p>
        </w:tc>
        <w:tc>
          <w:tcPr>
            <w:tcW w:w="26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206"/>
        </w:trPr>
        <w:tc>
          <w:tcPr>
            <w:tcW w:w="6040" w:type="dxa"/>
            <w:vAlign w:val="bottom"/>
          </w:tcPr>
          <w:p>
            <w:pPr>
              <w:spacing w:after="0"/>
              <w:rPr>
                <w:sz w:val="20"/>
                <w:szCs w:val="20"/>
                <w:color w:val="auto"/>
              </w:rPr>
            </w:pPr>
            <w:r>
              <w:rPr>
                <w:rFonts w:ascii="Calibri" w:cs="Calibri" w:eastAsia="Calibri" w:hAnsi="Calibri"/>
                <w:sz w:val="12"/>
                <w:szCs w:val="12"/>
                <w:color w:val="auto"/>
              </w:rPr>
              <w:t>Other</w:t>
            </w:r>
            <w:r>
              <w:rPr>
                <w:rFonts w:ascii="Calibri" w:cs="Calibri" w:eastAsia="Calibri" w:hAnsi="Calibri"/>
                <w:sz w:val="15"/>
                <w:szCs w:val="15"/>
                <w:color w:val="auto"/>
                <w:vertAlign w:val="superscript"/>
              </w:rPr>
              <w:t>1</w:t>
            </w:r>
          </w:p>
        </w:tc>
        <w:tc>
          <w:tcPr>
            <w:tcW w:w="264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0.2</w:t>
            </w:r>
          </w:p>
        </w:tc>
        <w:tc>
          <w:tcPr>
            <w:tcW w:w="262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color w:val="auto"/>
              </w:rPr>
              <w:t>(1.0)</w:t>
            </w:r>
          </w:p>
        </w:tc>
        <w:tc>
          <w:tcPr>
            <w:tcW w:w="0" w:type="dxa"/>
            <w:vAlign w:val="bottom"/>
          </w:tcPr>
          <w:p>
            <w:pPr>
              <w:spacing w:after="0"/>
              <w:rPr>
                <w:sz w:val="1"/>
                <w:szCs w:val="1"/>
                <w:color w:val="auto"/>
              </w:rPr>
            </w:pPr>
          </w:p>
        </w:tc>
      </w:tr>
      <w:tr>
        <w:trPr>
          <w:trHeight w:val="131"/>
        </w:trPr>
        <w:tc>
          <w:tcPr>
            <w:tcW w:w="6040" w:type="dxa"/>
            <w:vAlign w:val="bottom"/>
          </w:tcPr>
          <w:p>
            <w:pPr>
              <w:spacing w:after="0" w:line="122" w:lineRule="exact"/>
              <w:rPr>
                <w:sz w:val="20"/>
                <w:szCs w:val="20"/>
                <w:color w:val="auto"/>
              </w:rPr>
            </w:pPr>
            <w:r>
              <w:rPr>
                <w:rFonts w:ascii="Calibri" w:cs="Calibri" w:eastAsia="Calibri" w:hAnsi="Calibri"/>
                <w:sz w:val="12"/>
                <w:szCs w:val="12"/>
                <w:b w:val="1"/>
                <w:bCs w:val="1"/>
                <w:color w:val="auto"/>
              </w:rPr>
              <w:t>Adjusted EBITDA</w:t>
            </w:r>
          </w:p>
        </w:tc>
        <w:tc>
          <w:tcPr>
            <w:tcW w:w="264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2"/>
                <w:szCs w:val="12"/>
                <w:b w:val="1"/>
                <w:bCs w:val="1"/>
                <w:color w:val="auto"/>
              </w:rPr>
              <w:t>$(30.7)</w:t>
            </w:r>
          </w:p>
        </w:tc>
        <w:tc>
          <w:tcPr>
            <w:tcW w:w="2620" w:type="dxa"/>
            <w:vAlign w:val="bottom"/>
          </w:tcPr>
          <w:p>
            <w:pPr>
              <w:jc w:val="right"/>
              <w:spacing w:after="0" w:line="131" w:lineRule="exact"/>
              <w:rPr>
                <w:sz w:val="20"/>
                <w:szCs w:val="20"/>
                <w:color w:val="auto"/>
              </w:rPr>
            </w:pPr>
            <w:r>
              <w:rPr>
                <w:rFonts w:ascii="Calibri" w:cs="Calibri" w:eastAsia="Calibri" w:hAnsi="Calibri"/>
                <w:sz w:val="12"/>
                <w:szCs w:val="12"/>
                <w:b w:val="1"/>
                <w:bCs w:val="1"/>
                <w:color w:val="auto"/>
              </w:rPr>
              <w:t>$(24.1)</w:t>
            </w:r>
          </w:p>
        </w:tc>
        <w:tc>
          <w:tcPr>
            <w:tcW w:w="0" w:type="dxa"/>
            <w:vAlign w:val="bottom"/>
          </w:tcPr>
          <w:p>
            <w:pPr>
              <w:spacing w:after="0"/>
              <w:rPr>
                <w:sz w:val="1"/>
                <w:szCs w:val="1"/>
                <w:color w:val="auto"/>
              </w:rPr>
            </w:pPr>
          </w:p>
        </w:tc>
      </w:tr>
      <w:tr>
        <w:trPr>
          <w:trHeight w:val="29"/>
        </w:trPr>
        <w:tc>
          <w:tcPr>
            <w:tcW w:w="6040" w:type="dxa"/>
            <w:vAlign w:val="bottom"/>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60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5201285</wp:posOffset>
            </wp:positionH>
            <wp:positionV relativeFrom="paragraph">
              <wp:posOffset>-1610995</wp:posOffset>
            </wp:positionV>
            <wp:extent cx="30035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6796405</wp:posOffset>
            </wp:positionH>
            <wp:positionV relativeFrom="paragraph">
              <wp:posOffset>-1610995</wp:posOffset>
            </wp:positionV>
            <wp:extent cx="37401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4015" cy="5715"/>
                    </a:xfrm>
                    <a:prstGeom prst="rect">
                      <a:avLst/>
                    </a:prstGeom>
                    <a:noFill/>
                  </pic:spPr>
                </pic:pic>
              </a:graphicData>
            </a:graphic>
          </wp:anchor>
        </w:drawing>
      </w:r>
    </w:p>
    <w:p>
      <w:pPr>
        <w:ind w:left="48" w:hanging="48"/>
        <w:spacing w:after="0" w:line="220" w:lineRule="auto"/>
        <w:tabs>
          <w:tab w:leader="none" w:pos="48" w:val="left"/>
        </w:tabs>
        <w:numPr>
          <w:ilvl w:val="0"/>
          <w:numId w:val="7"/>
        </w:numPr>
        <w:rPr>
          <w:rFonts w:ascii="Calibri" w:cs="Calibri" w:eastAsia="Calibri" w:hAnsi="Calibri"/>
          <w:sz w:val="14"/>
          <w:szCs w:val="14"/>
          <w:color w:val="auto"/>
          <w:vertAlign w:val="superscript"/>
        </w:rPr>
      </w:pPr>
      <w:r>
        <w:rPr>
          <w:rFonts w:ascii="Calibri" w:cs="Calibri" w:eastAsia="Calibri" w:hAnsi="Calibri"/>
          <w:sz w:val="9"/>
          <w:szCs w:val="9"/>
          <w:color w:val="auto"/>
        </w:rPr>
        <w:t>Other comprised of ICE transiton services expense and cancellaton of common units in the current period and non-recurring bitcoin sale income, net in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
        <w:spacing w:after="0"/>
        <w:rPr>
          <w:sz w:val="20"/>
          <w:szCs w:val="20"/>
          <w:color w:val="auto"/>
        </w:rPr>
      </w:pPr>
      <w:r>
        <w:rPr>
          <w:rFonts w:ascii="Calibri" w:cs="Calibri" w:eastAsia="Calibri" w:hAnsi="Calibri"/>
          <w:sz w:val="13"/>
          <w:szCs w:val="13"/>
          <w:color w:val="auto"/>
        </w:rPr>
        <w:t>5</w:t>
      </w:r>
    </w:p>
    <w:p>
      <w:pPr>
        <w:sectPr>
          <w:pgSz w:w="11900" w:h="16838" w:orient="portrait"/>
          <w:cols w:equalWidth="0" w:num="1">
            <w:col w:w="11308"/>
          </w:cols>
          <w:pgMar w:left="292" w:top="1138" w:right="299" w:bottom="1440" w:gutter="0" w:footer="0" w:header="0"/>
        </w:sectPr>
      </w:pPr>
    </w:p>
    <w:bookmarkStart w:id="9" w:name="page10"/>
    <w:bookmarkEnd w:id="9"/>
    <w:p>
      <w:pPr>
        <w:spacing w:after="0"/>
        <w:rPr>
          <w:sz w:val="20"/>
          <w:szCs w:val="20"/>
          <w:color w:val="auto"/>
        </w:rPr>
      </w:pPr>
      <w:r>
        <w:rPr>
          <w:rFonts w:ascii="Calibri" w:cs="Calibri" w:eastAsia="Calibri" w:hAnsi="Calibri"/>
          <w:sz w:val="13"/>
          <w:szCs w:val="13"/>
          <w:b w:val="1"/>
          <w:bCs w:val="1"/>
          <w:color w:val="auto"/>
        </w:rPr>
        <w:t>Consolidated Balance Sheet ($ in millions)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alibri" w:cs="Calibri" w:eastAsia="Calibri" w:hAnsi="Calibri"/>
          <w:sz w:val="10"/>
          <w:szCs w:val="10"/>
          <w:b w:val="1"/>
          <w:bCs w:val="1"/>
          <w:color w:val="auto"/>
        </w:rPr>
        <w:t>Assets</w:t>
      </w:r>
    </w:p>
    <w:p>
      <w:pPr>
        <w:spacing w:after="0" w:line="22" w:lineRule="exact"/>
        <w:rPr>
          <w:sz w:val="20"/>
          <w:szCs w:val="20"/>
          <w:color w:val="auto"/>
        </w:rPr>
      </w:pPr>
    </w:p>
    <w:p>
      <w:pPr>
        <w:spacing w:after="0"/>
        <w:rPr>
          <w:sz w:val="20"/>
          <w:szCs w:val="20"/>
          <w:color w:val="auto"/>
        </w:rPr>
      </w:pPr>
      <w:r>
        <w:rPr>
          <w:rFonts w:ascii="Calibri" w:cs="Calibri" w:eastAsia="Calibri" w:hAnsi="Calibri"/>
          <w:sz w:val="10"/>
          <w:szCs w:val="10"/>
          <w:color w:val="auto"/>
        </w:rPr>
        <w:t>Current assets:</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Cash and cash equivalents</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Restricted cash</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Customer funds</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Available-for-sale securites</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Accounts receivable, net</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Prepaid insurance</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Safeguarding asset for cryptoassets</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Other current assets</w:t>
      </w:r>
    </w:p>
    <w:p>
      <w:pPr>
        <w:spacing w:after="0" w:line="22" w:lineRule="exact"/>
        <w:rPr>
          <w:sz w:val="20"/>
          <w:szCs w:val="20"/>
          <w:color w:val="auto"/>
        </w:rPr>
      </w:pPr>
    </w:p>
    <w:p>
      <w:pPr>
        <w:ind w:left="480"/>
        <w:spacing w:after="0"/>
        <w:rPr>
          <w:sz w:val="20"/>
          <w:szCs w:val="20"/>
          <w:color w:val="auto"/>
        </w:rPr>
      </w:pPr>
      <w:r>
        <w:rPr>
          <w:rFonts w:ascii="Calibri" w:cs="Calibri" w:eastAsia="Calibri" w:hAnsi="Calibri"/>
          <w:sz w:val="10"/>
          <w:szCs w:val="10"/>
          <w:color w:val="auto"/>
        </w:rPr>
        <w:t>Total current assets</w:t>
      </w:r>
    </w:p>
    <w:p>
      <w:pPr>
        <w:spacing w:after="0" w:line="31" w:lineRule="exact"/>
        <w:rPr>
          <w:sz w:val="20"/>
          <w:szCs w:val="20"/>
          <w:color w:val="auto"/>
        </w:rPr>
      </w:pPr>
    </w:p>
    <w:p>
      <w:pPr>
        <w:spacing w:after="0"/>
        <w:rPr>
          <w:sz w:val="20"/>
          <w:szCs w:val="20"/>
          <w:color w:val="auto"/>
        </w:rPr>
      </w:pPr>
      <w:r>
        <w:rPr>
          <w:rFonts w:ascii="Calibri" w:cs="Calibri" w:eastAsia="Calibri" w:hAnsi="Calibri"/>
          <w:sz w:val="10"/>
          <w:szCs w:val="10"/>
          <w:color w:val="auto"/>
        </w:rPr>
        <w:t>Property, equipment and sofware, net</w:t>
      </w:r>
    </w:p>
    <w:p>
      <w:pPr>
        <w:spacing w:after="0" w:line="22" w:lineRule="exact"/>
        <w:rPr>
          <w:sz w:val="20"/>
          <w:szCs w:val="20"/>
          <w:color w:val="auto"/>
        </w:rPr>
      </w:pPr>
    </w:p>
    <w:p>
      <w:pPr>
        <w:spacing w:after="0"/>
        <w:rPr>
          <w:sz w:val="20"/>
          <w:szCs w:val="20"/>
          <w:color w:val="auto"/>
        </w:rPr>
      </w:pPr>
      <w:r>
        <w:rPr>
          <w:rFonts w:ascii="Calibri" w:cs="Calibri" w:eastAsia="Calibri" w:hAnsi="Calibri"/>
          <w:sz w:val="10"/>
          <w:szCs w:val="10"/>
          <w:color w:val="auto"/>
        </w:rPr>
        <w:t>Goodwill</w:t>
      </w:r>
    </w:p>
    <w:p>
      <w:pPr>
        <w:spacing w:after="0" w:line="22" w:lineRule="exact"/>
        <w:rPr>
          <w:sz w:val="20"/>
          <w:szCs w:val="20"/>
          <w:color w:val="auto"/>
        </w:rPr>
      </w:pPr>
    </w:p>
    <w:p>
      <w:pPr>
        <w:spacing w:after="0"/>
        <w:rPr>
          <w:sz w:val="20"/>
          <w:szCs w:val="20"/>
          <w:color w:val="auto"/>
        </w:rPr>
      </w:pPr>
      <w:r>
        <w:rPr>
          <w:rFonts w:ascii="Calibri" w:cs="Calibri" w:eastAsia="Calibri" w:hAnsi="Calibri"/>
          <w:sz w:val="10"/>
          <w:szCs w:val="10"/>
          <w:color w:val="auto"/>
        </w:rPr>
        <w:t>Intangible assets, net</w:t>
      </w:r>
    </w:p>
    <w:p>
      <w:pPr>
        <w:spacing w:after="0" w:line="22" w:lineRule="exact"/>
        <w:rPr>
          <w:sz w:val="20"/>
          <w:szCs w:val="20"/>
          <w:color w:val="auto"/>
        </w:rPr>
      </w:pPr>
    </w:p>
    <w:p>
      <w:pPr>
        <w:spacing w:after="0"/>
        <w:rPr>
          <w:sz w:val="20"/>
          <w:szCs w:val="20"/>
          <w:color w:val="auto"/>
        </w:rPr>
      </w:pPr>
      <w:r>
        <w:rPr>
          <w:rFonts w:ascii="Calibri" w:cs="Calibri" w:eastAsia="Calibri" w:hAnsi="Calibri"/>
          <w:sz w:val="10"/>
          <w:szCs w:val="10"/>
          <w:color w:val="auto"/>
        </w:rPr>
        <w:t>Deposits with clearinghouse, noncurrent</w:t>
      </w:r>
    </w:p>
    <w:p>
      <w:pPr>
        <w:spacing w:after="0" w:line="22" w:lineRule="exact"/>
        <w:rPr>
          <w:sz w:val="20"/>
          <w:szCs w:val="20"/>
          <w:color w:val="auto"/>
        </w:rPr>
      </w:pPr>
    </w:p>
    <w:p>
      <w:pPr>
        <w:spacing w:after="0"/>
        <w:rPr>
          <w:sz w:val="20"/>
          <w:szCs w:val="20"/>
          <w:color w:val="auto"/>
        </w:rPr>
      </w:pPr>
      <w:r>
        <w:rPr>
          <w:rFonts w:ascii="Calibri" w:cs="Calibri" w:eastAsia="Calibri" w:hAnsi="Calibri"/>
          <w:sz w:val="10"/>
          <w:szCs w:val="10"/>
          <w:color w:val="auto"/>
        </w:rPr>
        <w:t>Other assets</w:t>
      </w:r>
    </w:p>
    <w:p>
      <w:pPr>
        <w:spacing w:after="0" w:line="22" w:lineRule="exact"/>
        <w:rPr>
          <w:sz w:val="20"/>
          <w:szCs w:val="20"/>
          <w:color w:val="auto"/>
        </w:rPr>
      </w:pPr>
    </w:p>
    <w:p>
      <w:pPr>
        <w:ind w:left="480"/>
        <w:spacing w:after="0"/>
        <w:rPr>
          <w:sz w:val="20"/>
          <w:szCs w:val="20"/>
          <w:color w:val="auto"/>
        </w:rPr>
      </w:pPr>
      <w:r>
        <w:rPr>
          <w:rFonts w:ascii="Calibri" w:cs="Calibri" w:eastAsia="Calibri" w:hAnsi="Calibri"/>
          <w:sz w:val="10"/>
          <w:szCs w:val="10"/>
          <w:b w:val="1"/>
          <w:bCs w:val="1"/>
          <w:color w:val="auto"/>
        </w:rPr>
        <w:t>Total assets</w:t>
      </w:r>
    </w:p>
    <w:p>
      <w:pPr>
        <w:spacing w:after="0" w:line="49" w:lineRule="exact"/>
        <w:rPr>
          <w:sz w:val="20"/>
          <w:szCs w:val="20"/>
          <w:color w:val="auto"/>
        </w:rPr>
      </w:pPr>
    </w:p>
    <w:p>
      <w:pPr>
        <w:spacing w:after="0"/>
        <w:rPr>
          <w:sz w:val="20"/>
          <w:szCs w:val="20"/>
          <w:color w:val="auto"/>
        </w:rPr>
      </w:pPr>
      <w:r>
        <w:rPr>
          <w:rFonts w:ascii="Calibri" w:cs="Calibri" w:eastAsia="Calibri" w:hAnsi="Calibri"/>
          <w:sz w:val="10"/>
          <w:szCs w:val="10"/>
          <w:b w:val="1"/>
          <w:bCs w:val="1"/>
          <w:color w:val="auto"/>
        </w:rPr>
        <w:t>Liabilites and stockholders’ equity</w:t>
      </w:r>
    </w:p>
    <w:p>
      <w:pPr>
        <w:spacing w:after="0" w:line="22" w:lineRule="exact"/>
        <w:rPr>
          <w:sz w:val="20"/>
          <w:szCs w:val="20"/>
          <w:color w:val="auto"/>
        </w:rPr>
      </w:pPr>
    </w:p>
    <w:p>
      <w:pPr>
        <w:spacing w:after="0"/>
        <w:rPr>
          <w:sz w:val="20"/>
          <w:szCs w:val="20"/>
          <w:color w:val="auto"/>
        </w:rPr>
      </w:pPr>
      <w:r>
        <w:rPr>
          <w:rFonts w:ascii="Calibri" w:cs="Calibri" w:eastAsia="Calibri" w:hAnsi="Calibri"/>
          <w:sz w:val="10"/>
          <w:szCs w:val="10"/>
          <w:color w:val="auto"/>
        </w:rPr>
        <w:t>Current liabilites:</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Accounts payable and accrued liabilites</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Customer funds payable</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Deferred revenue, current</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Due to related party</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Safeguarding obligatons for cryptoassets</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Other current liabilites</w:t>
      </w:r>
    </w:p>
    <w:p>
      <w:pPr>
        <w:spacing w:after="0" w:line="22" w:lineRule="exact"/>
        <w:rPr>
          <w:sz w:val="20"/>
          <w:szCs w:val="20"/>
          <w:color w:val="auto"/>
        </w:rPr>
      </w:pPr>
    </w:p>
    <w:p>
      <w:pPr>
        <w:ind w:left="480"/>
        <w:spacing w:after="0"/>
        <w:rPr>
          <w:sz w:val="20"/>
          <w:szCs w:val="20"/>
          <w:color w:val="auto"/>
        </w:rPr>
      </w:pPr>
      <w:r>
        <w:rPr>
          <w:rFonts w:ascii="Calibri" w:cs="Calibri" w:eastAsia="Calibri" w:hAnsi="Calibri"/>
          <w:sz w:val="10"/>
          <w:szCs w:val="10"/>
          <w:color w:val="auto"/>
        </w:rPr>
        <w:t>Total current liabilites</w:t>
      </w:r>
    </w:p>
    <w:p>
      <w:pPr>
        <w:spacing w:after="0" w:line="31" w:lineRule="exact"/>
        <w:rPr>
          <w:sz w:val="20"/>
          <w:szCs w:val="20"/>
          <w:color w:val="auto"/>
        </w:rPr>
      </w:pPr>
    </w:p>
    <w:p>
      <w:pPr>
        <w:spacing w:after="0"/>
        <w:rPr>
          <w:sz w:val="20"/>
          <w:szCs w:val="20"/>
          <w:color w:val="auto"/>
        </w:rPr>
      </w:pPr>
      <w:r>
        <w:rPr>
          <w:rFonts w:ascii="Calibri" w:cs="Calibri" w:eastAsia="Calibri" w:hAnsi="Calibri"/>
          <w:sz w:val="10"/>
          <w:szCs w:val="10"/>
          <w:color w:val="auto"/>
        </w:rPr>
        <w:t>Deferred revenue, noncurrent</w:t>
      </w:r>
    </w:p>
    <w:p>
      <w:pPr>
        <w:spacing w:after="0" w:line="22" w:lineRule="exact"/>
        <w:rPr>
          <w:sz w:val="20"/>
          <w:szCs w:val="20"/>
          <w:color w:val="auto"/>
        </w:rPr>
      </w:pPr>
    </w:p>
    <w:p>
      <w:pPr>
        <w:spacing w:after="0"/>
        <w:rPr>
          <w:sz w:val="20"/>
          <w:szCs w:val="20"/>
          <w:color w:val="auto"/>
        </w:rPr>
      </w:pPr>
      <w:r>
        <w:rPr>
          <w:rFonts w:ascii="Calibri" w:cs="Calibri" w:eastAsia="Calibri" w:hAnsi="Calibri"/>
          <w:sz w:val="10"/>
          <w:szCs w:val="10"/>
          <w:color w:val="auto"/>
        </w:rPr>
        <w:t>Warrant liability</w:t>
      </w:r>
    </w:p>
    <w:p>
      <w:pPr>
        <w:spacing w:after="0" w:line="22" w:lineRule="exact"/>
        <w:rPr>
          <w:sz w:val="20"/>
          <w:szCs w:val="20"/>
          <w:color w:val="auto"/>
        </w:rPr>
      </w:pPr>
    </w:p>
    <w:p>
      <w:pPr>
        <w:spacing w:after="0"/>
        <w:rPr>
          <w:sz w:val="20"/>
          <w:szCs w:val="20"/>
          <w:color w:val="auto"/>
        </w:rPr>
      </w:pPr>
      <w:r>
        <w:rPr>
          <w:rFonts w:ascii="Calibri" w:cs="Calibri" w:eastAsia="Calibri" w:hAnsi="Calibri"/>
          <w:sz w:val="10"/>
          <w:szCs w:val="10"/>
          <w:color w:val="auto"/>
        </w:rPr>
        <w:t>Deferred tax liabilites, net</w:t>
      </w:r>
    </w:p>
    <w:p>
      <w:pPr>
        <w:spacing w:after="0" w:line="22" w:lineRule="exact"/>
        <w:rPr>
          <w:sz w:val="20"/>
          <w:szCs w:val="20"/>
          <w:color w:val="auto"/>
        </w:rPr>
      </w:pPr>
    </w:p>
    <w:p>
      <w:pPr>
        <w:spacing w:after="0"/>
        <w:rPr>
          <w:sz w:val="20"/>
          <w:szCs w:val="20"/>
          <w:color w:val="auto"/>
        </w:rPr>
      </w:pPr>
      <w:r>
        <w:rPr>
          <w:rFonts w:ascii="Calibri" w:cs="Calibri" w:eastAsia="Calibri" w:hAnsi="Calibri"/>
          <w:sz w:val="10"/>
          <w:szCs w:val="10"/>
          <w:color w:val="auto"/>
        </w:rPr>
        <w:t>Other noncurrent liabilites</w:t>
      </w:r>
    </w:p>
    <w:p>
      <w:pPr>
        <w:spacing w:after="0" w:line="22" w:lineRule="exact"/>
        <w:rPr>
          <w:sz w:val="20"/>
          <w:szCs w:val="20"/>
          <w:color w:val="auto"/>
        </w:rPr>
      </w:pPr>
    </w:p>
    <w:p>
      <w:pPr>
        <w:ind w:left="480"/>
        <w:spacing w:after="0"/>
        <w:rPr>
          <w:sz w:val="20"/>
          <w:szCs w:val="20"/>
          <w:color w:val="auto"/>
        </w:rPr>
      </w:pPr>
      <w:r>
        <w:rPr>
          <w:rFonts w:ascii="Calibri" w:cs="Calibri" w:eastAsia="Calibri" w:hAnsi="Calibri"/>
          <w:sz w:val="10"/>
          <w:szCs w:val="10"/>
          <w:b w:val="1"/>
          <w:bCs w:val="1"/>
          <w:color w:val="auto"/>
        </w:rPr>
        <w:t>Total liabilites</w:t>
      </w:r>
    </w:p>
    <w:p>
      <w:pPr>
        <w:spacing w:after="0" w:line="31" w:lineRule="exact"/>
        <w:rPr>
          <w:sz w:val="20"/>
          <w:szCs w:val="20"/>
          <w:color w:val="auto"/>
        </w:rPr>
      </w:pPr>
    </w:p>
    <w:p>
      <w:pPr>
        <w:spacing w:after="0"/>
        <w:rPr>
          <w:sz w:val="20"/>
          <w:szCs w:val="20"/>
          <w:color w:val="auto"/>
        </w:rPr>
      </w:pPr>
      <w:r>
        <w:rPr>
          <w:rFonts w:ascii="Calibri" w:cs="Calibri" w:eastAsia="Calibri" w:hAnsi="Calibri"/>
          <w:sz w:val="10"/>
          <w:szCs w:val="10"/>
          <w:b w:val="1"/>
          <w:bCs w:val="1"/>
          <w:color w:val="auto"/>
        </w:rPr>
        <w:t>Stockholders’ equity:</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Class A common stock ($0.0001 par value, 750,000,000 shares</w:t>
      </w:r>
    </w:p>
    <w:p>
      <w:pPr>
        <w:ind w:left="240"/>
        <w:spacing w:after="0"/>
        <w:rPr>
          <w:sz w:val="20"/>
          <w:szCs w:val="20"/>
          <w:color w:val="auto"/>
        </w:rPr>
      </w:pPr>
      <w:r>
        <w:rPr>
          <w:rFonts w:ascii="Calibri" w:cs="Calibri" w:eastAsia="Calibri" w:hAnsi="Calibri"/>
          <w:sz w:val="8"/>
          <w:szCs w:val="8"/>
          <w:color w:val="auto"/>
        </w:rPr>
        <w:t>authorized, 77,682,402 shares issued and outstanding as of 9/30/22,</w:t>
      </w:r>
    </w:p>
    <w:p>
      <w:pPr>
        <w:ind w:left="240"/>
        <w:spacing w:after="0" w:line="232" w:lineRule="auto"/>
        <w:rPr>
          <w:sz w:val="20"/>
          <w:szCs w:val="20"/>
          <w:color w:val="auto"/>
        </w:rPr>
      </w:pPr>
      <w:r>
        <w:rPr>
          <w:rFonts w:ascii="Calibri" w:cs="Calibri" w:eastAsia="Calibri" w:hAnsi="Calibri"/>
          <w:sz w:val="10"/>
          <w:szCs w:val="10"/>
          <w:color w:val="auto"/>
        </w:rPr>
        <w:t>57,164,388 shares issued and outstanding as of 12/31/21)</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Class V common stock ($0.0001 par value, 250,000,000 shares</w:t>
      </w:r>
    </w:p>
    <w:p>
      <w:pPr>
        <w:ind w:left="240"/>
        <w:spacing w:after="0"/>
        <w:rPr>
          <w:sz w:val="20"/>
          <w:szCs w:val="20"/>
          <w:color w:val="auto"/>
        </w:rPr>
      </w:pPr>
      <w:r>
        <w:rPr>
          <w:rFonts w:ascii="Calibri" w:cs="Calibri" w:eastAsia="Calibri" w:hAnsi="Calibri"/>
          <w:sz w:val="8"/>
          <w:szCs w:val="8"/>
          <w:color w:val="auto"/>
        </w:rPr>
        <w:t>authorized, 186,352,843 shares issued and outstanding as of 9/30/22,</w:t>
      </w:r>
    </w:p>
    <w:p>
      <w:pPr>
        <w:ind w:left="240"/>
        <w:spacing w:after="0" w:line="232" w:lineRule="auto"/>
        <w:rPr>
          <w:sz w:val="20"/>
          <w:szCs w:val="20"/>
          <w:color w:val="auto"/>
        </w:rPr>
      </w:pPr>
      <w:r>
        <w:rPr>
          <w:rFonts w:ascii="Calibri" w:cs="Calibri" w:eastAsia="Calibri" w:hAnsi="Calibri"/>
          <w:sz w:val="10"/>
          <w:szCs w:val="10"/>
          <w:color w:val="auto"/>
        </w:rPr>
        <w:t>206,271,792 shares issued and outstanding as of 12/31/21)</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Additonal paid-in capital</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Accumulated other comprehensive loss</w:t>
      </w:r>
    </w:p>
    <w:p>
      <w:pPr>
        <w:spacing w:after="0" w:line="22"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Accumulated defcit</w:t>
      </w:r>
    </w:p>
    <w:p>
      <w:pPr>
        <w:spacing w:after="0" w:line="22" w:lineRule="exact"/>
        <w:rPr>
          <w:sz w:val="20"/>
          <w:szCs w:val="20"/>
          <w:color w:val="auto"/>
        </w:rPr>
      </w:pPr>
    </w:p>
    <w:p>
      <w:pPr>
        <w:ind w:left="480"/>
        <w:spacing w:after="0"/>
        <w:rPr>
          <w:sz w:val="20"/>
          <w:szCs w:val="20"/>
          <w:color w:val="auto"/>
        </w:rPr>
      </w:pPr>
      <w:r>
        <w:rPr>
          <w:rFonts w:ascii="Calibri" w:cs="Calibri" w:eastAsia="Calibri" w:hAnsi="Calibri"/>
          <w:sz w:val="10"/>
          <w:szCs w:val="10"/>
          <w:color w:val="auto"/>
        </w:rPr>
        <w:t>Total stockholders’ equity</w:t>
      </w:r>
    </w:p>
    <w:p>
      <w:pPr>
        <w:spacing w:after="0" w:line="31" w:lineRule="exact"/>
        <w:rPr>
          <w:sz w:val="20"/>
          <w:szCs w:val="20"/>
          <w:color w:val="auto"/>
        </w:rPr>
      </w:pPr>
    </w:p>
    <w:p>
      <w:pPr>
        <w:ind w:left="240"/>
        <w:spacing w:after="0"/>
        <w:rPr>
          <w:sz w:val="20"/>
          <w:szCs w:val="20"/>
          <w:color w:val="auto"/>
        </w:rPr>
      </w:pPr>
      <w:r>
        <w:rPr>
          <w:rFonts w:ascii="Calibri" w:cs="Calibri" w:eastAsia="Calibri" w:hAnsi="Calibri"/>
          <w:sz w:val="10"/>
          <w:szCs w:val="10"/>
          <w:color w:val="auto"/>
        </w:rPr>
        <w:t>Noncontrolling interest</w:t>
      </w:r>
    </w:p>
    <w:p>
      <w:pPr>
        <w:spacing w:after="0" w:line="22" w:lineRule="exact"/>
        <w:rPr>
          <w:sz w:val="20"/>
          <w:szCs w:val="20"/>
          <w:color w:val="auto"/>
        </w:rPr>
      </w:pPr>
    </w:p>
    <w:p>
      <w:pPr>
        <w:ind w:left="480"/>
        <w:spacing w:after="0"/>
        <w:rPr>
          <w:sz w:val="20"/>
          <w:szCs w:val="20"/>
          <w:color w:val="auto"/>
        </w:rPr>
      </w:pPr>
      <w:r>
        <w:rPr>
          <w:rFonts w:ascii="Calibri" w:cs="Calibri" w:eastAsia="Calibri" w:hAnsi="Calibri"/>
          <w:sz w:val="10"/>
          <w:szCs w:val="10"/>
          <w:color w:val="auto"/>
        </w:rPr>
        <w:t>Total equity</w:t>
      </w:r>
    </w:p>
    <w:p>
      <w:pPr>
        <w:spacing w:after="0" w:line="31" w:lineRule="exact"/>
        <w:rPr>
          <w:sz w:val="20"/>
          <w:szCs w:val="20"/>
          <w:color w:val="auto"/>
        </w:rPr>
      </w:pPr>
    </w:p>
    <w:p>
      <w:pPr>
        <w:spacing w:after="0"/>
        <w:rPr>
          <w:sz w:val="20"/>
          <w:szCs w:val="20"/>
          <w:color w:val="auto"/>
        </w:rPr>
      </w:pPr>
      <w:r>
        <w:rPr>
          <w:rFonts w:ascii="Calibri" w:cs="Calibri" w:eastAsia="Calibri" w:hAnsi="Calibri"/>
          <w:sz w:val="10"/>
          <w:szCs w:val="10"/>
          <w:b w:val="1"/>
          <w:bCs w:val="1"/>
          <w:color w:val="auto"/>
        </w:rPr>
        <w:t>Total liabilites and stockholders’ equity</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2540" w:type="dxa"/>
            <w:vAlign w:val="bottom"/>
          </w:tcPr>
          <w:p>
            <w:pPr>
              <w:jc w:val="right"/>
              <w:ind w:right="171"/>
              <w:spacing w:after="0"/>
              <w:rPr>
                <w:sz w:val="20"/>
                <w:szCs w:val="20"/>
                <w:color w:val="auto"/>
              </w:rPr>
            </w:pPr>
            <w:r>
              <w:rPr>
                <w:rFonts w:ascii="Calibri" w:cs="Calibri" w:eastAsia="Calibri" w:hAnsi="Calibri"/>
                <w:sz w:val="12"/>
                <w:szCs w:val="12"/>
                <w:b w:val="1"/>
                <w:bCs w:val="1"/>
                <w:color w:val="FFFFFF"/>
              </w:rPr>
              <w:t>Successor</w:t>
            </w:r>
          </w:p>
        </w:tc>
        <w:tc>
          <w:tcPr>
            <w:tcW w:w="1640" w:type="dxa"/>
            <w:vAlign w:val="bottom"/>
          </w:tcPr>
          <w:p>
            <w:pPr>
              <w:spacing w:after="0"/>
              <w:rPr>
                <w:sz w:val="12"/>
                <w:szCs w:val="12"/>
                <w:color w:val="auto"/>
              </w:rPr>
            </w:pPr>
          </w:p>
        </w:tc>
      </w:tr>
      <w:tr>
        <w:trPr>
          <w:trHeight w:val="35"/>
        </w:trPr>
        <w:tc>
          <w:tcPr>
            <w:tcW w:w="254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142"/>
        </w:trPr>
        <w:tc>
          <w:tcPr>
            <w:tcW w:w="2540" w:type="dxa"/>
            <w:vAlign w:val="bottom"/>
            <w:shd w:val="clear" w:color="auto" w:fill="000000"/>
          </w:tcPr>
          <w:p>
            <w:pPr>
              <w:jc w:val="right"/>
              <w:ind w:right="1111"/>
              <w:spacing w:after="0" w:line="142" w:lineRule="exact"/>
              <w:rPr>
                <w:sz w:val="20"/>
                <w:szCs w:val="20"/>
                <w:color w:val="auto"/>
              </w:rPr>
            </w:pPr>
            <w:r>
              <w:rPr>
                <w:rFonts w:ascii="Calibri" w:cs="Calibri" w:eastAsia="Calibri" w:hAnsi="Calibri"/>
                <w:sz w:val="12"/>
                <w:szCs w:val="12"/>
                <w:b w:val="1"/>
                <w:bCs w:val="1"/>
                <w:color w:val="FFFFFF"/>
              </w:rPr>
              <w:t>As of 9/30/22</w:t>
            </w:r>
          </w:p>
        </w:tc>
        <w:tc>
          <w:tcPr>
            <w:tcW w:w="1640" w:type="dxa"/>
            <w:vAlign w:val="bottom"/>
            <w:shd w:val="clear" w:color="auto" w:fill="000000"/>
          </w:tcPr>
          <w:p>
            <w:pPr>
              <w:jc w:val="right"/>
              <w:ind w:right="632"/>
              <w:spacing w:after="0" w:line="142" w:lineRule="exact"/>
              <w:rPr>
                <w:sz w:val="20"/>
                <w:szCs w:val="20"/>
                <w:color w:val="auto"/>
              </w:rPr>
            </w:pPr>
            <w:r>
              <w:rPr>
                <w:rFonts w:ascii="Calibri" w:cs="Calibri" w:eastAsia="Calibri" w:hAnsi="Calibri"/>
                <w:sz w:val="12"/>
                <w:szCs w:val="12"/>
                <w:b w:val="1"/>
                <w:bCs w:val="1"/>
                <w:color w:val="FFFFFF"/>
              </w:rPr>
              <w:t>As of 12/31/21</w:t>
            </w:r>
          </w:p>
        </w:tc>
      </w:tr>
      <w:tr>
        <w:trPr>
          <w:trHeight w:val="180"/>
        </w:trPr>
        <w:tc>
          <w:tcPr>
            <w:tcW w:w="2540" w:type="dxa"/>
            <w:vAlign w:val="bottom"/>
            <w:tcBorders>
              <w:bottom w:val="single" w:sz="8" w:color="auto"/>
            </w:tcBorders>
            <w:shd w:val="clear" w:color="auto" w:fill="000000"/>
          </w:tcPr>
          <w:p>
            <w:pPr>
              <w:jc w:val="right"/>
              <w:ind w:right="1151"/>
              <w:spacing w:after="0"/>
              <w:rPr>
                <w:sz w:val="20"/>
                <w:szCs w:val="20"/>
                <w:color w:val="auto"/>
              </w:rPr>
            </w:pPr>
            <w:r>
              <w:rPr>
                <w:rFonts w:ascii="Calibri" w:cs="Calibri" w:eastAsia="Calibri" w:hAnsi="Calibri"/>
                <w:sz w:val="12"/>
                <w:szCs w:val="12"/>
                <w:b w:val="1"/>
                <w:bCs w:val="1"/>
                <w:color w:val="FFFFFF"/>
              </w:rPr>
              <w:t>(unaudited)</w:t>
            </w:r>
          </w:p>
        </w:tc>
        <w:tc>
          <w:tcPr>
            <w:tcW w:w="1640" w:type="dxa"/>
            <w:vAlign w:val="bottom"/>
            <w:tcBorders>
              <w:bottom w:val="single" w:sz="8" w:color="auto"/>
            </w:tcBorders>
            <w:shd w:val="clear" w:color="auto" w:fill="000000"/>
          </w:tcPr>
          <w:p>
            <w:pPr>
              <w:spacing w:after="0"/>
              <w:rPr>
                <w:sz w:val="15"/>
                <w:szCs w:val="15"/>
                <w:color w:val="auto"/>
              </w:rPr>
            </w:pPr>
          </w:p>
        </w:tc>
      </w:tr>
      <w:tr>
        <w:trPr>
          <w:trHeight w:val="400"/>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$159.9</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$391.4</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16.5</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16.5</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0.6</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0.6</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113.9</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22.1</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18.1</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20.6</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32.2</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119.4</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6.1</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4.8</w:t>
            </w:r>
          </w:p>
        </w:tc>
      </w:tr>
      <w:tr>
        <w:trPr>
          <w:trHeight w:val="32"/>
        </w:trPr>
        <w:tc>
          <w:tcPr>
            <w:tcW w:w="2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01"/>
        </w:trPr>
        <w:tc>
          <w:tcPr>
            <w:tcW w:w="2540" w:type="dxa"/>
            <w:vAlign w:val="bottom"/>
          </w:tcPr>
          <w:p>
            <w:pPr>
              <w:jc w:val="right"/>
              <w:ind w:right="411"/>
              <w:spacing w:after="0" w:line="101" w:lineRule="exact"/>
              <w:rPr>
                <w:sz w:val="20"/>
                <w:szCs w:val="20"/>
                <w:color w:val="auto"/>
              </w:rPr>
            </w:pPr>
            <w:r>
              <w:rPr>
                <w:rFonts w:ascii="Calibri" w:cs="Calibri" w:eastAsia="Calibri" w:hAnsi="Calibri"/>
                <w:sz w:val="10"/>
                <w:szCs w:val="10"/>
                <w:color w:val="auto"/>
              </w:rPr>
              <w:t>459.0</w:t>
            </w:r>
          </w:p>
        </w:tc>
        <w:tc>
          <w:tcPr>
            <w:tcW w:w="1640" w:type="dxa"/>
            <w:vAlign w:val="bottom"/>
          </w:tcPr>
          <w:p>
            <w:pPr>
              <w:jc w:val="right"/>
              <w:spacing w:after="0" w:line="101" w:lineRule="exact"/>
              <w:rPr>
                <w:sz w:val="20"/>
                <w:szCs w:val="20"/>
                <w:color w:val="auto"/>
              </w:rPr>
            </w:pPr>
            <w:r>
              <w:rPr>
                <w:rFonts w:ascii="Calibri" w:cs="Calibri" w:eastAsia="Calibri" w:hAnsi="Calibri"/>
                <w:sz w:val="10"/>
                <w:szCs w:val="10"/>
                <w:color w:val="auto"/>
              </w:rPr>
              <w:t>463.5</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29.4</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6.1</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137.2</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1,527.1</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214.4</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388.5</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15.2</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15.2</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23.4</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13.9</w:t>
            </w:r>
          </w:p>
        </w:tc>
      </w:tr>
      <w:tr>
        <w:trPr>
          <w:trHeight w:val="32"/>
        </w:trPr>
        <w:tc>
          <w:tcPr>
            <w:tcW w:w="2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01"/>
        </w:trPr>
        <w:tc>
          <w:tcPr>
            <w:tcW w:w="2540" w:type="dxa"/>
            <w:vAlign w:val="bottom"/>
          </w:tcPr>
          <w:p>
            <w:pPr>
              <w:jc w:val="right"/>
              <w:ind w:right="411"/>
              <w:spacing w:after="0" w:line="101" w:lineRule="exact"/>
              <w:rPr>
                <w:sz w:val="20"/>
                <w:szCs w:val="20"/>
                <w:color w:val="auto"/>
              </w:rPr>
            </w:pPr>
            <w:r>
              <w:rPr>
                <w:rFonts w:ascii="Calibri" w:cs="Calibri" w:eastAsia="Calibri" w:hAnsi="Calibri"/>
                <w:sz w:val="10"/>
                <w:szCs w:val="10"/>
                <w:b w:val="1"/>
                <w:bCs w:val="1"/>
                <w:color w:val="auto"/>
              </w:rPr>
              <w:t>$878.5</w:t>
            </w:r>
          </w:p>
        </w:tc>
        <w:tc>
          <w:tcPr>
            <w:tcW w:w="1640" w:type="dxa"/>
            <w:vAlign w:val="bottom"/>
          </w:tcPr>
          <w:p>
            <w:pPr>
              <w:jc w:val="right"/>
              <w:spacing w:after="0" w:line="101" w:lineRule="exact"/>
              <w:rPr>
                <w:sz w:val="20"/>
                <w:szCs w:val="20"/>
                <w:color w:val="auto"/>
              </w:rPr>
            </w:pPr>
            <w:r>
              <w:rPr>
                <w:rFonts w:ascii="Calibri" w:cs="Calibri" w:eastAsia="Calibri" w:hAnsi="Calibri"/>
                <w:sz w:val="10"/>
                <w:szCs w:val="10"/>
                <w:b w:val="1"/>
                <w:bCs w:val="1"/>
                <w:color w:val="auto"/>
              </w:rPr>
              <w:t>$2,414.3</w:t>
            </w:r>
          </w:p>
        </w:tc>
      </w:tr>
      <w:tr>
        <w:trPr>
          <w:trHeight w:val="32"/>
        </w:trPr>
        <w:tc>
          <w:tcPr>
            <w:tcW w:w="2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58"/>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$56.2</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$64.1</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0.6</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0.6</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3.8</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4.6</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0.9</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0.6</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119.4</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3.4</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3.7</w:t>
            </w:r>
          </w:p>
        </w:tc>
      </w:tr>
      <w:tr>
        <w:trPr>
          <w:trHeight w:val="32"/>
        </w:trPr>
        <w:tc>
          <w:tcPr>
            <w:tcW w:w="2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01"/>
        </w:trPr>
        <w:tc>
          <w:tcPr>
            <w:tcW w:w="2540" w:type="dxa"/>
            <w:vAlign w:val="bottom"/>
          </w:tcPr>
          <w:p>
            <w:pPr>
              <w:jc w:val="right"/>
              <w:ind w:right="411"/>
              <w:spacing w:after="0" w:line="101" w:lineRule="exact"/>
              <w:rPr>
                <w:sz w:val="20"/>
                <w:szCs w:val="20"/>
                <w:color w:val="auto"/>
              </w:rPr>
            </w:pPr>
            <w:r>
              <w:rPr>
                <w:rFonts w:ascii="Calibri" w:cs="Calibri" w:eastAsia="Calibri" w:hAnsi="Calibri"/>
                <w:sz w:val="10"/>
                <w:szCs w:val="10"/>
                <w:color w:val="auto"/>
              </w:rPr>
              <w:t>184.3</w:t>
            </w:r>
          </w:p>
        </w:tc>
        <w:tc>
          <w:tcPr>
            <w:tcW w:w="1640" w:type="dxa"/>
            <w:vAlign w:val="bottom"/>
          </w:tcPr>
          <w:p>
            <w:pPr>
              <w:jc w:val="right"/>
              <w:spacing w:after="0" w:line="101" w:lineRule="exact"/>
              <w:rPr>
                <w:sz w:val="20"/>
                <w:szCs w:val="20"/>
                <w:color w:val="auto"/>
              </w:rPr>
            </w:pPr>
            <w:r>
              <w:rPr>
                <w:rFonts w:ascii="Calibri" w:cs="Calibri" w:eastAsia="Calibri" w:hAnsi="Calibri"/>
                <w:sz w:val="10"/>
                <w:szCs w:val="10"/>
                <w:color w:val="auto"/>
              </w:rPr>
              <w:t>73.6</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3.6</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4.8</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4.3</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17.4</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2.7</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11.6</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24.8</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12.7</w:t>
            </w:r>
          </w:p>
        </w:tc>
      </w:tr>
      <w:tr>
        <w:trPr>
          <w:trHeight w:val="32"/>
        </w:trPr>
        <w:tc>
          <w:tcPr>
            <w:tcW w:w="2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01"/>
        </w:trPr>
        <w:tc>
          <w:tcPr>
            <w:tcW w:w="2540" w:type="dxa"/>
            <w:vAlign w:val="bottom"/>
          </w:tcPr>
          <w:p>
            <w:pPr>
              <w:jc w:val="right"/>
              <w:ind w:right="411"/>
              <w:spacing w:after="0" w:line="101" w:lineRule="exact"/>
              <w:rPr>
                <w:sz w:val="20"/>
                <w:szCs w:val="20"/>
                <w:color w:val="auto"/>
              </w:rPr>
            </w:pPr>
            <w:r>
              <w:rPr>
                <w:rFonts w:ascii="Calibri" w:cs="Calibri" w:eastAsia="Calibri" w:hAnsi="Calibri"/>
                <w:sz w:val="10"/>
                <w:szCs w:val="10"/>
                <w:b w:val="1"/>
                <w:bCs w:val="1"/>
                <w:color w:val="auto"/>
              </w:rPr>
              <w:t>219.7</w:t>
            </w:r>
          </w:p>
        </w:tc>
        <w:tc>
          <w:tcPr>
            <w:tcW w:w="1640" w:type="dxa"/>
            <w:vAlign w:val="bottom"/>
          </w:tcPr>
          <w:p>
            <w:pPr>
              <w:jc w:val="right"/>
              <w:spacing w:after="0" w:line="101" w:lineRule="exact"/>
              <w:rPr>
                <w:sz w:val="20"/>
                <w:szCs w:val="20"/>
                <w:color w:val="auto"/>
              </w:rPr>
            </w:pPr>
            <w:r>
              <w:rPr>
                <w:rFonts w:ascii="Calibri" w:cs="Calibri" w:eastAsia="Calibri" w:hAnsi="Calibri"/>
                <w:sz w:val="10"/>
                <w:szCs w:val="10"/>
                <w:b w:val="1"/>
                <w:bCs w:val="1"/>
                <w:color w:val="auto"/>
              </w:rPr>
              <w:t>120.1</w:t>
            </w:r>
          </w:p>
        </w:tc>
      </w:tr>
      <w:tr>
        <w:trPr>
          <w:trHeight w:val="288"/>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360"/>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360"/>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763.2</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566.8</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(0.4)</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(0.1)</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(577.5)</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(98.3)</w:t>
            </w:r>
          </w:p>
        </w:tc>
      </w:tr>
      <w:tr>
        <w:trPr>
          <w:trHeight w:val="32"/>
        </w:trPr>
        <w:tc>
          <w:tcPr>
            <w:tcW w:w="2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01"/>
        </w:trPr>
        <w:tc>
          <w:tcPr>
            <w:tcW w:w="2540" w:type="dxa"/>
            <w:vAlign w:val="bottom"/>
          </w:tcPr>
          <w:p>
            <w:pPr>
              <w:jc w:val="right"/>
              <w:ind w:right="411"/>
              <w:spacing w:after="0" w:line="101" w:lineRule="exact"/>
              <w:rPr>
                <w:sz w:val="20"/>
                <w:szCs w:val="20"/>
                <w:color w:val="auto"/>
              </w:rPr>
            </w:pPr>
            <w:r>
              <w:rPr>
                <w:rFonts w:ascii="Calibri" w:cs="Calibri" w:eastAsia="Calibri" w:hAnsi="Calibri"/>
                <w:sz w:val="10"/>
                <w:szCs w:val="10"/>
                <w:color w:val="auto"/>
              </w:rPr>
              <w:t>185.3</w:t>
            </w:r>
          </w:p>
        </w:tc>
        <w:tc>
          <w:tcPr>
            <w:tcW w:w="1640" w:type="dxa"/>
            <w:vAlign w:val="bottom"/>
          </w:tcPr>
          <w:p>
            <w:pPr>
              <w:jc w:val="right"/>
              <w:spacing w:after="0" w:line="101" w:lineRule="exact"/>
              <w:rPr>
                <w:sz w:val="20"/>
                <w:szCs w:val="20"/>
                <w:color w:val="auto"/>
              </w:rPr>
            </w:pPr>
            <w:r>
              <w:rPr>
                <w:rFonts w:ascii="Calibri" w:cs="Calibri" w:eastAsia="Calibri" w:hAnsi="Calibri"/>
                <w:sz w:val="10"/>
                <w:szCs w:val="10"/>
                <w:color w:val="auto"/>
              </w:rPr>
              <w:t>468.4</w:t>
            </w:r>
          </w:p>
        </w:tc>
      </w:tr>
      <w:tr>
        <w:trPr>
          <w:trHeight w:val="144"/>
        </w:trPr>
        <w:tc>
          <w:tcPr>
            <w:tcW w:w="2540" w:type="dxa"/>
            <w:vAlign w:val="bottom"/>
          </w:tcPr>
          <w:p>
            <w:pPr>
              <w:jc w:val="right"/>
              <w:ind w:right="411"/>
              <w:spacing w:after="0"/>
              <w:rPr>
                <w:sz w:val="20"/>
                <w:szCs w:val="20"/>
                <w:color w:val="auto"/>
              </w:rPr>
            </w:pPr>
            <w:r>
              <w:rPr>
                <w:rFonts w:ascii="Calibri" w:cs="Calibri" w:eastAsia="Calibri" w:hAnsi="Calibri"/>
                <w:sz w:val="10"/>
                <w:szCs w:val="10"/>
                <w:color w:val="auto"/>
              </w:rPr>
              <w:t>473.5</w:t>
            </w:r>
          </w:p>
        </w:tc>
        <w:tc>
          <w:tcPr>
            <w:tcW w:w="1640" w:type="dxa"/>
            <w:vAlign w:val="bottom"/>
          </w:tcPr>
          <w:p>
            <w:pPr>
              <w:jc w:val="right"/>
              <w:spacing w:after="0"/>
              <w:rPr>
                <w:sz w:val="20"/>
                <w:szCs w:val="20"/>
                <w:color w:val="auto"/>
              </w:rPr>
            </w:pPr>
            <w:r>
              <w:rPr>
                <w:rFonts w:ascii="Calibri" w:cs="Calibri" w:eastAsia="Calibri" w:hAnsi="Calibri"/>
                <w:sz w:val="10"/>
                <w:szCs w:val="10"/>
                <w:color w:val="auto"/>
              </w:rPr>
              <w:t>1,825.8</w:t>
            </w:r>
          </w:p>
        </w:tc>
      </w:tr>
      <w:tr>
        <w:trPr>
          <w:trHeight w:val="32"/>
        </w:trPr>
        <w:tc>
          <w:tcPr>
            <w:tcW w:w="2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01"/>
        </w:trPr>
        <w:tc>
          <w:tcPr>
            <w:tcW w:w="2540" w:type="dxa"/>
            <w:vAlign w:val="bottom"/>
          </w:tcPr>
          <w:p>
            <w:pPr>
              <w:jc w:val="right"/>
              <w:ind w:right="411"/>
              <w:spacing w:after="0" w:line="101" w:lineRule="exact"/>
              <w:rPr>
                <w:sz w:val="20"/>
                <w:szCs w:val="20"/>
                <w:color w:val="auto"/>
              </w:rPr>
            </w:pPr>
            <w:r>
              <w:rPr>
                <w:rFonts w:ascii="Calibri" w:cs="Calibri" w:eastAsia="Calibri" w:hAnsi="Calibri"/>
                <w:sz w:val="10"/>
                <w:szCs w:val="10"/>
                <w:color w:val="auto"/>
              </w:rPr>
              <w:t>658.8</w:t>
            </w:r>
          </w:p>
        </w:tc>
        <w:tc>
          <w:tcPr>
            <w:tcW w:w="1640" w:type="dxa"/>
            <w:vAlign w:val="bottom"/>
          </w:tcPr>
          <w:p>
            <w:pPr>
              <w:jc w:val="right"/>
              <w:spacing w:after="0" w:line="101" w:lineRule="exact"/>
              <w:rPr>
                <w:sz w:val="20"/>
                <w:szCs w:val="20"/>
                <w:color w:val="auto"/>
              </w:rPr>
            </w:pPr>
            <w:r>
              <w:rPr>
                <w:rFonts w:ascii="Calibri" w:cs="Calibri" w:eastAsia="Calibri" w:hAnsi="Calibri"/>
                <w:sz w:val="10"/>
                <w:szCs w:val="10"/>
                <w:color w:val="auto"/>
              </w:rPr>
              <w:t>2,294.2</w:t>
            </w:r>
          </w:p>
        </w:tc>
      </w:tr>
      <w:tr>
        <w:trPr>
          <w:trHeight w:val="32"/>
        </w:trPr>
        <w:tc>
          <w:tcPr>
            <w:tcW w:w="2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01"/>
        </w:trPr>
        <w:tc>
          <w:tcPr>
            <w:tcW w:w="2540" w:type="dxa"/>
            <w:vAlign w:val="bottom"/>
          </w:tcPr>
          <w:p>
            <w:pPr>
              <w:jc w:val="right"/>
              <w:ind w:right="411"/>
              <w:spacing w:after="0" w:line="101" w:lineRule="exact"/>
              <w:rPr>
                <w:sz w:val="20"/>
                <w:szCs w:val="20"/>
                <w:color w:val="auto"/>
              </w:rPr>
            </w:pPr>
            <w:r>
              <w:rPr>
                <w:rFonts w:ascii="Calibri" w:cs="Calibri" w:eastAsia="Calibri" w:hAnsi="Calibri"/>
                <w:sz w:val="10"/>
                <w:szCs w:val="10"/>
                <w:b w:val="1"/>
                <w:bCs w:val="1"/>
                <w:color w:val="auto"/>
              </w:rPr>
              <w:t>$878.5</w:t>
            </w:r>
          </w:p>
        </w:tc>
        <w:tc>
          <w:tcPr>
            <w:tcW w:w="1640" w:type="dxa"/>
            <w:vAlign w:val="bottom"/>
          </w:tcPr>
          <w:p>
            <w:pPr>
              <w:jc w:val="right"/>
              <w:spacing w:after="0" w:line="101" w:lineRule="exact"/>
              <w:rPr>
                <w:sz w:val="20"/>
                <w:szCs w:val="20"/>
                <w:color w:val="auto"/>
              </w:rPr>
            </w:pPr>
            <w:r>
              <w:rPr>
                <w:rFonts w:ascii="Calibri" w:cs="Calibri" w:eastAsia="Calibri" w:hAnsi="Calibri"/>
                <w:sz w:val="10"/>
                <w:szCs w:val="10"/>
                <w:b w:val="1"/>
                <w:bCs w:val="1"/>
                <w:color w:val="auto"/>
              </w:rPr>
              <w:t>$2,414.3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-4379595</wp:posOffset>
            </wp:positionV>
            <wp:extent cx="717804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3257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20320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0" w:space="720"/>
            <w:col w:w="4180"/>
          </w:cols>
          <w:pgMar w:left="300" w:top="976" w:right="2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Calibri" w:cs="Calibri" w:eastAsia="Calibri" w:hAnsi="Calibri"/>
          <w:sz w:val="13"/>
          <w:szCs w:val="13"/>
          <w:color w:val="auto"/>
        </w:rPr>
        <w:t>6</w:t>
      </w:r>
    </w:p>
    <w:p>
      <w:pPr>
        <w:sectPr>
          <w:pgSz w:w="11900" w:h="16838" w:orient="portrait"/>
          <w:cols w:equalWidth="0" w:num="1">
            <w:col w:w="11300"/>
          </w:cols>
          <w:pgMar w:left="300" w:top="976" w:right="29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59"/>
        </w:trPr>
        <w:tc>
          <w:tcPr>
            <w:tcW w:w="6300" w:type="dxa"/>
            <w:vAlign w:val="bottom"/>
          </w:tcPr>
          <w:p>
            <w:pPr>
              <w:spacing w:after="0"/>
              <w:rPr>
                <w:sz w:val="20"/>
                <w:szCs w:val="20"/>
                <w:color w:val="auto"/>
              </w:rPr>
            </w:pPr>
            <w:r>
              <w:rPr>
                <w:rFonts w:ascii="Calibri" w:cs="Calibri" w:eastAsia="Calibri" w:hAnsi="Calibri"/>
                <w:sz w:val="13"/>
                <w:szCs w:val="13"/>
                <w:b w:val="1"/>
                <w:bCs w:val="1"/>
                <w:color w:val="auto"/>
              </w:rPr>
              <w:t>Consolidated Statement of Operatons ($ in millions) (unaudited)</w:t>
            </w:r>
          </w:p>
        </w:tc>
        <w:tc>
          <w:tcPr>
            <w:tcW w:w="2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300" w:type="dxa"/>
            <w:vAlign w:val="bottom"/>
            <w:shd w:val="clear" w:color="auto" w:fill="000000"/>
          </w:tcPr>
          <w:p>
            <w:pPr>
              <w:spacing w:after="0"/>
              <w:rPr>
                <w:sz w:val="13"/>
                <w:szCs w:val="13"/>
                <w:color w:val="auto"/>
              </w:rPr>
            </w:pPr>
          </w:p>
        </w:tc>
        <w:tc>
          <w:tcPr>
            <w:tcW w:w="2600" w:type="dxa"/>
            <w:vAlign w:val="bottom"/>
            <w:tcBorders>
              <w:right w:val="single" w:sz="8" w:color="auto"/>
            </w:tcBorders>
            <w:shd w:val="clear" w:color="auto" w:fill="000000"/>
          </w:tcPr>
          <w:p>
            <w:pPr>
              <w:jc w:val="right"/>
              <w:spacing w:after="0" w:line="157" w:lineRule="exact"/>
              <w:rPr>
                <w:sz w:val="20"/>
                <w:szCs w:val="20"/>
                <w:color w:val="auto"/>
              </w:rPr>
            </w:pPr>
            <w:r>
              <w:rPr>
                <w:rFonts w:ascii="Calibri" w:cs="Calibri" w:eastAsia="Calibri" w:hAnsi="Calibri"/>
                <w:sz w:val="13"/>
                <w:szCs w:val="13"/>
                <w:b w:val="1"/>
                <w:bCs w:val="1"/>
                <w:color w:val="FFFFFF"/>
              </w:rPr>
              <w:t>Successor</w:t>
            </w:r>
          </w:p>
        </w:tc>
        <w:tc>
          <w:tcPr>
            <w:tcW w:w="2400" w:type="dxa"/>
            <w:vAlign w:val="bottom"/>
            <w:shd w:val="clear" w:color="auto" w:fill="000000"/>
          </w:tcPr>
          <w:p>
            <w:pPr>
              <w:jc w:val="right"/>
              <w:spacing w:after="0" w:line="157" w:lineRule="exact"/>
              <w:rPr>
                <w:sz w:val="20"/>
                <w:szCs w:val="20"/>
                <w:color w:val="auto"/>
              </w:rPr>
            </w:pPr>
            <w:r>
              <w:rPr>
                <w:rFonts w:ascii="Calibri" w:cs="Calibri" w:eastAsia="Calibri" w:hAnsi="Calibri"/>
                <w:sz w:val="13"/>
                <w:szCs w:val="13"/>
                <w:b w:val="1"/>
                <w:bCs w:val="1"/>
                <w:color w:val="FFFFFF"/>
              </w:rPr>
              <w:t>Predecessor</w:t>
            </w:r>
          </w:p>
        </w:tc>
        <w:tc>
          <w:tcPr>
            <w:tcW w:w="0" w:type="dxa"/>
            <w:vAlign w:val="bottom"/>
          </w:tcPr>
          <w:p>
            <w:pPr>
              <w:spacing w:after="0"/>
              <w:rPr>
                <w:sz w:val="1"/>
                <w:szCs w:val="1"/>
                <w:color w:val="auto"/>
              </w:rPr>
            </w:pPr>
          </w:p>
        </w:tc>
      </w:tr>
      <w:tr>
        <w:trPr>
          <w:trHeight w:val="174"/>
        </w:trPr>
        <w:tc>
          <w:tcPr>
            <w:tcW w:w="6300" w:type="dxa"/>
            <w:vAlign w:val="bottom"/>
            <w:tcBorders>
              <w:bottom w:val="single" w:sz="8" w:color="auto"/>
            </w:tcBorders>
            <w:shd w:val="clear" w:color="auto" w:fill="000000"/>
          </w:tcPr>
          <w:p>
            <w:pPr>
              <w:spacing w:after="0"/>
              <w:rPr>
                <w:sz w:val="15"/>
                <w:szCs w:val="15"/>
                <w:color w:val="auto"/>
              </w:rPr>
            </w:pPr>
          </w:p>
        </w:tc>
        <w:tc>
          <w:tcPr>
            <w:tcW w:w="2600" w:type="dxa"/>
            <w:vAlign w:val="bottom"/>
            <w:tcBorders>
              <w:bottom w:val="single" w:sz="8" w:color="auto"/>
              <w:right w:val="single" w:sz="8" w:color="auto"/>
            </w:tcBorders>
            <w:shd w:val="clear" w:color="auto" w:fill="000000"/>
          </w:tcPr>
          <w:p>
            <w:pPr>
              <w:jc w:val="right"/>
              <w:spacing w:after="0"/>
              <w:rPr>
                <w:sz w:val="20"/>
                <w:szCs w:val="20"/>
                <w:color w:val="auto"/>
              </w:rPr>
            </w:pPr>
            <w:r>
              <w:rPr>
                <w:rFonts w:ascii="Calibri" w:cs="Calibri" w:eastAsia="Calibri" w:hAnsi="Calibri"/>
                <w:sz w:val="12"/>
                <w:szCs w:val="12"/>
                <w:b w:val="1"/>
                <w:bCs w:val="1"/>
                <w:color w:val="FFFFFF"/>
              </w:rPr>
              <w:t>3Q22</w:t>
            </w:r>
          </w:p>
        </w:tc>
        <w:tc>
          <w:tcPr>
            <w:tcW w:w="2400" w:type="dxa"/>
            <w:vAlign w:val="bottom"/>
            <w:tcBorders>
              <w:bottom w:val="single" w:sz="8" w:color="auto"/>
            </w:tcBorders>
            <w:shd w:val="clear" w:color="auto" w:fill="000000"/>
          </w:tcPr>
          <w:p>
            <w:pPr>
              <w:jc w:val="right"/>
              <w:spacing w:after="0"/>
              <w:rPr>
                <w:sz w:val="20"/>
                <w:szCs w:val="20"/>
                <w:color w:val="auto"/>
              </w:rPr>
            </w:pPr>
            <w:r>
              <w:rPr>
                <w:rFonts w:ascii="Calibri" w:cs="Calibri" w:eastAsia="Calibri" w:hAnsi="Calibri"/>
                <w:sz w:val="12"/>
                <w:szCs w:val="12"/>
                <w:b w:val="1"/>
                <w:bCs w:val="1"/>
                <w:color w:val="FFFFFF"/>
              </w:rPr>
              <w:t>3Q21</w:t>
            </w:r>
          </w:p>
        </w:tc>
        <w:tc>
          <w:tcPr>
            <w:tcW w:w="0" w:type="dxa"/>
            <w:vAlign w:val="bottom"/>
          </w:tcPr>
          <w:p>
            <w:pPr>
              <w:spacing w:after="0"/>
              <w:rPr>
                <w:sz w:val="1"/>
                <w:szCs w:val="1"/>
                <w:color w:val="auto"/>
              </w:rPr>
            </w:pPr>
          </w:p>
        </w:tc>
      </w:tr>
      <w:tr>
        <w:trPr>
          <w:trHeight w:val="142"/>
        </w:trPr>
        <w:tc>
          <w:tcPr>
            <w:tcW w:w="6300" w:type="dxa"/>
            <w:vAlign w:val="bottom"/>
          </w:tcPr>
          <w:p>
            <w:pPr>
              <w:spacing w:after="0" w:line="142" w:lineRule="exact"/>
              <w:rPr>
                <w:sz w:val="20"/>
                <w:szCs w:val="20"/>
                <w:color w:val="auto"/>
              </w:rPr>
            </w:pPr>
            <w:r>
              <w:rPr>
                <w:rFonts w:ascii="Calibri" w:cs="Calibri" w:eastAsia="Calibri" w:hAnsi="Calibri"/>
                <w:sz w:val="12"/>
                <w:szCs w:val="12"/>
                <w:b w:val="1"/>
                <w:bCs w:val="1"/>
                <w:color w:val="auto"/>
              </w:rPr>
              <w:t>Revenues:</w:t>
            </w:r>
          </w:p>
        </w:tc>
        <w:tc>
          <w:tcPr>
            <w:tcW w:w="2600" w:type="dxa"/>
            <w:vAlign w:val="bottom"/>
            <w:tcBorders>
              <w:right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00" w:type="dxa"/>
            <w:vAlign w:val="bottom"/>
          </w:tcPr>
          <w:p>
            <w:pPr>
              <w:ind w:left="140"/>
              <w:spacing w:after="0"/>
              <w:rPr>
                <w:sz w:val="20"/>
                <w:szCs w:val="20"/>
                <w:color w:val="auto"/>
              </w:rPr>
            </w:pPr>
            <w:r>
              <w:rPr>
                <w:rFonts w:ascii="Calibri" w:cs="Calibri" w:eastAsia="Calibri" w:hAnsi="Calibri"/>
                <w:sz w:val="12"/>
                <w:szCs w:val="12"/>
                <w:color w:val="auto"/>
              </w:rPr>
              <w:t>Net revenues (includes related party net revenues of</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$12.9</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$9.1</w:t>
            </w:r>
          </w:p>
        </w:tc>
        <w:tc>
          <w:tcPr>
            <w:tcW w:w="0" w:type="dxa"/>
            <w:vAlign w:val="bottom"/>
          </w:tcPr>
          <w:p>
            <w:pPr>
              <w:spacing w:after="0"/>
              <w:rPr>
                <w:sz w:val="1"/>
                <w:szCs w:val="1"/>
                <w:color w:val="auto"/>
              </w:rPr>
            </w:pPr>
          </w:p>
        </w:tc>
      </w:tr>
      <w:tr>
        <w:trPr>
          <w:trHeight w:val="142"/>
        </w:trPr>
        <w:tc>
          <w:tcPr>
            <w:tcW w:w="6300" w:type="dxa"/>
            <w:vAlign w:val="bottom"/>
          </w:tcPr>
          <w:p>
            <w:pPr>
              <w:ind w:left="140"/>
              <w:spacing w:after="0" w:line="142" w:lineRule="exact"/>
              <w:rPr>
                <w:sz w:val="20"/>
                <w:szCs w:val="20"/>
                <w:color w:val="auto"/>
              </w:rPr>
            </w:pPr>
            <w:r>
              <w:rPr>
                <w:rFonts w:ascii="Calibri" w:cs="Calibri" w:eastAsia="Calibri" w:hAnsi="Calibri"/>
                <w:sz w:val="12"/>
                <w:szCs w:val="12"/>
                <w:color w:val="auto"/>
              </w:rPr>
              <w:t>$6 and $40, respectvely, and afliate net revenues of $(111) and $(154), respectvely</w:t>
            </w:r>
          </w:p>
        </w:tc>
        <w:tc>
          <w:tcPr>
            <w:tcW w:w="2600" w:type="dxa"/>
            <w:vAlign w:val="bottom"/>
            <w:tcBorders>
              <w:right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20"/>
                <w:szCs w:val="20"/>
                <w:color w:val="auto"/>
              </w:rPr>
            </w:pPr>
            <w:r>
              <w:rPr>
                <w:rFonts w:ascii="Calibri" w:cs="Calibri" w:eastAsia="Calibri" w:hAnsi="Calibri"/>
                <w:sz w:val="12"/>
                <w:szCs w:val="12"/>
                <w:color w:val="auto"/>
              </w:rPr>
              <w:t>Operatng expenses:</w:t>
            </w:r>
          </w:p>
        </w:tc>
        <w:tc>
          <w:tcPr>
            <w:tcW w:w="260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Compensaton and benefts</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37.8</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22.2</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Professional services</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2.7</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3.3</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Technology and communicaton</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4.1</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3.1</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Selling, general and administratve</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7.8</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4.4</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Acquisiton-related expenses</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0.5</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1.8</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Depreciaton and amortzaton</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6.4</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3.3</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Related party expenses (afliate in Predecessor period)</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0.3</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0.5</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Goodwill and intangible asset impairment</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1,547.7</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Other operatng expenses</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0.5</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0.3</w:t>
            </w:r>
          </w:p>
        </w:tc>
        <w:tc>
          <w:tcPr>
            <w:tcW w:w="0" w:type="dxa"/>
            <w:vAlign w:val="bottom"/>
          </w:tcPr>
          <w:p>
            <w:pPr>
              <w:spacing w:after="0"/>
              <w:rPr>
                <w:sz w:val="1"/>
                <w:szCs w:val="1"/>
                <w:color w:val="auto"/>
              </w:rPr>
            </w:pPr>
          </w:p>
        </w:tc>
      </w:tr>
      <w:tr>
        <w:trPr>
          <w:trHeight w:val="35"/>
        </w:trPr>
        <w:tc>
          <w:tcPr>
            <w:tcW w:w="6300" w:type="dxa"/>
            <w:vAlign w:val="bottom"/>
            <w:vMerge w:val="restart"/>
          </w:tcPr>
          <w:p>
            <w:pPr>
              <w:ind w:left="500"/>
              <w:spacing w:after="0"/>
              <w:rPr>
                <w:sz w:val="20"/>
                <w:szCs w:val="20"/>
                <w:color w:val="auto"/>
              </w:rPr>
            </w:pPr>
            <w:r>
              <w:rPr>
                <w:rFonts w:ascii="Calibri" w:cs="Calibri" w:eastAsia="Calibri" w:hAnsi="Calibri"/>
                <w:sz w:val="12"/>
                <w:szCs w:val="12"/>
                <w:color w:val="auto"/>
              </w:rPr>
              <w:t>Total operatng expenses</w:t>
            </w:r>
          </w:p>
        </w:tc>
        <w:tc>
          <w:tcPr>
            <w:tcW w:w="26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300" w:type="dxa"/>
            <w:vAlign w:val="bottom"/>
            <w:vMerge w:val="continue"/>
          </w:tcPr>
          <w:p>
            <w:pPr>
              <w:spacing w:after="0"/>
              <w:rPr>
                <w:sz w:val="11"/>
                <w:szCs w:val="11"/>
                <w:color w:val="auto"/>
              </w:rPr>
            </w:pPr>
          </w:p>
        </w:tc>
        <w:tc>
          <w:tcPr>
            <w:tcW w:w="260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2"/>
                <w:szCs w:val="12"/>
                <w:b w:val="1"/>
                <w:bCs w:val="1"/>
                <w:color w:val="auto"/>
              </w:rPr>
              <w:t>1,607.8</w:t>
            </w:r>
          </w:p>
        </w:tc>
        <w:tc>
          <w:tcPr>
            <w:tcW w:w="2400" w:type="dxa"/>
            <w:vAlign w:val="bottom"/>
          </w:tcPr>
          <w:p>
            <w:pPr>
              <w:jc w:val="right"/>
              <w:spacing w:after="0" w:line="131" w:lineRule="exact"/>
              <w:rPr>
                <w:sz w:val="20"/>
                <w:szCs w:val="20"/>
                <w:color w:val="auto"/>
              </w:rPr>
            </w:pPr>
            <w:r>
              <w:rPr>
                <w:rFonts w:ascii="Calibri" w:cs="Calibri" w:eastAsia="Calibri" w:hAnsi="Calibri"/>
                <w:sz w:val="12"/>
                <w:szCs w:val="12"/>
                <w:b w:val="1"/>
                <w:bCs w:val="1"/>
                <w:color w:val="auto"/>
              </w:rPr>
              <w:t>39.0</w:t>
            </w:r>
          </w:p>
        </w:tc>
        <w:tc>
          <w:tcPr>
            <w:tcW w:w="0" w:type="dxa"/>
            <w:vAlign w:val="bottom"/>
          </w:tcPr>
          <w:p>
            <w:pPr>
              <w:spacing w:after="0"/>
              <w:rPr>
                <w:sz w:val="1"/>
                <w:szCs w:val="1"/>
                <w:color w:val="auto"/>
              </w:rPr>
            </w:pPr>
          </w:p>
        </w:tc>
      </w:tr>
      <w:tr>
        <w:trPr>
          <w:trHeight w:val="29"/>
        </w:trPr>
        <w:tc>
          <w:tcPr>
            <w:tcW w:w="6300" w:type="dxa"/>
            <w:vAlign w:val="bottom"/>
            <w:vMerge w:val="restart"/>
          </w:tcPr>
          <w:p>
            <w:pPr>
              <w:spacing w:after="0"/>
              <w:rPr>
                <w:sz w:val="20"/>
                <w:szCs w:val="20"/>
                <w:color w:val="auto"/>
              </w:rPr>
            </w:pPr>
            <w:r>
              <w:rPr>
                <w:rFonts w:ascii="Calibri" w:cs="Calibri" w:eastAsia="Calibri" w:hAnsi="Calibri"/>
                <w:sz w:val="12"/>
                <w:szCs w:val="12"/>
                <w:b w:val="1"/>
                <w:bCs w:val="1"/>
                <w:color w:val="auto"/>
              </w:rPr>
              <w:t>Operatng loss</w:t>
            </w:r>
          </w:p>
        </w:tc>
        <w:tc>
          <w:tcPr>
            <w:tcW w:w="26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00" w:type="dxa"/>
            <w:vAlign w:val="bottom"/>
            <w:vMerge w:val="continue"/>
          </w:tcPr>
          <w:p>
            <w:pPr>
              <w:spacing w:after="0"/>
              <w:rPr>
                <w:sz w:val="11"/>
                <w:szCs w:val="11"/>
                <w:color w:val="auto"/>
              </w:rPr>
            </w:pPr>
          </w:p>
        </w:tc>
        <w:tc>
          <w:tcPr>
            <w:tcW w:w="260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(1,594.9)</w:t>
            </w:r>
          </w:p>
        </w:tc>
        <w:tc>
          <w:tcPr>
            <w:tcW w:w="2400" w:type="dxa"/>
            <w:vAlign w:val="bottom"/>
          </w:tcPr>
          <w:p>
            <w:pPr>
              <w:jc w:val="right"/>
              <w:spacing w:after="0" w:line="131" w:lineRule="exact"/>
              <w:rPr>
                <w:sz w:val="20"/>
                <w:szCs w:val="20"/>
                <w:color w:val="auto"/>
              </w:rPr>
            </w:pPr>
            <w:r>
              <w:rPr>
                <w:rFonts w:ascii="Calibri" w:cs="Calibri" w:eastAsia="Calibri" w:hAnsi="Calibri"/>
                <w:sz w:val="12"/>
                <w:szCs w:val="12"/>
                <w:color w:val="auto"/>
              </w:rPr>
              <w:t>(29.9)</w:t>
            </w:r>
          </w:p>
        </w:tc>
        <w:tc>
          <w:tcPr>
            <w:tcW w:w="0" w:type="dxa"/>
            <w:vAlign w:val="bottom"/>
          </w:tcPr>
          <w:p>
            <w:pPr>
              <w:spacing w:after="0"/>
              <w:rPr>
                <w:sz w:val="1"/>
                <w:szCs w:val="1"/>
                <w:color w:val="auto"/>
              </w:rPr>
            </w:pPr>
          </w:p>
        </w:tc>
      </w:tr>
      <w:tr>
        <w:trPr>
          <w:trHeight w:val="165"/>
        </w:trPr>
        <w:tc>
          <w:tcPr>
            <w:tcW w:w="6300" w:type="dxa"/>
            <w:vAlign w:val="bottom"/>
          </w:tcPr>
          <w:p>
            <w:pPr>
              <w:ind w:left="300"/>
              <w:spacing w:after="0"/>
              <w:rPr>
                <w:sz w:val="20"/>
                <w:szCs w:val="20"/>
                <w:color w:val="auto"/>
              </w:rPr>
            </w:pPr>
            <w:r>
              <w:rPr>
                <w:rFonts w:ascii="Calibri" w:cs="Calibri" w:eastAsia="Calibri" w:hAnsi="Calibri"/>
                <w:sz w:val="12"/>
                <w:szCs w:val="12"/>
                <w:color w:val="auto"/>
              </w:rPr>
              <w:t>Interest income (expense), net</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0.6</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(0.1)</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Gain from change in fair value of warrant liability</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0.4</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Other income, net</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0.7</w:t>
            </w:r>
          </w:p>
        </w:tc>
        <w:tc>
          <w:tcPr>
            <w:tcW w:w="2400" w:type="dxa"/>
            <w:vAlign w:val="bottom"/>
          </w:tcPr>
          <w:p>
            <w:pPr>
              <w:jc w:val="right"/>
              <w:spacing w:after="0"/>
              <w:rPr>
                <w:sz w:val="20"/>
                <w:szCs w:val="20"/>
                <w:color w:val="auto"/>
              </w:rPr>
            </w:pPr>
            <w:r>
              <w:rPr>
                <w:rFonts w:ascii="Calibri" w:cs="Calibri" w:eastAsia="Calibri" w:hAnsi="Calibri"/>
                <w:sz w:val="12"/>
                <w:szCs w:val="12"/>
                <w:color w:val="auto"/>
              </w:rPr>
              <w:t>1.1</w:t>
            </w:r>
          </w:p>
        </w:tc>
        <w:tc>
          <w:tcPr>
            <w:tcW w:w="0" w:type="dxa"/>
            <w:vAlign w:val="bottom"/>
          </w:tcPr>
          <w:p>
            <w:pPr>
              <w:spacing w:after="0"/>
              <w:rPr>
                <w:sz w:val="1"/>
                <w:szCs w:val="1"/>
                <w:color w:val="auto"/>
              </w:rPr>
            </w:pPr>
          </w:p>
        </w:tc>
      </w:tr>
      <w:tr>
        <w:trPr>
          <w:trHeight w:val="35"/>
        </w:trPr>
        <w:tc>
          <w:tcPr>
            <w:tcW w:w="6300" w:type="dxa"/>
            <w:vAlign w:val="bottom"/>
            <w:vMerge w:val="restart"/>
          </w:tcPr>
          <w:p>
            <w:pPr>
              <w:spacing w:after="0"/>
              <w:rPr>
                <w:sz w:val="20"/>
                <w:szCs w:val="20"/>
                <w:color w:val="auto"/>
              </w:rPr>
            </w:pPr>
            <w:r>
              <w:rPr>
                <w:rFonts w:ascii="Calibri" w:cs="Calibri" w:eastAsia="Calibri" w:hAnsi="Calibri"/>
                <w:sz w:val="12"/>
                <w:szCs w:val="12"/>
                <w:b w:val="1"/>
                <w:bCs w:val="1"/>
                <w:color w:val="auto"/>
              </w:rPr>
              <w:t>Loss before income taxes</w:t>
            </w:r>
          </w:p>
        </w:tc>
        <w:tc>
          <w:tcPr>
            <w:tcW w:w="26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300" w:type="dxa"/>
            <w:vAlign w:val="bottom"/>
            <w:vMerge w:val="continue"/>
          </w:tcPr>
          <w:p>
            <w:pPr>
              <w:spacing w:after="0"/>
              <w:rPr>
                <w:sz w:val="11"/>
                <w:szCs w:val="11"/>
                <w:color w:val="auto"/>
              </w:rPr>
            </w:pPr>
          </w:p>
        </w:tc>
        <w:tc>
          <w:tcPr>
            <w:tcW w:w="260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2"/>
                <w:szCs w:val="12"/>
                <w:b w:val="1"/>
                <w:bCs w:val="1"/>
                <w:color w:val="auto"/>
              </w:rPr>
              <w:t>(1,593.2)</w:t>
            </w:r>
          </w:p>
        </w:tc>
        <w:tc>
          <w:tcPr>
            <w:tcW w:w="2400" w:type="dxa"/>
            <w:vAlign w:val="bottom"/>
          </w:tcPr>
          <w:p>
            <w:pPr>
              <w:jc w:val="right"/>
              <w:spacing w:after="0" w:line="131" w:lineRule="exact"/>
              <w:rPr>
                <w:sz w:val="20"/>
                <w:szCs w:val="20"/>
                <w:color w:val="auto"/>
              </w:rPr>
            </w:pPr>
            <w:r>
              <w:rPr>
                <w:rFonts w:ascii="Calibri" w:cs="Calibri" w:eastAsia="Calibri" w:hAnsi="Calibri"/>
                <w:sz w:val="12"/>
                <w:szCs w:val="12"/>
                <w:b w:val="1"/>
                <w:bCs w:val="1"/>
                <w:color w:val="auto"/>
              </w:rPr>
              <w:t>(28.8)</w:t>
            </w:r>
          </w:p>
        </w:tc>
        <w:tc>
          <w:tcPr>
            <w:tcW w:w="0" w:type="dxa"/>
            <w:vAlign w:val="bottom"/>
          </w:tcPr>
          <w:p>
            <w:pPr>
              <w:spacing w:after="0"/>
              <w:rPr>
                <w:sz w:val="1"/>
                <w:szCs w:val="1"/>
                <w:color w:val="auto"/>
              </w:rPr>
            </w:pPr>
          </w:p>
        </w:tc>
      </w:tr>
      <w:tr>
        <w:trPr>
          <w:trHeight w:val="165"/>
        </w:trPr>
        <w:tc>
          <w:tcPr>
            <w:tcW w:w="6300" w:type="dxa"/>
            <w:vAlign w:val="bottom"/>
          </w:tcPr>
          <w:p>
            <w:pPr>
              <w:ind w:left="300"/>
              <w:spacing w:after="0"/>
              <w:rPr>
                <w:sz w:val="20"/>
                <w:szCs w:val="20"/>
                <w:color w:val="auto"/>
              </w:rPr>
            </w:pPr>
            <w:r>
              <w:rPr>
                <w:rFonts w:ascii="Calibri" w:cs="Calibri" w:eastAsia="Calibri" w:hAnsi="Calibri"/>
                <w:sz w:val="12"/>
                <w:szCs w:val="12"/>
                <w:color w:val="auto"/>
              </w:rPr>
              <w:t>Income tax beneft (expense)</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0.6</w:t>
            </w:r>
          </w:p>
        </w:tc>
        <w:tc>
          <w:tcPr>
            <w:tcW w:w="2400" w:type="dxa"/>
            <w:vAlign w:val="bottom"/>
          </w:tcPr>
          <w:p>
            <w:pPr>
              <w:jc w:val="right"/>
              <w:spacing w:after="0"/>
              <w:rPr>
                <w:sz w:val="20"/>
                <w:szCs w:val="20"/>
                <w:color w:val="auto"/>
              </w:rPr>
            </w:pPr>
            <w:r>
              <w:rPr>
                <w:rFonts w:ascii="Calibri" w:cs="Calibri" w:eastAsia="Calibri" w:hAnsi="Calibri"/>
                <w:sz w:val="12"/>
                <w:szCs w:val="12"/>
                <w:b w:val="1"/>
                <w:bCs w:val="1"/>
                <w:color w:val="auto"/>
              </w:rPr>
              <w:t>-</w:t>
            </w:r>
          </w:p>
        </w:tc>
        <w:tc>
          <w:tcPr>
            <w:tcW w:w="0" w:type="dxa"/>
            <w:vAlign w:val="bottom"/>
          </w:tcPr>
          <w:p>
            <w:pPr>
              <w:spacing w:after="0"/>
              <w:rPr>
                <w:sz w:val="1"/>
                <w:szCs w:val="1"/>
                <w:color w:val="auto"/>
              </w:rPr>
            </w:pPr>
          </w:p>
        </w:tc>
      </w:tr>
      <w:tr>
        <w:trPr>
          <w:trHeight w:val="35"/>
        </w:trPr>
        <w:tc>
          <w:tcPr>
            <w:tcW w:w="6300" w:type="dxa"/>
            <w:vAlign w:val="bottom"/>
            <w:vMerge w:val="restart"/>
          </w:tcPr>
          <w:p>
            <w:pPr>
              <w:spacing w:after="0"/>
              <w:rPr>
                <w:sz w:val="20"/>
                <w:szCs w:val="20"/>
                <w:color w:val="auto"/>
              </w:rPr>
            </w:pPr>
            <w:r>
              <w:rPr>
                <w:rFonts w:ascii="Calibri" w:cs="Calibri" w:eastAsia="Calibri" w:hAnsi="Calibri"/>
                <w:sz w:val="12"/>
                <w:szCs w:val="12"/>
                <w:b w:val="1"/>
                <w:bCs w:val="1"/>
                <w:color w:val="auto"/>
              </w:rPr>
              <w:t>Net loss</w:t>
            </w:r>
          </w:p>
        </w:tc>
        <w:tc>
          <w:tcPr>
            <w:tcW w:w="26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300" w:type="dxa"/>
            <w:vAlign w:val="bottom"/>
            <w:vMerge w:val="continue"/>
          </w:tcPr>
          <w:p>
            <w:pPr>
              <w:spacing w:after="0"/>
              <w:rPr>
                <w:sz w:val="11"/>
                <w:szCs w:val="11"/>
                <w:color w:val="auto"/>
              </w:rPr>
            </w:pPr>
          </w:p>
        </w:tc>
        <w:tc>
          <w:tcPr>
            <w:tcW w:w="260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2"/>
                <w:szCs w:val="12"/>
                <w:b w:val="1"/>
                <w:bCs w:val="1"/>
                <w:color w:val="auto"/>
              </w:rPr>
              <w:t>(1,592.5)</w:t>
            </w:r>
          </w:p>
        </w:tc>
        <w:tc>
          <w:tcPr>
            <w:tcW w:w="2400" w:type="dxa"/>
            <w:vAlign w:val="bottom"/>
          </w:tcPr>
          <w:p>
            <w:pPr>
              <w:jc w:val="right"/>
              <w:spacing w:after="0" w:line="131" w:lineRule="exact"/>
              <w:rPr>
                <w:sz w:val="20"/>
                <w:szCs w:val="20"/>
                <w:color w:val="auto"/>
              </w:rPr>
            </w:pPr>
            <w:r>
              <w:rPr>
                <w:rFonts w:ascii="Calibri" w:cs="Calibri" w:eastAsia="Calibri" w:hAnsi="Calibri"/>
                <w:sz w:val="12"/>
                <w:szCs w:val="12"/>
                <w:b w:val="1"/>
                <w:bCs w:val="1"/>
                <w:color w:val="auto"/>
              </w:rPr>
              <w:t>(28.8)</w:t>
            </w:r>
          </w:p>
        </w:tc>
        <w:tc>
          <w:tcPr>
            <w:tcW w:w="0" w:type="dxa"/>
            <w:vAlign w:val="bottom"/>
          </w:tcPr>
          <w:p>
            <w:pPr>
              <w:spacing w:after="0"/>
              <w:rPr>
                <w:sz w:val="1"/>
                <w:szCs w:val="1"/>
                <w:color w:val="auto"/>
              </w:rPr>
            </w:pPr>
          </w:p>
        </w:tc>
      </w:tr>
      <w:tr>
        <w:trPr>
          <w:trHeight w:val="29"/>
        </w:trPr>
        <w:tc>
          <w:tcPr>
            <w:tcW w:w="6300" w:type="dxa"/>
            <w:vAlign w:val="bottom"/>
            <w:vMerge w:val="restart"/>
          </w:tcPr>
          <w:p>
            <w:pPr>
              <w:spacing w:after="0"/>
              <w:rPr>
                <w:sz w:val="20"/>
                <w:szCs w:val="20"/>
                <w:color w:val="auto"/>
              </w:rPr>
            </w:pPr>
            <w:r>
              <w:rPr>
                <w:rFonts w:ascii="Calibri" w:cs="Calibri" w:eastAsia="Calibri" w:hAnsi="Calibri"/>
                <w:sz w:val="12"/>
                <w:szCs w:val="12"/>
                <w:color w:val="auto"/>
              </w:rPr>
              <w:t>Less: Net loss atributable to noncontrolling interest</w:t>
            </w:r>
          </w:p>
        </w:tc>
        <w:tc>
          <w:tcPr>
            <w:tcW w:w="26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2600" w:type="dxa"/>
            <w:vAlign w:val="bottom"/>
            <w:tcBorders>
              <w:right w:val="single" w:sz="8" w:color="auto"/>
            </w:tcBorders>
          </w:tcPr>
          <w:p>
            <w:pPr>
              <w:jc w:val="right"/>
              <w:spacing w:after="0" w:line="118" w:lineRule="exact"/>
              <w:rPr>
                <w:sz w:val="20"/>
                <w:szCs w:val="20"/>
                <w:color w:val="auto"/>
              </w:rPr>
            </w:pPr>
            <w:r>
              <w:rPr>
                <w:rFonts w:ascii="Calibri" w:cs="Calibri" w:eastAsia="Calibri" w:hAnsi="Calibri"/>
                <w:sz w:val="12"/>
                <w:szCs w:val="12"/>
                <w:color w:val="auto"/>
              </w:rPr>
              <w:t>(1,124.4)</w:t>
            </w: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300" w:type="dxa"/>
            <w:vAlign w:val="bottom"/>
          </w:tcPr>
          <w:p>
            <w:pPr>
              <w:spacing w:after="0"/>
              <w:rPr>
                <w:sz w:val="20"/>
                <w:szCs w:val="20"/>
                <w:color w:val="auto"/>
              </w:rPr>
            </w:pPr>
            <w:r>
              <w:rPr>
                <w:rFonts w:ascii="Calibri" w:cs="Calibri" w:eastAsia="Calibri" w:hAnsi="Calibri"/>
                <w:sz w:val="12"/>
                <w:szCs w:val="12"/>
                <w:b w:val="1"/>
                <w:bCs w:val="1"/>
                <w:color w:val="auto"/>
              </w:rPr>
              <w:t>Net loss atributable to Bakkt Holdings, Inc.</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b w:val="1"/>
                <w:bCs w:val="1"/>
                <w:color w:val="auto"/>
              </w:rPr>
              <w:t>(468.1)</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6300" w:type="dxa"/>
            <w:vAlign w:val="bottom"/>
            <w:vMerge w:val="restart"/>
          </w:tcPr>
          <w:p>
            <w:pPr>
              <w:ind w:left="140"/>
              <w:spacing w:after="0"/>
              <w:rPr>
                <w:sz w:val="20"/>
                <w:szCs w:val="20"/>
                <w:color w:val="auto"/>
              </w:rPr>
            </w:pPr>
            <w:r>
              <w:rPr>
                <w:rFonts w:ascii="Calibri" w:cs="Calibri" w:eastAsia="Calibri" w:hAnsi="Calibri"/>
                <w:sz w:val="12"/>
                <w:szCs w:val="12"/>
                <w:color w:val="auto"/>
              </w:rPr>
              <w:t>Net loss per share atributable to Class A</w:t>
            </w:r>
          </w:p>
        </w:tc>
        <w:tc>
          <w:tcPr>
            <w:tcW w:w="2600" w:type="dxa"/>
            <w:vAlign w:val="bottom"/>
            <w:tcBorders>
              <w:bottom w:val="single" w:sz="8" w:color="auto"/>
              <w:right w:val="single" w:sz="8" w:color="auto"/>
            </w:tcBorders>
          </w:tcPr>
          <w:p>
            <w:pPr>
              <w:spacing w:after="0"/>
              <w:rPr>
                <w:sz w:val="3"/>
                <w:szCs w:val="3"/>
                <w:color w:val="auto"/>
              </w:rPr>
            </w:pPr>
          </w:p>
        </w:tc>
        <w:tc>
          <w:tcPr>
            <w:tcW w:w="2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6"/>
        </w:trPr>
        <w:tc>
          <w:tcPr>
            <w:tcW w:w="6300" w:type="dxa"/>
            <w:vAlign w:val="bottom"/>
            <w:vMerge w:val="continue"/>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00" w:type="dxa"/>
            <w:vAlign w:val="bottom"/>
          </w:tcPr>
          <w:p>
            <w:pPr>
              <w:ind w:left="140"/>
              <w:spacing w:after="0"/>
              <w:rPr>
                <w:sz w:val="20"/>
                <w:szCs w:val="20"/>
                <w:color w:val="auto"/>
              </w:rPr>
            </w:pPr>
            <w:r>
              <w:rPr>
                <w:rFonts w:ascii="Calibri" w:cs="Calibri" w:eastAsia="Calibri" w:hAnsi="Calibri"/>
                <w:sz w:val="12"/>
                <w:szCs w:val="12"/>
                <w:color w:val="auto"/>
              </w:rPr>
              <w:t>common stockholders:</w:t>
            </w:r>
          </w:p>
        </w:tc>
        <w:tc>
          <w:tcPr>
            <w:tcW w:w="260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Basic</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$(6.11)</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tcPr>
          <w:p>
            <w:pPr>
              <w:ind w:left="300"/>
              <w:spacing w:after="0"/>
              <w:rPr>
                <w:sz w:val="20"/>
                <w:szCs w:val="20"/>
                <w:color w:val="auto"/>
              </w:rPr>
            </w:pPr>
            <w:r>
              <w:rPr>
                <w:rFonts w:ascii="Calibri" w:cs="Calibri" w:eastAsia="Calibri" w:hAnsi="Calibri"/>
                <w:sz w:val="12"/>
                <w:szCs w:val="12"/>
                <w:color w:val="auto"/>
              </w:rPr>
              <w:t>Diluted</w:t>
            </w:r>
          </w:p>
        </w:tc>
        <w:tc>
          <w:tcPr>
            <w:tcW w:w="260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$(6.11)</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6300" w:type="dxa"/>
            <w:vAlign w:val="bottom"/>
            <w:tcBorders>
              <w:bottom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-3331210</wp:posOffset>
            </wp:positionV>
            <wp:extent cx="34607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6075"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-3331210</wp:posOffset>
            </wp:positionV>
            <wp:extent cx="4311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Calibri" w:cs="Calibri" w:eastAsia="Calibri" w:hAnsi="Calibri"/>
          <w:sz w:val="13"/>
          <w:szCs w:val="13"/>
          <w:color w:val="auto"/>
        </w:rPr>
        <w:t>7</w:t>
      </w:r>
    </w:p>
    <w:p>
      <w:pPr>
        <w:sectPr>
          <w:pgSz w:w="11900" w:h="16838" w:orient="portrait"/>
          <w:cols w:equalWidth="0" w:num="1">
            <w:col w:w="11300"/>
          </w:cols>
          <w:pgMar w:left="300" w:top="976" w:right="299"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2022-11-10T06:42:42Z</dcterms:created>
  <dcterms:modified xsi:type="dcterms:W3CDTF">2022-11-10T06:42:42Z</dcterms:modified>
</cp:coreProperties>
</file>