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 Post-Effective Amendment No. 4 to Form S-1 on Form S-3 Filed February 14, 2024 (File No. 333-261034)</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117"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 dated February 14,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“SEC”) regarding the above-reference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For ease of review, each of the comments from your letter relating to the Registration Statement are set forth below, followed by the Company’s responses.</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February 13, 2024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544" w:right="120" w:hanging="544"/>
        <w:spacing w:after="0" w:line="257" w:lineRule="auto"/>
        <w:tabs>
          <w:tab w:leader="none" w:pos="54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While we do not have any further comments at this time regarding your disclosure or the responses that you have provided to our prior comments, please confirm your understanding that our decision not to issue additional comments should not be interpreted to mean that we either agree or disagree with your disclosure or responses. Please also confirm your understanding that, with respect to your business operations, and in particular the Bakkt Crypto and Bakkt Marketplace platforms and the crypto assets you make available for trading on those platforms, our decision not to issue additional comments does not mean that we either agree or disagree with any conclusions you have made, positions you have taken or practices you have engaged in or may engage in.</w:t>
      </w:r>
    </w:p>
    <w:p>
      <w:pPr>
        <w:spacing w:after="0" w:line="180" w:lineRule="exact"/>
        <w:rPr>
          <w:sz w:val="24"/>
          <w:szCs w:val="24"/>
          <w:color w:val="auto"/>
        </w:rPr>
      </w:pPr>
    </w:p>
    <w:p>
      <w:pPr>
        <w:jc w:val="center"/>
        <w:ind w:right="-63"/>
        <w:spacing w:after="0"/>
        <w:tabs>
          <w:tab w:leader="none" w:pos="80" w:val="left"/>
          <w:tab w:leader="none" w:pos="100" w:val="left"/>
          <w:tab w:leader="none" w:pos="80" w:val="left"/>
          <w:tab w:leader="none" w:pos="100" w:val="left"/>
          <w:tab w:leader="none" w:pos="80" w:val="left"/>
          <w:tab w:leader="none" w:pos="100" w:val="left"/>
          <w:tab w:leader="none" w:pos="80" w:val="left"/>
          <w:tab w:leader="none" w:pos="100" w:val="left"/>
          <w:tab w:leader="none" w:pos="100" w:val="left"/>
        </w:tabs>
        <w:rPr>
          <w:sz w:val="20"/>
          <w:szCs w:val="20"/>
          <w:color w:val="auto"/>
        </w:rPr>
      </w:pPr>
      <w:r>
        <w:rPr>
          <w:rFonts w:ascii="Times New Roman" w:cs="Times New Roman" w:eastAsia="Times New Roman" w:hAnsi="Times New Roman"/>
          <w:sz w:val="14"/>
          <w:szCs w:val="14"/>
          <w:color w:val="auto"/>
        </w:rPr>
        <w:t>AUSTIN </w:t>
        <w:tab/>
        <w:t>BEIJING </w:t>
        <w:tab/>
        <w:t>BOSTON </w:t>
        <w:tab/>
        <w:t>BOULDER </w:t>
        <w:tab/>
        <w:t>BRUSSELS </w:t>
        <w:tab/>
        <w:t>HONG KONG </w:t>
        <w:tab/>
        <w:t>LONDON </w:t>
        <w:tab/>
        <w:t>LOS ANGELES </w:t>
        <w:tab/>
        <w:t>NEW YORK </w:t>
      </w:r>
      <w:r>
        <w:rPr>
          <w:sz w:val="20"/>
          <w:szCs w:val="20"/>
          <w:color w:val="auto"/>
        </w:rPr>
        <w:tab/>
      </w:r>
      <w:r>
        <w:rPr>
          <w:rFonts w:ascii="Times New Roman" w:cs="Times New Roman" w:eastAsia="Times New Roman" w:hAnsi="Times New Roman"/>
          <w:sz w:val="13"/>
          <w:szCs w:val="13"/>
          <w:color w:val="auto"/>
        </w:rPr>
        <w:t>PALO ALTO</w:t>
      </w:r>
    </w:p>
    <w:p>
      <w:pPr>
        <w:spacing w:after="0" w:line="96" w:lineRule="exact"/>
        <w:rPr>
          <w:sz w:val="24"/>
          <w:szCs w:val="24"/>
          <w:color w:val="auto"/>
        </w:rPr>
      </w:pPr>
    </w:p>
    <w:p>
      <w:pPr>
        <w:jc w:val="center"/>
        <w:ind w:right="-43"/>
        <w:spacing w:after="0"/>
        <w:tabs>
          <w:tab w:leader="none" w:pos="100" w:val="left"/>
          <w:tab w:leader="none" w:pos="80" w:val="left"/>
          <w:tab w:leader="none" w:pos="80" w:val="left"/>
          <w:tab w:leader="none" w:pos="100" w:val="left"/>
          <w:tab w:leader="none" w:pos="80" w:val="left"/>
          <w:tab w:leader="none" w:pos="80" w:val="left"/>
        </w:tabs>
        <w:rPr>
          <w:sz w:val="20"/>
          <w:szCs w:val="20"/>
          <w:color w:val="auto"/>
        </w:rPr>
      </w:pPr>
      <w:r>
        <w:rPr>
          <w:rFonts w:ascii="Times New Roman" w:cs="Times New Roman" w:eastAsia="Times New Roman" w:hAnsi="Times New Roman"/>
          <w:sz w:val="14"/>
          <w:szCs w:val="14"/>
          <w:color w:val="auto"/>
        </w:rPr>
        <w:t>SALT LAKE CITY </w:t>
        <w:tab/>
        <w:t>SAN DIEGO </w:t>
        <w:tab/>
        <w:t>SAN FRANCISCO </w:t>
        <w:tab/>
        <w:t>SEATTLE </w:t>
        <w:tab/>
        <w:t>SHANGHAI </w:t>
        <w:tab/>
        <w:t>WASHINGTON, DC </w:t>
        <w:tab/>
        <w:t>WILMINGTON, DE</w:t>
      </w:r>
    </w:p>
    <w:p>
      <w:pPr>
        <w:sectPr>
          <w:pgSz w:w="11900" w:h="16838" w:orient="portrait"/>
          <w:cols w:equalWidth="0" w:num="1">
            <w:col w:w="10964"/>
          </w:cols>
          <w:pgMar w:left="436" w:top="229"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and acknowledges that the Staff’s decision not to issue additional comments should not be interpreted to mean that the Staff either agrees or disagrees with the Company’s disclosure or responses. Further, the Company acknowledges and confirms that, with respect to the Company’s business operations, and in particular the Bakkt Crypto and Bakkt Marketplace platforms and the crypto assets the Company makes available for trading on those platforms, the Staff’s decision not to issue additional comments does not mean that the Staff either agrees or disagrees with any conclusions the Company has made, positions the Company has taken, or practices the Company has engaged in or may engage in.</w:t>
      </w:r>
    </w:p>
    <w:p>
      <w:pPr>
        <w:spacing w:after="0" w:line="187" w:lineRule="exact"/>
        <w:rPr>
          <w:sz w:val="20"/>
          <w:szCs w:val="20"/>
          <w:color w:val="auto"/>
        </w:rPr>
      </w:pPr>
    </w:p>
    <w:p>
      <w:pPr>
        <w:ind w:left="4" w:right="116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 to J. Matthew Lyons at (512) 338-5411 or mlyons@wsgr.com or Austin D. March at (512) 338-5410 or amarch@wsgr.com.</w:t>
      </w:r>
    </w:p>
    <w:p>
      <w:pPr>
        <w:sectPr>
          <w:pgSz w:w="11900" w:h="16838" w:orient="portrait"/>
          <w:cols w:equalWidth="0" w:num="1">
            <w:col w:w="10904"/>
          </w:cols>
          <w:pgMar w:left="436" w:top="82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 w:right="1400" w:hanging="444"/>
        <w:spacing w:after="0" w:line="289"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 Wilson Sonsini Goodrich &amp; Rosati, Professional</w:t>
      </w:r>
    </w:p>
    <w:p>
      <w:pPr>
        <w:spacing w:after="0" w:line="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4744" w:space="720"/>
        <w:col w:w="5440"/>
      </w:cols>
      <w:pgMar w:left="436" w:top="82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2024-03-14T23:09:32Z</dcterms:created>
  <dcterms:modified xsi:type="dcterms:W3CDTF">2024-03-14T23:09:32Z</dcterms:modified>
</cp:coreProperties>
</file>