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Class A Ordinary Shares,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120" w:hanging="80"/>
        <w:spacing w:after="0" w:line="264" w:lineRule="auto"/>
        <w:tabs>
          <w:tab w:leader="none" w:pos="1013"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Rule 13d-1(b) ý Rule 13d-1(c)</w:t>
      </w: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9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G9441E100</w:t>
            </w:r>
          </w:p>
        </w:tc>
        <w:tc>
          <w:tcPr>
            <w:tcW w:w="63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2 of 9 Pages</w:t>
            </w:r>
          </w:p>
        </w:tc>
        <w:tc>
          <w:tcPr>
            <w:tcW w:w="0" w:type="dxa"/>
            <w:vAlign w:val="bottom"/>
          </w:tcPr>
          <w:p>
            <w:pPr>
              <w:spacing w:after="0"/>
              <w:rPr>
                <w:sz w:val="1"/>
                <w:szCs w:val="1"/>
                <w:color w:val="auto"/>
              </w:rPr>
            </w:pPr>
          </w:p>
        </w:tc>
      </w:tr>
      <w:tr>
        <w:trPr>
          <w:trHeight w:val="338"/>
        </w:trPr>
        <w:tc>
          <w:tcPr>
            <w:tcW w:w="18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6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60" w:type="dxa"/>
            <w:vAlign w:val="bottom"/>
            <w:vMerge w:val="continue"/>
          </w:tcPr>
          <w:p>
            <w:pPr>
              <w:spacing w:after="0"/>
              <w:rPr>
                <w:sz w:val="14"/>
                <w:szCs w:val="14"/>
                <w:color w:val="auto"/>
              </w:rPr>
            </w:pPr>
          </w:p>
        </w:tc>
        <w:tc>
          <w:tcPr>
            <w:tcW w:w="63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Empyrean Capital Overseas Master Fund, Ltd.</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6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2</w:t>
            </w:r>
          </w:p>
        </w:tc>
        <w:tc>
          <w:tcPr>
            <w:tcW w:w="6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6300" w:type="dxa"/>
            <w:vAlign w:val="bottom"/>
          </w:tcPr>
          <w:p>
            <w:pPr>
              <w:spacing w:after="0"/>
              <w:rPr>
                <w:sz w:val="9"/>
                <w:szCs w:val="9"/>
                <w:color w:val="auto"/>
              </w:rPr>
            </w:pPr>
          </w:p>
        </w:tc>
        <w:tc>
          <w:tcPr>
            <w:tcW w:w="3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8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8"/>
                <w:szCs w:val="28"/>
                <w:color w:val="auto"/>
              </w:rPr>
              <w:t>ý</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4585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585970"/>
                    </a:xfrm>
                    <a:prstGeom prst="rect">
                      <a:avLst/>
                    </a:prstGeom>
                    <a:noFill/>
                  </pic:spPr>
                </pic:pic>
              </a:graphicData>
            </a:graphic>
          </wp:anchor>
        </w:drawing>
      </w:r>
    </w:p>
    <w:p>
      <w:pPr>
        <w:ind w:left="1920" w:hanging="1079"/>
        <w:spacing w:after="0" w:line="184" w:lineRule="auto"/>
        <w:tabs>
          <w:tab w:leader="none" w:pos="1920" w:val="left"/>
        </w:tabs>
        <w:numPr>
          <w:ilvl w:val="0"/>
          <w:numId w:val="2"/>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Cayman Islands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1,208,580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1,208,580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1,208,580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5.8%</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CO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G9441E100</w:t>
            </w:r>
          </w:p>
        </w:tc>
        <w:tc>
          <w:tcPr>
            <w:tcW w:w="63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3 of 9 Pages</w:t>
            </w:r>
          </w:p>
        </w:tc>
        <w:tc>
          <w:tcPr>
            <w:tcW w:w="0" w:type="dxa"/>
            <w:vAlign w:val="bottom"/>
          </w:tcPr>
          <w:p>
            <w:pPr>
              <w:spacing w:after="0"/>
              <w:rPr>
                <w:sz w:val="1"/>
                <w:szCs w:val="1"/>
                <w:color w:val="auto"/>
              </w:rPr>
            </w:pPr>
          </w:p>
        </w:tc>
      </w:tr>
      <w:tr>
        <w:trPr>
          <w:trHeight w:val="553"/>
        </w:trPr>
        <w:tc>
          <w:tcPr>
            <w:tcW w:w="18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6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860" w:type="dxa"/>
            <w:vAlign w:val="bottom"/>
            <w:vMerge w:val="continue"/>
          </w:tcPr>
          <w:p>
            <w:pPr>
              <w:spacing w:after="0"/>
              <w:rPr>
                <w:sz w:val="14"/>
                <w:szCs w:val="14"/>
                <w:color w:val="auto"/>
              </w:rPr>
            </w:pPr>
          </w:p>
        </w:tc>
        <w:tc>
          <w:tcPr>
            <w:tcW w:w="63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Empyrean Capital Partners, LP</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6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2</w:t>
            </w:r>
          </w:p>
        </w:tc>
        <w:tc>
          <w:tcPr>
            <w:tcW w:w="6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6300" w:type="dxa"/>
            <w:vAlign w:val="bottom"/>
          </w:tcPr>
          <w:p>
            <w:pPr>
              <w:spacing w:after="0"/>
              <w:rPr>
                <w:sz w:val="9"/>
                <w:szCs w:val="9"/>
                <w:color w:val="auto"/>
              </w:rPr>
            </w:pPr>
          </w:p>
        </w:tc>
        <w:tc>
          <w:tcPr>
            <w:tcW w:w="3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8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8"/>
                <w:szCs w:val="28"/>
                <w:color w:val="auto"/>
              </w:rPr>
              <w:t>ý</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4585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585970"/>
                    </a:xfrm>
                    <a:prstGeom prst="rect">
                      <a:avLst/>
                    </a:prstGeom>
                    <a:noFill/>
                  </pic:spPr>
                </pic:pic>
              </a:graphicData>
            </a:graphic>
          </wp:anchor>
        </w:drawing>
      </w:r>
    </w:p>
    <w:p>
      <w:pPr>
        <w:ind w:left="1920" w:hanging="1079"/>
        <w:spacing w:after="0" w:line="184" w:lineRule="auto"/>
        <w:tabs>
          <w:tab w:leader="none" w:pos="1920" w:val="left"/>
        </w:tabs>
        <w:numPr>
          <w:ilvl w:val="0"/>
          <w:numId w:val="3"/>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1,208,580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1,208,580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1,208,580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5.8%</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G9441E100</w:t>
            </w:r>
          </w:p>
        </w:tc>
        <w:tc>
          <w:tcPr>
            <w:tcW w:w="63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4 of 9 Pages</w:t>
            </w:r>
          </w:p>
        </w:tc>
        <w:tc>
          <w:tcPr>
            <w:tcW w:w="0" w:type="dxa"/>
            <w:vAlign w:val="bottom"/>
          </w:tcPr>
          <w:p>
            <w:pPr>
              <w:spacing w:after="0"/>
              <w:rPr>
                <w:sz w:val="1"/>
                <w:szCs w:val="1"/>
                <w:color w:val="auto"/>
              </w:rPr>
            </w:pPr>
          </w:p>
        </w:tc>
      </w:tr>
      <w:tr>
        <w:trPr>
          <w:trHeight w:val="338"/>
        </w:trPr>
        <w:tc>
          <w:tcPr>
            <w:tcW w:w="18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6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60" w:type="dxa"/>
            <w:vAlign w:val="bottom"/>
            <w:vMerge w:val="continue"/>
          </w:tcPr>
          <w:p>
            <w:pPr>
              <w:spacing w:after="0"/>
              <w:rPr>
                <w:sz w:val="14"/>
                <w:szCs w:val="14"/>
                <w:color w:val="auto"/>
              </w:rPr>
            </w:pPr>
          </w:p>
        </w:tc>
        <w:tc>
          <w:tcPr>
            <w:tcW w:w="63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Amos Meron</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6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2</w:t>
            </w:r>
          </w:p>
        </w:tc>
        <w:tc>
          <w:tcPr>
            <w:tcW w:w="6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6300" w:type="dxa"/>
            <w:vAlign w:val="bottom"/>
          </w:tcPr>
          <w:p>
            <w:pPr>
              <w:spacing w:after="0"/>
              <w:rPr>
                <w:sz w:val="9"/>
                <w:szCs w:val="9"/>
                <w:color w:val="auto"/>
              </w:rPr>
            </w:pPr>
          </w:p>
        </w:tc>
        <w:tc>
          <w:tcPr>
            <w:tcW w:w="3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8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8"/>
                <w:szCs w:val="28"/>
                <w:color w:val="auto"/>
              </w:rPr>
              <w:t>ý</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4585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585970"/>
                    </a:xfrm>
                    <a:prstGeom prst="rect">
                      <a:avLst/>
                    </a:prstGeom>
                    <a:noFill/>
                  </pic:spPr>
                </pic:pic>
              </a:graphicData>
            </a:graphic>
          </wp:anchor>
        </w:drawing>
      </w:r>
    </w:p>
    <w:p>
      <w:pPr>
        <w:ind w:left="1920" w:hanging="1079"/>
        <w:spacing w:after="0" w:line="184" w:lineRule="auto"/>
        <w:tabs>
          <w:tab w:leader="none" w:pos="1920" w:val="left"/>
        </w:tabs>
        <w:numPr>
          <w:ilvl w:val="0"/>
          <w:numId w:val="4"/>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1,208,580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1,208,580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1,208,580</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G9441E100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9 Pages</w:t>
      </w:r>
    </w:p>
    <w:p>
      <w:pPr>
        <w:spacing w:after="0" w:line="34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The name of the issuer is VPC Impact Acquisition Holdings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33" w:lineRule="exact"/>
        <w:rPr>
          <w:sz w:val="20"/>
          <w:szCs w:val="20"/>
          <w:color w:val="auto"/>
        </w:rPr>
      </w:pPr>
    </w:p>
    <w:p>
      <w:pPr>
        <w:ind w:left="1700" w:right="440"/>
        <w:spacing w:after="0" w:line="269" w:lineRule="auto"/>
        <w:rPr>
          <w:sz w:val="20"/>
          <w:szCs w:val="20"/>
          <w:color w:val="auto"/>
        </w:rPr>
      </w:pPr>
      <w:r>
        <w:rPr>
          <w:rFonts w:ascii="Times New Roman" w:cs="Times New Roman" w:eastAsia="Times New Roman" w:hAnsi="Times New Roman"/>
          <w:sz w:val="20"/>
          <w:szCs w:val="20"/>
          <w:color w:val="auto"/>
        </w:rPr>
        <w:t>The Issuer's principal executive offices are located at c/o Victory Park Capital Advisors, LLC, 150 North Riverside Plaza, Suite 5200, Chicago, IL 60606.</w:t>
      </w:r>
    </w:p>
    <w:p>
      <w:pPr>
        <w:spacing w:after="0" w:line="16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This statement is filed by:</w:t>
      </w:r>
    </w:p>
    <w:p>
      <w:pPr>
        <w:spacing w:after="0" w:line="229" w:lineRule="exact"/>
        <w:rPr>
          <w:sz w:val="20"/>
          <w:szCs w:val="20"/>
          <w:color w:val="auto"/>
        </w:rPr>
      </w:pPr>
    </w:p>
    <w:p>
      <w:pPr>
        <w:ind w:left="2580" w:right="400" w:hanging="885"/>
        <w:spacing w:after="0" w:line="269" w:lineRule="auto"/>
        <w:tabs>
          <w:tab w:leader="none" w:pos="2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Empyrean Capital Overseas Master Fund, Ltd. ("</w:t>
      </w:r>
      <w:r>
        <w:rPr>
          <w:rFonts w:ascii="Times New Roman" w:cs="Times New Roman" w:eastAsia="Times New Roman" w:hAnsi="Times New Roman"/>
          <w:sz w:val="20"/>
          <w:szCs w:val="20"/>
          <w:u w:val="single" w:color="auto"/>
          <w:color w:val="auto"/>
        </w:rPr>
        <w:t>ECOMF</w:t>
      </w:r>
      <w:r>
        <w:rPr>
          <w:rFonts w:ascii="Times New Roman" w:cs="Times New Roman" w:eastAsia="Times New Roman" w:hAnsi="Times New Roman"/>
          <w:sz w:val="20"/>
          <w:szCs w:val="20"/>
          <w:color w:val="auto"/>
        </w:rPr>
        <w:t>"), a Cayman Islands exempted company, with respect to the Class A Ordinary Shares (as defined in Item 2(d)) directly held by it;</w:t>
      </w:r>
    </w:p>
    <w:p>
      <w:pPr>
        <w:spacing w:after="0" w:line="172" w:lineRule="exact"/>
        <w:rPr>
          <w:rFonts w:ascii="Times New Roman" w:cs="Times New Roman" w:eastAsia="Times New Roman" w:hAnsi="Times New Roman"/>
          <w:sz w:val="20"/>
          <w:szCs w:val="20"/>
          <w:color w:val="auto"/>
        </w:rPr>
      </w:pPr>
    </w:p>
    <w:p>
      <w:pPr>
        <w:ind w:left="2580" w:right="680" w:hanging="885"/>
        <w:spacing w:after="0" w:line="295" w:lineRule="auto"/>
        <w:tabs>
          <w:tab w:leader="none" w:pos="25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Empyrean Capital Partners, LP ("</w:t>
      </w:r>
      <w:r>
        <w:rPr>
          <w:rFonts w:ascii="Times New Roman" w:cs="Times New Roman" w:eastAsia="Times New Roman" w:hAnsi="Times New Roman"/>
          <w:sz w:val="19"/>
          <w:szCs w:val="19"/>
          <w:u w:val="single" w:color="auto"/>
          <w:color w:val="auto"/>
        </w:rPr>
        <w:t>ECP</w:t>
      </w:r>
      <w:r>
        <w:rPr>
          <w:rFonts w:ascii="Times New Roman" w:cs="Times New Roman" w:eastAsia="Times New Roman" w:hAnsi="Times New Roman"/>
          <w:sz w:val="19"/>
          <w:szCs w:val="19"/>
          <w:color w:val="auto"/>
        </w:rPr>
        <w:t>"), a Delaware limited partnership, which serves as investment manager to ECOMF with respect to the Class A Ordinary Shares directly held by ECOMF;</w:t>
      </w:r>
    </w:p>
    <w:p>
      <w:pPr>
        <w:spacing w:after="0" w:line="151" w:lineRule="exact"/>
        <w:rPr>
          <w:rFonts w:ascii="Times New Roman" w:cs="Times New Roman" w:eastAsia="Times New Roman" w:hAnsi="Times New Roman"/>
          <w:sz w:val="19"/>
          <w:szCs w:val="19"/>
          <w:color w:val="auto"/>
        </w:rPr>
      </w:pPr>
    </w:p>
    <w:p>
      <w:pPr>
        <w:ind w:left="2580" w:right="280" w:hanging="885"/>
        <w:spacing w:after="0" w:line="269" w:lineRule="auto"/>
        <w:tabs>
          <w:tab w:leader="none" w:pos="2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Amos Meron, who serves as the managing member of Empyrean Capital, LLC, the general partner of ECP, with respect to the Class A Ordinary Shares directly held by ECOMF.</w:t>
      </w:r>
    </w:p>
    <w:p>
      <w:pPr>
        <w:spacing w:after="0" w:line="173" w:lineRule="exact"/>
        <w:rPr>
          <w:sz w:val="20"/>
          <w:szCs w:val="20"/>
          <w:color w:val="auto"/>
        </w:rPr>
      </w:pPr>
    </w:p>
    <w:p>
      <w:pPr>
        <w:ind w:left="1700" w:right="20"/>
        <w:spacing w:after="0" w:line="254" w:lineRule="auto"/>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 Any disclosures herein with respect to persons other than the Reporting Persons are made on information and belief after making inquiry to the appropriate party.</w:t>
      </w:r>
    </w:p>
    <w:p>
      <w:pPr>
        <w:spacing w:after="0" w:line="188" w:lineRule="exact"/>
        <w:rPr>
          <w:sz w:val="20"/>
          <w:szCs w:val="20"/>
          <w:color w:val="auto"/>
        </w:rPr>
      </w:pPr>
    </w:p>
    <w:p>
      <w:pPr>
        <w:ind w:left="1700" w:right="720"/>
        <w:spacing w:after="0" w:line="269" w:lineRule="auto"/>
        <w:rPr>
          <w:sz w:val="20"/>
          <w:szCs w:val="20"/>
          <w:color w:val="auto"/>
        </w:rPr>
      </w:pPr>
      <w:r>
        <w:rPr>
          <w:rFonts w:ascii="Times New Roman" w:cs="Times New Roman" w:eastAsia="Times New Roman" w:hAnsi="Times New Roman"/>
          <w:sz w:val="20"/>
          <w:szCs w:val="20"/>
          <w:color w:val="auto"/>
        </w:rPr>
        <w:t>The foregoing should not be construed in and of itself as an admission by any Reporting Person as to beneficial ownership of Class A Ordinary Shares owned by another Reporting Person.</w:t>
      </w:r>
    </w:p>
    <w:p>
      <w:pPr>
        <w:spacing w:after="0" w:line="169"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33" w:lineRule="exact"/>
        <w:rPr>
          <w:sz w:val="20"/>
          <w:szCs w:val="20"/>
          <w:color w:val="auto"/>
        </w:rPr>
      </w:pPr>
    </w:p>
    <w:p>
      <w:pPr>
        <w:ind w:left="1700" w:right="660"/>
        <w:spacing w:after="0" w:line="269" w:lineRule="auto"/>
        <w:rPr>
          <w:sz w:val="20"/>
          <w:szCs w:val="20"/>
          <w:color w:val="auto"/>
        </w:rPr>
      </w:pPr>
      <w:r>
        <w:rPr>
          <w:rFonts w:ascii="Times New Roman" w:cs="Times New Roman" w:eastAsia="Times New Roman" w:hAnsi="Times New Roman"/>
          <w:sz w:val="20"/>
          <w:szCs w:val="20"/>
          <w:color w:val="auto"/>
        </w:rPr>
        <w:t>The address of the business office of each of the Reporting Persons is c/o Empyrean Capital Partners, LP, 10250 Constellation Boulevard, Suite 2950, Los Angeles, CA 90067.</w:t>
      </w:r>
    </w:p>
    <w:p>
      <w:pPr>
        <w:spacing w:after="0" w:line="16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2(c).</w:t>
      </w:r>
      <w:r>
        <w:rPr>
          <w:sz w:val="20"/>
          <w:szCs w:val="20"/>
          <w:color w:val="auto"/>
        </w:rPr>
        <w:tab/>
      </w:r>
      <w:r>
        <w:rPr>
          <w:rFonts w:ascii="Times New Roman" w:cs="Times New Roman" w:eastAsia="Times New Roman" w:hAnsi="Times New Roman"/>
          <w:sz w:val="19"/>
          <w:szCs w:val="19"/>
          <w:b w:val="1"/>
          <w:bCs w:val="1"/>
          <w:color w:val="auto"/>
        </w:rPr>
        <w:t>CITIZENSHIP:</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ECOMF - a Cayman Island exempted company</w:t>
      </w:r>
    </w:p>
    <w:p>
      <w:pPr>
        <w:spacing w:after="0" w:line="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ECP - a Delaware limited partnership</w:t>
      </w:r>
    </w:p>
    <w:p>
      <w:pPr>
        <w:ind w:left="1700"/>
        <w:spacing w:after="0"/>
        <w:rPr>
          <w:sz w:val="20"/>
          <w:szCs w:val="20"/>
          <w:color w:val="auto"/>
        </w:rPr>
      </w:pPr>
      <w:r>
        <w:rPr>
          <w:rFonts w:ascii="Times New Roman" w:cs="Times New Roman" w:eastAsia="Times New Roman" w:hAnsi="Times New Roman"/>
          <w:sz w:val="20"/>
          <w:szCs w:val="20"/>
          <w:color w:val="auto"/>
        </w:rPr>
        <w:t>Amos Meron - United States</w:t>
      </w:r>
    </w:p>
    <w:p>
      <w:pPr>
        <w:spacing w:after="0" w:line="200" w:lineRule="exact"/>
        <w:rPr>
          <w:sz w:val="20"/>
          <w:szCs w:val="20"/>
          <w:color w:val="auto"/>
        </w:rPr>
      </w:pPr>
    </w:p>
    <w:p>
      <w:pPr>
        <w:spacing w:after="0" w:line="23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2(d).</w:t>
      </w:r>
      <w:r>
        <w:rPr>
          <w:sz w:val="20"/>
          <w:szCs w:val="20"/>
          <w:color w:val="auto"/>
        </w:rPr>
        <w:tab/>
      </w:r>
      <w:r>
        <w:rPr>
          <w:rFonts w:ascii="Times New Roman" w:cs="Times New Roman" w:eastAsia="Times New Roman" w:hAnsi="Times New Roman"/>
          <w:sz w:val="19"/>
          <w:szCs w:val="19"/>
          <w:b w:val="1"/>
          <w:bCs w:val="1"/>
          <w:color w:val="auto"/>
        </w:rPr>
        <w:t>TITLE OF CLASS OF SECURITIES:</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Class A ordinary shares, $0.0001 par value per share (the "</w:t>
      </w:r>
      <w:r>
        <w:rPr>
          <w:rFonts w:ascii="Times New Roman" w:cs="Times New Roman" w:eastAsia="Times New Roman" w:hAnsi="Times New Roman"/>
          <w:sz w:val="20"/>
          <w:szCs w:val="20"/>
          <w:u w:val="single" w:color="auto"/>
          <w:color w:val="auto"/>
        </w:rPr>
        <w:t>Class A Ordinary Shares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2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G9441E100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211" w:lineRule="exact"/>
        <w:rPr>
          <w:sz w:val="20"/>
          <w:szCs w:val="20"/>
          <w:color w:val="auto"/>
        </w:rPr>
      </w:pPr>
    </w:p>
    <w:p>
      <w:pPr>
        <w:sectPr>
          <w:pgSz w:w="11900" w:h="16838" w:orient="portrait"/>
          <w:cols w:equalWidth="0" w:num="3">
            <w:col w:w="4760" w:space="720"/>
            <w:col w:w="3720" w:space="720"/>
            <w:col w:w="1320"/>
          </w:cols>
          <w:pgMar w:left="320" w:top="225" w:right="33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CUSIP NUMBER:</w:t>
      </w:r>
    </w:p>
    <w:p>
      <w:pPr>
        <w:spacing w:after="0" w:line="200" w:lineRule="exact"/>
        <w:rPr>
          <w:sz w:val="20"/>
          <w:szCs w:val="20"/>
          <w:color w:val="auto"/>
        </w:rPr>
      </w:pPr>
    </w:p>
    <w:p>
      <w:pPr>
        <w:sectPr>
          <w:pgSz w:w="11900" w:h="16838" w:orient="portrait"/>
          <w:cols w:equalWidth="0" w:num="2">
            <w:col w:w="980" w:space="720"/>
            <w:col w:w="9540"/>
          </w:cols>
          <w:pgMar w:left="320" w:top="225" w:right="339" w:bottom="1440" w:gutter="0" w:footer="0" w:header="0"/>
          <w:type w:val="continuous"/>
        </w:sectPr>
      </w:pPr>
    </w:p>
    <w:p>
      <w:pPr>
        <w:spacing w:after="0" w:line="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G9441E100</w:t>
      </w:r>
    </w:p>
    <w:p>
      <w:pPr>
        <w:sectPr>
          <w:pgSz w:w="11900" w:h="16838" w:orient="portrait"/>
          <w:cols w:equalWidth="0" w:num="1">
            <w:col w:w="11240"/>
          </w:cols>
          <w:pgMar w:left="320" w:top="225"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IF THIS STATEMENT IS FILED PURSUANT TO §§ 240.13d-1(b) OR 240.13d-2(b) OR (c), CHECK WHETHER THE PERSON FILING IS A:</w:t>
      </w:r>
    </w:p>
    <w:p>
      <w:pPr>
        <w:spacing w:after="0" w:line="151" w:lineRule="exact"/>
        <w:rPr>
          <w:sz w:val="20"/>
          <w:szCs w:val="20"/>
          <w:color w:val="auto"/>
        </w:rPr>
      </w:pPr>
    </w:p>
    <w:p>
      <w:pPr>
        <w:sectPr>
          <w:pgSz w:w="11900" w:h="16838" w:orient="portrait"/>
          <w:cols w:equalWidth="0" w:num="2">
            <w:col w:w="980" w:space="720"/>
            <w:col w:w="9540"/>
          </w:cols>
          <w:pgMar w:left="320" w:top="225" w:right="339" w:bottom="1440" w:gutter="0" w:footer="0" w:header="0"/>
          <w:type w:val="continuous"/>
        </w:sectPr>
      </w:pPr>
    </w:p>
    <w:p>
      <w:pPr>
        <w:ind w:left="2560" w:hanging="865"/>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865"/>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865"/>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345"/>
        <w:spacing w:after="0" w:line="253" w:lineRule="exact"/>
        <w:tabs>
          <w:tab w:leader="none" w:pos="2572"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0"/>
          <w:szCs w:val="20"/>
          <w:color w:val="auto"/>
        </w:rPr>
      </w:pPr>
    </w:p>
    <w:p>
      <w:pPr>
        <w:ind w:left="2560" w:hanging="865"/>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 240.13d-1(b)(1)(ii)(E);</w:t>
      </w:r>
    </w:p>
    <w:p>
      <w:pPr>
        <w:spacing w:after="0" w:line="215" w:lineRule="exact"/>
        <w:rPr>
          <w:rFonts w:ascii="Times New Roman" w:cs="Times New Roman" w:eastAsia="Times New Roman" w:hAnsi="Times New Roman"/>
          <w:sz w:val="20"/>
          <w:szCs w:val="20"/>
          <w:color w:val="auto"/>
        </w:rPr>
      </w:pPr>
    </w:p>
    <w:p>
      <w:pPr>
        <w:ind w:left="2560" w:hanging="865"/>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39" w:lineRule="exact"/>
        <w:rPr>
          <w:rFonts w:ascii="Times New Roman" w:cs="Times New Roman" w:eastAsia="Times New Roman" w:hAnsi="Times New Roman"/>
          <w:sz w:val="20"/>
          <w:szCs w:val="20"/>
          <w:color w:val="auto"/>
        </w:rPr>
      </w:pPr>
    </w:p>
    <w:p>
      <w:pPr>
        <w:ind w:left="3220" w:hanging="142"/>
        <w:spacing w:after="0"/>
        <w:tabs>
          <w:tab w:leader="none" w:pos="322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240.13d-1(b)(1)(ii)(F);</w:t>
      </w:r>
    </w:p>
    <w:p>
      <w:pPr>
        <w:spacing w:after="0" w:line="189" w:lineRule="exact"/>
        <w:rPr>
          <w:rFonts w:ascii="Times New Roman" w:cs="Times New Roman" w:eastAsia="Times New Roman" w:hAnsi="Times New Roman"/>
          <w:sz w:val="20"/>
          <w:szCs w:val="20"/>
          <w:color w:val="auto"/>
        </w:rPr>
      </w:pPr>
    </w:p>
    <w:p>
      <w:pPr>
        <w:ind w:left="2560" w:hanging="865"/>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w:t>
      </w:r>
    </w:p>
    <w:p>
      <w:pPr>
        <w:spacing w:after="0" w:line="39" w:lineRule="exact"/>
        <w:rPr>
          <w:rFonts w:ascii="Times New Roman" w:cs="Times New Roman" w:eastAsia="Times New Roman" w:hAnsi="Times New Roman"/>
          <w:sz w:val="20"/>
          <w:szCs w:val="20"/>
          <w:color w:val="auto"/>
        </w:rPr>
      </w:pPr>
    </w:p>
    <w:p>
      <w:pPr>
        <w:ind w:left="3220" w:hanging="142"/>
        <w:spacing w:after="0"/>
        <w:tabs>
          <w:tab w:leader="none" w:pos="322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240.13d-1(b)(1)(ii)(G);</w:t>
      </w:r>
    </w:p>
    <w:p>
      <w:pPr>
        <w:spacing w:after="0" w:line="175" w:lineRule="exact"/>
        <w:rPr>
          <w:rFonts w:ascii="Times New Roman" w:cs="Times New Roman" w:eastAsia="Times New Roman" w:hAnsi="Times New Roman"/>
          <w:sz w:val="20"/>
          <w:szCs w:val="20"/>
          <w:color w:val="auto"/>
        </w:rPr>
      </w:pPr>
    </w:p>
    <w:p>
      <w:pPr>
        <w:ind w:left="2560" w:hanging="865"/>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345"/>
        <w:spacing w:after="0" w:line="253" w:lineRule="exact"/>
        <w:tabs>
          <w:tab w:leader="none" w:pos="2572"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84" w:lineRule="exact"/>
        <w:rPr>
          <w:rFonts w:ascii="Times New Roman" w:cs="Times New Roman" w:eastAsia="Times New Roman" w:hAnsi="Times New Roman"/>
          <w:sz w:val="20"/>
          <w:szCs w:val="20"/>
          <w:color w:val="auto"/>
        </w:rPr>
      </w:pPr>
    </w:p>
    <w:p>
      <w:pPr>
        <w:ind w:left="2560" w:hanging="865"/>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 240.13d-1(b)(1)(ii)(J);</w:t>
      </w:r>
    </w:p>
    <w:p>
      <w:pPr>
        <w:spacing w:after="0" w:line="215" w:lineRule="exact"/>
        <w:rPr>
          <w:rFonts w:ascii="Times New Roman" w:cs="Times New Roman" w:eastAsia="Times New Roman" w:hAnsi="Times New Roman"/>
          <w:sz w:val="20"/>
          <w:szCs w:val="20"/>
          <w:color w:val="auto"/>
        </w:rPr>
      </w:pPr>
    </w:p>
    <w:p>
      <w:pPr>
        <w:ind w:left="2560" w:hanging="865"/>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 240.13d-1(b)(1)(ii)(K).</w:t>
      </w:r>
    </w:p>
    <w:p>
      <w:pPr>
        <w:spacing w:after="0" w:line="200" w:lineRule="exact"/>
        <w:rPr>
          <w:sz w:val="20"/>
          <w:szCs w:val="20"/>
          <w:color w:val="auto"/>
        </w:rPr>
      </w:pPr>
    </w:p>
    <w:p>
      <w:pPr>
        <w:spacing w:after="0" w:line="263" w:lineRule="exact"/>
        <w:rPr>
          <w:sz w:val="20"/>
          <w:szCs w:val="20"/>
          <w:color w:val="auto"/>
        </w:rPr>
      </w:pPr>
    </w:p>
    <w:p>
      <w:pPr>
        <w:ind w:left="1800" w:right="282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 240.13d-1(b)(1)(ii)(J), please specify the type of institution:________________________</w:t>
      </w:r>
    </w:p>
    <w:p>
      <w:pPr>
        <w:spacing w:after="0" w:line="398" w:lineRule="exact"/>
        <w:rPr>
          <w:sz w:val="20"/>
          <w:szCs w:val="20"/>
          <w:color w:val="auto"/>
        </w:rPr>
      </w:pPr>
    </w:p>
    <w:p>
      <w:pPr>
        <w:ind w:left="100"/>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580" w:right="2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Reporting Person.</w:t>
      </w:r>
    </w:p>
    <w:p>
      <w:pPr>
        <w:spacing w:after="0" w:line="173" w:lineRule="exact"/>
        <w:rPr>
          <w:sz w:val="20"/>
          <w:szCs w:val="20"/>
          <w:color w:val="auto"/>
        </w:rPr>
      </w:pPr>
    </w:p>
    <w:p>
      <w:pPr>
        <w:ind w:left="1580" w:right="20"/>
        <w:spacing w:after="0" w:line="254" w:lineRule="auto"/>
        <w:rPr>
          <w:sz w:val="20"/>
          <w:szCs w:val="20"/>
          <w:color w:val="auto"/>
        </w:rPr>
      </w:pPr>
      <w:r>
        <w:rPr>
          <w:rFonts w:ascii="Times New Roman" w:cs="Times New Roman" w:eastAsia="Times New Roman" w:hAnsi="Times New Roman"/>
          <w:sz w:val="20"/>
          <w:szCs w:val="20"/>
          <w:color w:val="auto"/>
        </w:rPr>
        <w:t>The percentages used in this Schedule 13G are calculated based upon 20,737,202 Class A Ordinary Shares outstanding as of November 16, 2020, as reported in the Issuer’s Quarterly Report on Form 10-Q for the quarterly period ended September 30, 2020 filed with the Securities and Exchange Commission on November 16, 2020.</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G9441E100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7 of 9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0" w:lineRule="exact"/>
        <w:rPr>
          <w:sz w:val="20"/>
          <w:szCs w:val="20"/>
          <w:color w:val="auto"/>
        </w:rPr>
      </w:pPr>
    </w:p>
    <w:p>
      <w:pPr>
        <w:ind w:left="100"/>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580" w:hanging="1481"/>
        <w:spacing w:after="0" w:line="273" w:lineRule="auto"/>
        <w:tabs>
          <w:tab w:leader="none" w:pos="15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G9441E100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9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After reasonable inquiry and to the best of our knowledge and belief, the undersigned certify that the information set forth in this statement is true, complete and correct.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December 18, 2020</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EMPYREAN CAPITAL PARTNERS, LP</w:t>
      </w:r>
    </w:p>
    <w:p>
      <w:pPr>
        <w:spacing w:after="0" w:line="233" w:lineRule="exact"/>
        <w:rPr>
          <w:sz w:val="20"/>
          <w:szCs w:val="20"/>
          <w:color w:val="auto"/>
        </w:rPr>
      </w:pPr>
    </w:p>
    <w:tbl>
      <w:tblPr>
        <w:tblLayout w:type="fixed"/>
        <w:tblInd w:w="5960" w:type="dxa"/>
        <w:tblCellMar>
          <w:top w:w="0" w:type="dxa"/>
          <w:left w:w="0" w:type="dxa"/>
          <w:bottom w:w="0" w:type="dxa"/>
          <w:right w:w="0" w:type="dxa"/>
        </w:tblCellMar>
      </w:tblPr>
      <w:tr>
        <w:trPr>
          <w:trHeight w:val="25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 Martin Meekins</w:t>
            </w:r>
          </w:p>
        </w:tc>
      </w:tr>
      <w:tr>
        <w:trPr>
          <w:trHeight w:val="200"/>
        </w:trPr>
        <w:tc>
          <w:tcPr>
            <w:tcW w:w="7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40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C. Martin Meekins</w:t>
            </w: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Operating Officer</w:t>
            </w:r>
          </w:p>
        </w:tc>
      </w:tr>
    </w:tbl>
    <w:p>
      <w:pPr>
        <w:spacing w:after="0" w:line="200" w:lineRule="exact"/>
        <w:rPr>
          <w:sz w:val="20"/>
          <w:szCs w:val="20"/>
          <w:color w:val="auto"/>
        </w:rPr>
      </w:pPr>
    </w:p>
    <w:p>
      <w:pPr>
        <w:spacing w:after="0" w:line="2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EMPYREAN CAPITAL OVERSEAS MASTER FUND,</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LTD.</w:t>
      </w:r>
    </w:p>
    <w:p>
      <w:pPr>
        <w:spacing w:after="0" w:line="207"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Empyrean Capital Partners, LP,</w:t>
            </w:r>
          </w:p>
        </w:tc>
      </w:tr>
      <w:tr>
        <w:trPr>
          <w:trHeight w:val="258"/>
        </w:trPr>
        <w:tc>
          <w:tcPr>
            <w:tcW w:w="780" w:type="dxa"/>
            <w:vAlign w:val="bottom"/>
          </w:tcPr>
          <w:p>
            <w:pPr>
              <w:spacing w:after="0"/>
              <w:rPr>
                <w:sz w:val="22"/>
                <w:szCs w:val="22"/>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its Investment Manager</w:t>
            </w:r>
          </w:p>
        </w:tc>
      </w:tr>
      <w:tr>
        <w:trPr>
          <w:trHeight w:val="683"/>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By: /s/ C. Martin Meekins</w:t>
            </w:r>
          </w:p>
        </w:tc>
      </w:tr>
      <w:tr>
        <w:trPr>
          <w:trHeight w:val="200"/>
        </w:trPr>
        <w:tc>
          <w:tcPr>
            <w:tcW w:w="7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40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C. Martin Meekins</w:t>
            </w: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Operating Officer</w:t>
            </w:r>
          </w:p>
        </w:tc>
      </w:tr>
    </w:tbl>
    <w:p>
      <w:pPr>
        <w:spacing w:after="0" w:line="200" w:lineRule="exact"/>
        <w:rPr>
          <w:sz w:val="20"/>
          <w:szCs w:val="20"/>
          <w:color w:val="auto"/>
        </w:rPr>
      </w:pPr>
    </w:p>
    <w:p>
      <w:pPr>
        <w:spacing w:after="0" w:line="2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/s/ Amos Meron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13970</wp:posOffset>
            </wp:positionV>
            <wp:extent cx="3300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AMOS MERON</w:t>
      </w:r>
    </w:p>
    <w:p>
      <w:pPr>
        <w:sectPr>
          <w:pgSz w:w="11900" w:h="16838" w:orient="portrait"/>
          <w:cols w:equalWidth="0" w:num="1">
            <w:col w:w="11240"/>
          </w:cols>
          <w:pgMar w:left="320" w:top="225" w:right="339" w:bottom="1440" w:gutter="0" w:footer="0" w:header="0"/>
        </w:sectPr>
      </w:pPr>
    </w:p>
    <w:bookmarkStart w:id="8" w:name="page9"/>
    <w:bookmarkEnd w:id="8"/>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G9441E100</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9 of 9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December 18, 2020</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EMPYREAN CAPITAL PARTNERS, LP</w:t>
      </w:r>
    </w:p>
    <w:p>
      <w:pPr>
        <w:spacing w:after="0" w:line="233" w:lineRule="exact"/>
        <w:rPr>
          <w:sz w:val="20"/>
          <w:szCs w:val="20"/>
          <w:color w:val="auto"/>
        </w:rPr>
      </w:pPr>
    </w:p>
    <w:tbl>
      <w:tblPr>
        <w:tblLayout w:type="fixed"/>
        <w:tblInd w:w="5960" w:type="dxa"/>
        <w:tblCellMar>
          <w:top w:w="0" w:type="dxa"/>
          <w:left w:w="0" w:type="dxa"/>
          <w:bottom w:w="0" w:type="dxa"/>
          <w:right w:w="0" w:type="dxa"/>
        </w:tblCellMar>
      </w:tblPr>
      <w:tr>
        <w:trPr>
          <w:trHeight w:val="25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 Martin Meekins</w:t>
            </w:r>
          </w:p>
        </w:tc>
      </w:tr>
      <w:tr>
        <w:trPr>
          <w:trHeight w:val="200"/>
        </w:trPr>
        <w:tc>
          <w:tcPr>
            <w:tcW w:w="7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40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C. Martin Meekins</w:t>
            </w: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Operating Officer</w:t>
            </w:r>
          </w:p>
        </w:tc>
      </w:tr>
    </w:tbl>
    <w:p>
      <w:pPr>
        <w:spacing w:after="0" w:line="200" w:lineRule="exact"/>
        <w:rPr>
          <w:sz w:val="20"/>
          <w:szCs w:val="20"/>
          <w:color w:val="auto"/>
        </w:rPr>
      </w:pPr>
    </w:p>
    <w:p>
      <w:pPr>
        <w:spacing w:after="0" w:line="2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EMPYREAN CAPITAL OVERSEAS MASTER FUND,</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LTD.</w:t>
      </w:r>
    </w:p>
    <w:p>
      <w:pPr>
        <w:spacing w:after="0" w:line="207"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Empyrean Capital Partners, LP,</w:t>
            </w:r>
          </w:p>
        </w:tc>
      </w:tr>
      <w:tr>
        <w:trPr>
          <w:trHeight w:val="258"/>
        </w:trPr>
        <w:tc>
          <w:tcPr>
            <w:tcW w:w="780" w:type="dxa"/>
            <w:vAlign w:val="bottom"/>
          </w:tcPr>
          <w:p>
            <w:pPr>
              <w:spacing w:after="0"/>
              <w:rPr>
                <w:sz w:val="22"/>
                <w:szCs w:val="22"/>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its Investment Manager</w:t>
            </w:r>
          </w:p>
        </w:tc>
      </w:tr>
      <w:tr>
        <w:trPr>
          <w:trHeight w:val="683"/>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 Martin Meekins</w:t>
            </w:r>
          </w:p>
        </w:tc>
      </w:tr>
      <w:tr>
        <w:trPr>
          <w:trHeight w:val="200"/>
        </w:trPr>
        <w:tc>
          <w:tcPr>
            <w:tcW w:w="7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40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C. Martin Meekins</w:t>
            </w: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Operating Officer</w:t>
            </w:r>
          </w:p>
        </w:tc>
      </w:tr>
    </w:tbl>
    <w:p>
      <w:pPr>
        <w:spacing w:after="0" w:line="200" w:lineRule="exact"/>
        <w:rPr>
          <w:sz w:val="20"/>
          <w:szCs w:val="20"/>
          <w:color w:val="auto"/>
        </w:rPr>
      </w:pPr>
    </w:p>
    <w:p>
      <w:pPr>
        <w:spacing w:after="0" w:line="2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/s/ Amos Meron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13970</wp:posOffset>
            </wp:positionV>
            <wp:extent cx="330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AMOS MERON</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2020-12-18T15:49:01Z</dcterms:created>
  <dcterms:modified xsi:type="dcterms:W3CDTF">2020-12-18T15:49:01Z</dcterms:modified>
</cp:coreProperties>
</file>