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October 10,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193040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201930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443"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001-39544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98-1550750</w:t>
      </w:r>
    </w:p>
    <w:p>
      <w:pPr>
        <w:spacing w:after="0" w:line="24" w:lineRule="exact"/>
        <w:rPr>
          <w:sz w:val="24"/>
          <w:szCs w:val="24"/>
          <w:color w:val="auto"/>
        </w:rPr>
      </w:pPr>
    </w:p>
    <w:p>
      <w:pPr>
        <w:sectPr>
          <w:pgSz w:w="11900" w:h="16838" w:orient="portrait"/>
          <w:cols w:equalWidth="0" w:num="3">
            <w:col w:w="4500" w:space="720"/>
            <w:col w:w="2880" w:space="720"/>
            <w:col w:w="2200"/>
          </w:cols>
          <w:pgMar w:left="440" w:top="443" w:right="439" w:bottom="1440" w:gutter="0" w:footer="0" w:header="0"/>
          <w:type w:val="continuous"/>
        </w:sectPr>
      </w:pPr>
    </w:p>
    <w:p>
      <w:pPr>
        <w:ind w:left="94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0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147" w:lineRule="exact"/>
        <w:rPr>
          <w:sz w:val="24"/>
          <w:szCs w:val="24"/>
          <w:color w:val="auto"/>
        </w:rPr>
      </w:pPr>
    </w:p>
    <w:p>
      <w:pPr>
        <w:sectPr>
          <w:pgSz w:w="11900" w:h="16838" w:orient="portrait"/>
          <w:cols w:equalWidth="0" w:num="3">
            <w:col w:w="4480" w:space="720"/>
            <w:col w:w="2620" w:space="720"/>
            <w:col w:w="2480"/>
          </w:cols>
          <w:pgMar w:left="440" w:top="443"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One Liberty Plaza, One Liberty St., Ste. 305-306,</w:t>
      </w:r>
    </w:p>
    <w:p>
      <w:pPr>
        <w:spacing w:after="0" w:line="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New York, New York 10006</w:t>
      </w:r>
    </w:p>
    <w:p>
      <w:pPr>
        <w:sectPr>
          <w:pgSz w:w="11900" w:h="16838" w:orient="portrait"/>
          <w:cols w:equalWidth="0" w:num="1">
            <w:col w:w="11020"/>
          </w:cols>
          <w:pgMar w:left="440" w:top="443" w:right="439" w:bottom="1440" w:gutter="0" w:footer="0" w:header="0"/>
          <w:type w:val="continuous"/>
        </w:sectPr>
      </w:pP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w:t>
      </w:r>
    </w:p>
    <w:p>
      <w:pPr>
        <w:jc w:val="center"/>
        <w:spacing w:after="0"/>
        <w:rPr>
          <w:sz w:val="20"/>
          <w:szCs w:val="20"/>
          <w:color w:val="auto"/>
        </w:rPr>
      </w:pPr>
      <w:r>
        <w:rPr>
          <w:rFonts w:ascii="Times New Roman" w:cs="Times New Roman" w:eastAsia="Times New Roman" w:hAnsi="Times New Roman"/>
          <w:sz w:val="14"/>
          <w:szCs w:val="14"/>
          <w:b w:val="1"/>
          <w:bCs w:val="1"/>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193675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right="40" w:firstLine="44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42"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03"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BKKT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Warrants to purchase Class A Common Stock</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BKKT WS</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bl>
    <w:p>
      <w:pPr>
        <w:spacing w:after="0" w:line="144" w:lineRule="exact"/>
        <w:rPr>
          <w:sz w:val="24"/>
          <w:szCs w:val="24"/>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200" w:firstLine="440"/>
        <w:spacing w:after="0" w:line="256" w:lineRule="auto"/>
        <w:rPr>
          <w:sz w:val="20"/>
          <w:szCs w:val="20"/>
          <w:color w:val="auto"/>
        </w:rPr>
      </w:pPr>
      <w:r>
        <w:rPr>
          <w:rFonts w:ascii="Times New Roman" w:cs="Times New Roman" w:eastAsia="Times New Roman" w:hAnsi="Times New Roman"/>
          <w:sz w:val="18"/>
          <w:szCs w:val="18"/>
          <w:color w:val="auto"/>
        </w:rPr>
        <w:t>On September 9, 2025, Bakkt Holdings, Inc. (the “Company”) filed a definitive proxy statement on Schedule 14A (the “Proxy Statement”) with the Securities and Exchange Commission (the “SEC”). As previously reported, the special meeting of the Company’s stockholders (the “Special Meeting”) to approve the proposal of a one-time grant of options to select members of management to purchase shares of the Company’s Class A common stock, par value $0.0001 per share (as defined and further described in the Proxy Statement, the “Options Proposal”), was called to order on October 7, 2025 and subsequently adjourned without opening the polls on the Options Proposal in order to allow the Company to solicit additional proxies with respect to the Options Proposal.</w:t>
      </w:r>
    </w:p>
    <w:p>
      <w:pPr>
        <w:spacing w:after="0" w:line="18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Company today announced that it intends to amend the Options Proposal prior to the time the Special Meeting is scheduled to be reconvened on October 31, 2025 at 1:00 p.m. Eastern Time (such amended proposal, the “Amended Options Proposal”). As a result, the Company’s stockholders will be asked to consider and vote only on the Amended Options Proposal. The Company intends to describe the Amended Options Proposal in a current report on Form 8-K and in definitive additional proxy materials to be filed by the Company with the SEC prior to October 31,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This Current Report contains “forward-looking statements” within the meaning of Section 27A of the U.S. Securities Act of 1933, as amended, and Section 21E of the U.S. Securities and Exchange Act of 1934, as amended. Such statements include, but are not limited to, statements regarding the Company’s plans with respect to the Special Meeting and the Amended Options Proposal. Forward-looking statements can be identified by words such as “will,” “likely,” “expect,” “continue,” “anticipate,” “estimate,” “believe,” “intend,” “plan,” “projection,” “outlook,” “grow,” “progress,” “potential” or the negative of such terms or other variations thereof and words and terms of similar substance used in connection with any discussion of future plans, actions, or events identify forward-looking statements. However, the absence of these words does not mean that the statements are not forward-looking. Such forward-looking statements are based upon the current beliefs and expectations of the Company’s management and are inherently subject to significant business, economic and competitive uncertainties and contingencies, many of which are difficult to predict and beyond the Company’s control.</w:t>
      </w:r>
    </w:p>
    <w:p>
      <w:pPr>
        <w:spacing w:after="0" w:line="188"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You are cautioned not to place undue reliance on such forward-looking statements. Such forward-looking statements relate only to events as of the date on which such statements are made and are based on information available to us as of the date of this Current Report.</w:t>
      </w:r>
    </w:p>
    <w:p>
      <w:pPr>
        <w:sectPr>
          <w:pgSz w:w="11900" w:h="16838" w:orient="portrait"/>
          <w:cols w:equalWidth="0" w:num="1">
            <w:col w:w="11000"/>
          </w:cols>
          <w:pgMar w:left="440" w:top="293" w:right="45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10, 2025</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5715</wp:posOffset>
            </wp:positionV>
            <wp:extent cx="32143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ind w:left="5940"/>
        <w:spacing w:after="0"/>
        <w:rPr>
          <w:sz w:val="20"/>
          <w:szCs w:val="20"/>
          <w:color w:val="auto"/>
        </w:rPr>
      </w:pPr>
      <w:r>
        <w:rPr>
          <w:rFonts w:ascii="Times New Roman" w:cs="Times New Roman" w:eastAsia="Times New Roman" w:hAnsi="Times New Roman"/>
          <w:sz w:val="18"/>
          <w:szCs w:val="18"/>
          <w:color w:val="auto"/>
        </w:rPr>
        <w:t>Name: Marc D’Annunzio</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General Counsel and Secretary</w:t>
      </w:r>
    </w:p>
    <w:sectPr>
      <w:pgSz w:w="11900" w:h="16838" w:orient="portrait"/>
      <w:cols w:equalWidth="0" w:num="1">
        <w:col w:w="10700"/>
      </w:cols>
      <w:pgMar w:left="440" w:top="29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2025-10-14T05:30:01Z</dcterms:created>
  <dcterms:modified xsi:type="dcterms:W3CDTF">2025-10-14T05:30:01Z</dcterms:modified>
</cp:coreProperties>
</file>