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8037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037830"/>
                    </a:xfrm>
                    <a:prstGeom prst="rect">
                      <a:avLst/>
                    </a:prstGeom>
                    <a:noFill/>
                  </pic:spPr>
                </pic:pic>
              </a:graphicData>
            </a:graphic>
          </wp:anchor>
        </w:drawing>
      </w:r>
    </w:p>
    <w:p>
      <w:pPr>
        <w:spacing w:after="0" w:line="81" w:lineRule="exact"/>
        <w:rPr>
          <w:sz w:val="24"/>
          <w:szCs w:val="24"/>
          <w:color w:val="auto"/>
        </w:rPr>
      </w:pPr>
    </w:p>
    <w:p>
      <w:pPr>
        <w:sectPr>
          <w:pgSz w:w="11900" w:h="16867" w:orient="portrait"/>
          <w:cols w:equalWidth="0" w:num="2">
            <w:col w:w="2180" w:space="460"/>
            <w:col w:w="8440"/>
          </w:cols>
          <w:pgMar w:left="460" w:top="218" w:right="359" w:bottom="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line="243" w:lineRule="auto"/>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VPC Impact Acquisition Holdings Sponsor,</w:t>
        </w:r>
      </w:hyperlink>
      <w:r>
        <w:rPr>
          <w:rFonts w:ascii="Arial" w:cs="Arial" w:eastAsia="Arial" w:hAnsi="Arial"/>
          <w:sz w:val="20"/>
          <w:szCs w:val="20"/>
          <w:u w:val="single" w:color="auto"/>
          <w:color w:val="0000EE"/>
        </w:rPr>
        <w:t xml:space="preserve"> </w:t>
      </w:r>
      <w:hyperlink r:id="rId12">
        <w:r>
          <w:rPr>
            <w:rFonts w:ascii="Arial" w:cs="Arial" w:eastAsia="Arial" w:hAnsi="Arial"/>
            <w:sz w:val="20"/>
            <w:szCs w:val="20"/>
            <w:u w:val="single" w:color="auto"/>
            <w:color w:val="0000EE"/>
          </w:rPr>
          <w:t>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0"/>
          <w:szCs w:val="20"/>
          <w:color w:val="auto"/>
        </w:rPr>
      </w:pPr>
    </w:p>
    <w:p>
      <w:pPr>
        <w:ind w:left="120" w:right="60"/>
        <w:spacing w:after="0" w:line="395" w:lineRule="auto"/>
        <w:rPr>
          <w:sz w:val="20"/>
          <w:szCs w:val="20"/>
          <w:color w:val="auto"/>
        </w:rPr>
      </w:pPr>
      <w:r>
        <w:rPr>
          <w:rFonts w:ascii="Arial" w:cs="Arial" w:eastAsia="Arial" w:hAnsi="Arial"/>
          <w:sz w:val="15"/>
          <w:szCs w:val="15"/>
          <w:color w:val="0000FF"/>
        </w:rPr>
        <w:t>C/O VICTORY PARK CAPITAL ADVISORS, LLC 150 NORTH RIVERSIDE PLAZA, SUITE 5200</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18"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CHICAGO</w:t>
      </w:r>
      <w:r>
        <w:rPr>
          <w:sz w:val="20"/>
          <w:szCs w:val="20"/>
          <w:color w:val="auto"/>
        </w:rPr>
        <w:tab/>
      </w:r>
      <w:r>
        <w:rPr>
          <w:rFonts w:ascii="Arial" w:cs="Arial" w:eastAsia="Arial" w:hAnsi="Arial"/>
          <w:sz w:val="16"/>
          <w:szCs w:val="16"/>
          <w:color w:val="0000FF"/>
        </w:rPr>
        <w:t>IL</w:t>
      </w:r>
      <w:r>
        <w:rPr>
          <w:sz w:val="20"/>
          <w:szCs w:val="20"/>
          <w:color w:val="auto"/>
        </w:rPr>
        <w:tab/>
      </w:r>
      <w:r>
        <w:rPr>
          <w:rFonts w:ascii="Arial" w:cs="Arial" w:eastAsia="Arial" w:hAnsi="Arial"/>
          <w:sz w:val="15"/>
          <w:szCs w:val="15"/>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3"/>
          </w:tcPr>
          <w:p>
            <w:pPr>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Bakkt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BKKT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1680" w:type="dxa"/>
            <w:vAlign w:val="bottom"/>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8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tcPr>
          <w:p>
            <w:pPr>
              <w:spacing w:after="0"/>
              <w:rPr>
                <w:sz w:val="2"/>
                <w:szCs w:val="2"/>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6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720" w:type="dxa"/>
            <w:vAlign w:val="bottom"/>
            <w:gridSpan w:val="3"/>
          </w:tcPr>
          <w:p>
            <w:pPr>
              <w:ind w:left="60"/>
              <w:spacing w:after="0"/>
              <w:rPr>
                <w:sz w:val="20"/>
                <w:szCs w:val="20"/>
                <w:color w:val="auto"/>
              </w:rPr>
            </w:pPr>
            <w:r>
              <w:rPr>
                <w:rFonts w:ascii="Arial" w:cs="Arial" w:eastAsia="Arial" w:hAnsi="Arial"/>
                <w:sz w:val="16"/>
                <w:szCs w:val="16"/>
                <w:color w:val="0000FF"/>
              </w:rPr>
              <w:t>11/17/2021</w:t>
            </w:r>
          </w:p>
        </w:tc>
        <w:tc>
          <w:tcPr>
            <w:tcW w:w="2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80" w:type="dxa"/>
            <w:vAlign w:val="bottom"/>
          </w:tcPr>
          <w:p>
            <w:pPr>
              <w:ind w:left="60"/>
              <w:spacing w:after="0"/>
              <w:rPr>
                <w:sz w:val="20"/>
                <w:szCs w:val="20"/>
                <w:color w:val="auto"/>
              </w:rPr>
            </w:pPr>
            <w:r>
              <w:rPr>
                <w:rFonts w:ascii="Arial" w:cs="Arial" w:eastAsia="Arial" w:hAnsi="Arial"/>
                <w:sz w:val="13"/>
                <w:szCs w:val="13"/>
                <w:color w:val="auto"/>
              </w:rPr>
              <w:t>Line)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234" w:lineRule="exact"/>
        <w:rPr>
          <w:sz w:val="20"/>
          <w:szCs w:val="20"/>
          <w:color w:val="auto"/>
        </w:rPr>
      </w:pPr>
    </w:p>
    <w:p>
      <w:pPr>
        <w:sectPr>
          <w:pgSz w:w="11900" w:h="16867" w:orient="portrait"/>
          <w:cols w:equalWidth="0" w:num="2">
            <w:col w:w="3620" w:space="220"/>
            <w:col w:w="7240"/>
          </w:cols>
          <w:pgMar w:left="460" w:top="218" w:right="359" w:bottom="0" w:gutter="0" w:footer="0" w:header="0"/>
          <w:type w:val="continuous"/>
        </w:sectPr>
      </w:pPr>
    </w:p>
    <w:p>
      <w:pPr>
        <w:spacing w:after="0" w:line="124"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20" w:type="dxa"/>
            <w:vAlign w:val="bottom"/>
          </w:tcPr>
          <w:p>
            <w:pPr>
              <w:spacing w:after="0"/>
              <w:rPr>
                <w:sz w:val="13"/>
                <w:szCs w:val="13"/>
                <w:color w:val="auto"/>
              </w:rPr>
            </w:pPr>
          </w:p>
        </w:tc>
        <w:tc>
          <w:tcPr>
            <w:tcW w:w="1040" w:type="dxa"/>
            <w:vAlign w:val="bottom"/>
            <w:gridSpan w:val="5"/>
          </w:tcPr>
          <w:p>
            <w:pPr>
              <w:ind w:left="2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2"/>
              </w:rPr>
              <w:t>Date</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40" w:type="dxa"/>
            <w:vAlign w:val="bottom"/>
            <w:gridSpan w:val="7"/>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13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5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gridSpan w:val="7"/>
          </w:tcPr>
          <w:p>
            <w:pPr>
              <w:ind w:left="60"/>
              <w:spacing w:after="0"/>
              <w:rPr>
                <w:sz w:val="20"/>
                <w:szCs w:val="20"/>
                <w:color w:val="auto"/>
              </w:rPr>
            </w:pPr>
            <w:r>
              <w:rPr>
                <w:rFonts w:ascii="Arial" w:cs="Arial" w:eastAsia="Arial" w:hAnsi="Arial"/>
                <w:sz w:val="16"/>
                <w:szCs w:val="16"/>
                <w:color w:val="0000FF"/>
                <w:w w:val="98"/>
              </w:rPr>
              <w:t>Class A common stock, par value $0.0001 per</w:t>
            </w:r>
          </w:p>
        </w:tc>
        <w:tc>
          <w:tcPr>
            <w:tcW w:w="940" w:type="dxa"/>
            <w:vAlign w:val="bottom"/>
            <w:gridSpan w:val="4"/>
            <w:vMerge w:val="restart"/>
          </w:tcPr>
          <w:p>
            <w:pPr>
              <w:jc w:val="right"/>
              <w:ind w:right="100"/>
              <w:spacing w:after="0"/>
              <w:rPr>
                <w:sz w:val="20"/>
                <w:szCs w:val="20"/>
                <w:color w:val="auto"/>
              </w:rPr>
            </w:pPr>
            <w:r>
              <w:rPr>
                <w:rFonts w:ascii="Arial" w:cs="Arial" w:eastAsia="Arial" w:hAnsi="Arial"/>
                <w:sz w:val="16"/>
                <w:szCs w:val="16"/>
                <w:color w:val="0000FF"/>
              </w:rPr>
              <w:t>11/17/2021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X</w:t>
            </w:r>
            <w:r>
              <w:rPr>
                <w:rFonts w:ascii="Arial" w:cs="Arial" w:eastAsia="Arial" w:hAnsi="Arial"/>
                <w:sz w:val="10"/>
                <w:szCs w:val="10"/>
                <w:color w:val="008000"/>
              </w:rPr>
              <w:t>(1)</w:t>
            </w:r>
          </w:p>
        </w:tc>
        <w:tc>
          <w:tcPr>
            <w:tcW w:w="1020" w:type="dxa"/>
            <w:vAlign w:val="bottom"/>
            <w:gridSpan w:val="2"/>
            <w:vMerge w:val="restart"/>
          </w:tcPr>
          <w:p>
            <w:pPr>
              <w:jc w:val="right"/>
              <w:ind w:right="81"/>
              <w:spacing w:after="0"/>
              <w:rPr>
                <w:sz w:val="20"/>
                <w:szCs w:val="20"/>
                <w:color w:val="auto"/>
              </w:rPr>
            </w:pPr>
            <w:r>
              <w:rPr>
                <w:rFonts w:ascii="Arial" w:cs="Arial" w:eastAsia="Arial" w:hAnsi="Arial"/>
                <w:sz w:val="16"/>
                <w:szCs w:val="16"/>
                <w:color w:val="0000FF"/>
              </w:rPr>
              <w:t>3,967,362</w:t>
            </w:r>
          </w:p>
        </w:tc>
        <w:tc>
          <w:tcPr>
            <w:tcW w:w="300" w:type="dxa"/>
            <w:vAlign w:val="bottom"/>
            <w:vMerge w:val="restart"/>
          </w:tcPr>
          <w:p>
            <w:pPr>
              <w:ind w:left="160"/>
              <w:spacing w:after="0"/>
              <w:rPr>
                <w:sz w:val="20"/>
                <w:szCs w:val="20"/>
                <w:color w:val="auto"/>
              </w:rPr>
            </w:pPr>
            <w:r>
              <w:rPr>
                <w:rFonts w:ascii="Arial" w:cs="Arial" w:eastAsia="Arial" w:hAnsi="Arial"/>
                <w:sz w:val="16"/>
                <w:szCs w:val="16"/>
                <w:color w:val="0000FF"/>
              </w:rPr>
              <w:t>A</w:t>
            </w:r>
          </w:p>
        </w:tc>
        <w:tc>
          <w:tcPr>
            <w:tcW w:w="200" w:type="dxa"/>
            <w:vAlign w:val="bottom"/>
          </w:tcPr>
          <w:p>
            <w:pPr>
              <w:spacing w:after="0"/>
              <w:rPr>
                <w:sz w:val="20"/>
                <w:szCs w:val="20"/>
                <w:color w:val="auto"/>
              </w:rPr>
            </w:pPr>
          </w:p>
        </w:tc>
        <w:tc>
          <w:tcPr>
            <w:tcW w:w="520" w:type="dxa"/>
            <w:vAlign w:val="bottom"/>
            <w:vMerge w:val="restart"/>
          </w:tcPr>
          <w:p>
            <w:pPr>
              <w:jc w:val="right"/>
              <w:ind w:right="126"/>
              <w:spacing w:after="0"/>
              <w:rPr>
                <w:sz w:val="20"/>
                <w:szCs w:val="20"/>
                <w:color w:val="auto"/>
              </w:rPr>
            </w:pPr>
            <w:r>
              <w:rPr>
                <w:rFonts w:ascii="Arial" w:cs="Arial" w:eastAsia="Arial" w:hAnsi="Arial"/>
                <w:sz w:val="10"/>
                <w:szCs w:val="10"/>
                <w:color w:val="008000"/>
              </w:rPr>
              <w:t>(2)</w:t>
            </w:r>
          </w:p>
        </w:tc>
        <w:tc>
          <w:tcPr>
            <w:tcW w:w="6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6"/>
                <w:szCs w:val="16"/>
                <w:color w:val="0000FF"/>
              </w:rPr>
              <w:t>9,091,662</w:t>
            </w:r>
          </w:p>
        </w:tc>
        <w:tc>
          <w:tcPr>
            <w:tcW w:w="280" w:type="dxa"/>
            <w:vAlign w:val="bottom"/>
          </w:tcPr>
          <w:p>
            <w:pPr>
              <w:spacing w:after="0"/>
              <w:rPr>
                <w:sz w:val="20"/>
                <w:szCs w:val="20"/>
                <w:color w:val="auto"/>
              </w:rPr>
            </w:pPr>
          </w:p>
        </w:tc>
        <w:tc>
          <w:tcPr>
            <w:tcW w:w="660" w:type="dxa"/>
            <w:vAlign w:val="bottom"/>
            <w:vMerge w:val="restart"/>
          </w:tcPr>
          <w:p>
            <w:pPr>
              <w:ind w:left="20"/>
              <w:spacing w:after="0"/>
              <w:rPr>
                <w:sz w:val="20"/>
                <w:szCs w:val="20"/>
                <w:color w:val="auto"/>
              </w:rPr>
            </w:pPr>
            <w:r>
              <w:rPr>
                <w:rFonts w:ascii="Arial" w:cs="Arial" w:eastAsia="Arial" w:hAnsi="Arial"/>
                <w:sz w:val="32"/>
                <w:szCs w:val="32"/>
                <w:color w:val="0000FF"/>
                <w:vertAlign w:val="subscript"/>
              </w:rPr>
              <w:t>D</w:t>
            </w:r>
            <w:r>
              <w:rPr>
                <w:rFonts w:ascii="Arial" w:cs="Arial" w:eastAsia="Arial" w:hAnsi="Arial"/>
                <w:sz w:val="10"/>
                <w:szCs w:val="10"/>
                <w:color w:val="008000"/>
              </w:rPr>
              <w:t>(3)</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6"/>
                <w:szCs w:val="16"/>
                <w:color w:val="0000FF"/>
              </w:rPr>
              <w:t>share</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jc w:val="right"/>
              <w:ind w:right="2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5"/>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3"/>
                <w:szCs w:val="13"/>
                <w:color w:val="auto"/>
              </w:rPr>
            </w:pP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28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28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Private</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25"/>
                <w:szCs w:val="25"/>
                <w:color w:val="0000FF"/>
                <w:vertAlign w:val="subscript"/>
              </w:rPr>
              <w:t>X</w:t>
            </w:r>
            <w:r>
              <w:rPr>
                <w:rFonts w:ascii="Arial" w:cs="Arial" w:eastAsia="Arial" w:hAnsi="Arial"/>
                <w:sz w:val="10"/>
                <w:szCs w:val="10"/>
                <w:color w:val="008000"/>
              </w:rPr>
              <w:t>(1)</w:t>
            </w: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680" w:type="dxa"/>
            <w:vAlign w:val="bottom"/>
            <w:vMerge w:val="restart"/>
          </w:tcPr>
          <w:p>
            <w:pPr>
              <w:jc w:val="right"/>
              <w:ind w:right="240"/>
              <w:spacing w:after="0"/>
              <w:rPr>
                <w:sz w:val="20"/>
                <w:szCs w:val="20"/>
                <w:color w:val="auto"/>
              </w:rPr>
            </w:pPr>
            <w:r>
              <w:rPr>
                <w:rFonts w:ascii="Arial" w:cs="Arial" w:eastAsia="Arial" w:hAnsi="Arial"/>
                <w:sz w:val="10"/>
                <w:szCs w:val="10"/>
                <w:color w:val="008000"/>
              </w:rPr>
              <w:t>(2)</w:t>
            </w:r>
          </w:p>
        </w:tc>
        <w:tc>
          <w:tcPr>
            <w:tcW w:w="640" w:type="dxa"/>
            <w:vAlign w:val="bottom"/>
            <w:gridSpan w:val="2"/>
          </w:tcPr>
          <w:p>
            <w:pPr>
              <w:jc w:val="center"/>
              <w:spacing w:after="0"/>
              <w:rPr>
                <w:sz w:val="20"/>
                <w:szCs w:val="20"/>
                <w:color w:val="auto"/>
              </w:rPr>
            </w:pPr>
            <w:r>
              <w:rPr>
                <w:rFonts w:ascii="Arial" w:cs="Arial" w:eastAsia="Arial" w:hAnsi="Arial"/>
                <w:sz w:val="13"/>
                <w:szCs w:val="13"/>
                <w:color w:val="0000FF"/>
                <w:w w:val="84"/>
              </w:rPr>
              <w:t>Class A</w:t>
            </w:r>
          </w:p>
        </w:tc>
        <w:tc>
          <w:tcPr>
            <w:tcW w:w="720" w:type="dxa"/>
            <w:vAlign w:val="bottom"/>
            <w:gridSpan w:val="2"/>
            <w:vMerge w:val="restart"/>
          </w:tcPr>
          <w:p>
            <w:pPr>
              <w:ind w:left="20"/>
              <w:spacing w:after="0"/>
              <w:rPr>
                <w:sz w:val="20"/>
                <w:szCs w:val="20"/>
                <w:color w:val="auto"/>
              </w:rPr>
            </w:pPr>
            <w:r>
              <w:rPr>
                <w:rFonts w:ascii="Arial" w:cs="Arial" w:eastAsia="Arial" w:hAnsi="Arial"/>
                <w:sz w:val="16"/>
                <w:szCs w:val="16"/>
                <w:color w:val="0000FF"/>
                <w:w w:val="95"/>
              </w:rPr>
              <w:t>3,967,362</w:t>
            </w:r>
          </w:p>
        </w:tc>
        <w:tc>
          <w:tcPr>
            <w:tcW w:w="60" w:type="dxa"/>
            <w:vAlign w:val="bottom"/>
          </w:tcPr>
          <w:p>
            <w:pPr>
              <w:spacing w:after="0"/>
              <w:rPr>
                <w:sz w:val="15"/>
                <w:szCs w:val="15"/>
                <w:color w:val="auto"/>
              </w:rPr>
            </w:pPr>
          </w:p>
        </w:tc>
        <w:tc>
          <w:tcPr>
            <w:tcW w:w="680" w:type="dxa"/>
            <w:vAlign w:val="bottom"/>
            <w:vMerge w:val="restart"/>
          </w:tcPr>
          <w:p>
            <w:pPr>
              <w:jc w:val="right"/>
              <w:ind w:right="282"/>
              <w:spacing w:after="0"/>
              <w:rPr>
                <w:sz w:val="20"/>
                <w:szCs w:val="20"/>
                <w:color w:val="auto"/>
              </w:rPr>
            </w:pPr>
            <w:r>
              <w:rPr>
                <w:rFonts w:ascii="Arial" w:cs="Arial" w:eastAsia="Arial" w:hAnsi="Arial"/>
                <w:sz w:val="10"/>
                <w:szCs w:val="10"/>
                <w:color w:val="008000"/>
              </w:rPr>
              <w:t>(2)</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(3)</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w w:val="94"/>
              </w:rPr>
              <w:t>Placement</w:t>
            </w:r>
          </w:p>
        </w:tc>
        <w:tc>
          <w:tcPr>
            <w:tcW w:w="7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60" w:type="dxa"/>
            <w:vAlign w:val="bottom"/>
          </w:tcPr>
          <w:p>
            <w:pPr>
              <w:spacing w:after="0"/>
              <w:rPr>
                <w:sz w:val="11"/>
                <w:szCs w:val="11"/>
                <w:color w:val="auto"/>
              </w:rPr>
            </w:pPr>
          </w:p>
        </w:tc>
        <w:tc>
          <w:tcPr>
            <w:tcW w:w="1060" w:type="dxa"/>
            <w:vAlign w:val="bottom"/>
          </w:tcPr>
          <w:p>
            <w:pPr>
              <w:ind w:left="220"/>
              <w:spacing w:after="0" w:line="138" w:lineRule="exact"/>
              <w:rPr>
                <w:sz w:val="20"/>
                <w:szCs w:val="20"/>
                <w:color w:val="auto"/>
              </w:rPr>
            </w:pPr>
            <w:r>
              <w:rPr>
                <w:rFonts w:ascii="Arial" w:cs="Arial" w:eastAsia="Arial" w:hAnsi="Arial"/>
                <w:sz w:val="13"/>
                <w:szCs w:val="13"/>
                <w:color w:val="0000FF"/>
              </w:rPr>
              <w:t>11/17/2021</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900" w:type="dxa"/>
            <w:vAlign w:val="bottom"/>
          </w:tcPr>
          <w:p>
            <w:pPr>
              <w:ind w:left="300"/>
              <w:spacing w:after="0" w:line="138" w:lineRule="exact"/>
              <w:rPr>
                <w:sz w:val="20"/>
                <w:szCs w:val="20"/>
                <w:color w:val="auto"/>
              </w:rPr>
            </w:pPr>
            <w:r>
              <w:rPr>
                <w:rFonts w:ascii="Arial" w:cs="Arial" w:eastAsia="Arial" w:hAnsi="Arial"/>
                <w:sz w:val="13"/>
                <w:szCs w:val="13"/>
                <w:color w:val="0000FF"/>
              </w:rPr>
              <w:t>6,147,440</w:t>
            </w: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Common</w:t>
            </w: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ind w:left="360"/>
              <w:spacing w:after="0" w:line="13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8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0"/>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VPC Impact Acquisition Holdings Sponsor, LLC</w:t>
              </w:r>
            </w:hyperlink>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7"/>
          </w:tcPr>
          <w:p>
            <w:pPr>
              <w:spacing w:after="0"/>
              <w:rPr>
                <w:sz w:val="20"/>
                <w:szCs w:val="20"/>
                <w:color w:val="auto"/>
              </w:rPr>
            </w:pPr>
            <w:r>
              <w:rPr>
                <w:rFonts w:ascii="Arial" w:cs="Arial" w:eastAsia="Arial" w:hAnsi="Arial"/>
                <w:sz w:val="16"/>
                <w:szCs w:val="16"/>
                <w:color w:val="0000FF"/>
                <w:w w:val="99"/>
              </w:rPr>
              <w:t>C/O VICTORY PARK CAPITAL ADVISORS, LLC</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20" w:type="dxa"/>
            <w:vAlign w:val="bottom"/>
            <w:gridSpan w:val="5"/>
          </w:tcPr>
          <w:p>
            <w:pPr>
              <w:spacing w:after="0"/>
              <w:rPr>
                <w:sz w:val="20"/>
                <w:szCs w:val="20"/>
                <w:color w:val="auto"/>
              </w:rPr>
            </w:pPr>
            <w:r>
              <w:rPr>
                <w:rFonts w:ascii="Arial" w:cs="Arial" w:eastAsia="Arial" w:hAnsi="Arial"/>
                <w:sz w:val="16"/>
                <w:szCs w:val="16"/>
                <w:color w:val="0000FF"/>
                <w:w w:val="96"/>
              </w:rPr>
              <w:t>150 NORTH RIVERSIDE PLAZA, SUITE 5200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CHICAGO</w:t>
            </w:r>
          </w:p>
        </w:tc>
        <w:tc>
          <w:tcPr>
            <w:tcW w:w="1060" w:type="dxa"/>
            <w:vAlign w:val="bottom"/>
          </w:tcPr>
          <w:p>
            <w:pPr>
              <w:ind w:left="60"/>
              <w:spacing w:after="0"/>
              <w:rPr>
                <w:sz w:val="20"/>
                <w:szCs w:val="20"/>
                <w:color w:val="auto"/>
              </w:rPr>
            </w:pPr>
            <w:r>
              <w:rPr>
                <w:rFonts w:ascii="Arial" w:cs="Arial" w:eastAsia="Arial" w:hAnsi="Arial"/>
                <w:sz w:val="16"/>
                <w:szCs w:val="16"/>
                <w:color w:val="0000FF"/>
              </w:rPr>
              <w:t>IL</w:t>
            </w:r>
          </w:p>
        </w:tc>
        <w:tc>
          <w:tcPr>
            <w:tcW w:w="820" w:type="dxa"/>
            <w:vAlign w:val="bottom"/>
          </w:tcPr>
          <w:p>
            <w:pPr>
              <w:ind w:left="400"/>
              <w:spacing w:after="0"/>
              <w:rPr>
                <w:sz w:val="20"/>
                <w:szCs w:val="20"/>
                <w:color w:val="auto"/>
              </w:rPr>
            </w:pPr>
            <w:r>
              <w:rPr>
                <w:rFonts w:ascii="Arial" w:cs="Arial" w:eastAsia="Arial" w:hAnsi="Arial"/>
                <w:sz w:val="16"/>
                <w:szCs w:val="16"/>
                <w:color w:val="0000FF"/>
                <w:w w:val="89"/>
              </w:rPr>
              <w:t>60606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(State)</w:t>
            </w:r>
          </w:p>
        </w:tc>
        <w:tc>
          <w:tcPr>
            <w:tcW w:w="820" w:type="dxa"/>
            <w:vAlign w:val="bottom"/>
          </w:tcPr>
          <w:p>
            <w:pPr>
              <w:ind w:left="40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spacing w:after="0" w:line="208" w:lineRule="exact"/>
              <w:rPr>
                <w:rFonts w:ascii="Arial" w:cs="Arial" w:eastAsia="Arial" w:hAnsi="Arial"/>
                <w:sz w:val="20"/>
                <w:szCs w:val="20"/>
                <w:color w:val="0000EE"/>
                <w:w w:val="96"/>
              </w:rPr>
            </w:pPr>
            <w:hyperlink r:id="rId14">
              <w:r>
                <w:rPr>
                  <w:rFonts w:ascii="Arial" w:cs="Arial" w:eastAsia="Arial" w:hAnsi="Arial"/>
                  <w:sz w:val="20"/>
                  <w:szCs w:val="20"/>
                  <w:color w:val="0000EE"/>
                  <w:w w:val="96"/>
                </w:rPr>
                <w:t>Levy Richard N</w:t>
              </w:r>
            </w:hyperlink>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7"/>
          </w:tcPr>
          <w:p>
            <w:pPr>
              <w:spacing w:after="0"/>
              <w:rPr>
                <w:sz w:val="20"/>
                <w:szCs w:val="20"/>
                <w:color w:val="auto"/>
              </w:rPr>
            </w:pPr>
            <w:r>
              <w:rPr>
                <w:rFonts w:ascii="Arial" w:cs="Arial" w:eastAsia="Arial" w:hAnsi="Arial"/>
                <w:sz w:val="16"/>
                <w:szCs w:val="16"/>
                <w:color w:val="0000FF"/>
                <w:w w:val="99"/>
              </w:rPr>
              <w:t>C/O VICTORY PARK CAPITAL ADVISORS, LLC</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20" w:type="dxa"/>
            <w:vAlign w:val="bottom"/>
            <w:gridSpan w:val="5"/>
          </w:tcPr>
          <w:p>
            <w:pPr>
              <w:spacing w:after="0"/>
              <w:rPr>
                <w:sz w:val="20"/>
                <w:szCs w:val="20"/>
                <w:color w:val="auto"/>
              </w:rPr>
            </w:pPr>
            <w:r>
              <w:rPr>
                <w:rFonts w:ascii="Arial" w:cs="Arial" w:eastAsia="Arial" w:hAnsi="Arial"/>
                <w:sz w:val="16"/>
                <w:szCs w:val="16"/>
                <w:color w:val="0000FF"/>
                <w:w w:val="96"/>
              </w:rPr>
              <w:t>150 NORTH RIVERSIDE PLAZA, SUITE 5200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CHICAGO</w:t>
            </w:r>
          </w:p>
        </w:tc>
        <w:tc>
          <w:tcPr>
            <w:tcW w:w="1060" w:type="dxa"/>
            <w:vAlign w:val="bottom"/>
          </w:tcPr>
          <w:p>
            <w:pPr>
              <w:ind w:left="60"/>
              <w:spacing w:after="0"/>
              <w:rPr>
                <w:sz w:val="20"/>
                <w:szCs w:val="20"/>
                <w:color w:val="auto"/>
              </w:rPr>
            </w:pPr>
            <w:r>
              <w:rPr>
                <w:rFonts w:ascii="Arial" w:cs="Arial" w:eastAsia="Arial" w:hAnsi="Arial"/>
                <w:sz w:val="16"/>
                <w:szCs w:val="16"/>
                <w:color w:val="0000FF"/>
              </w:rPr>
              <w:t>IL</w:t>
            </w:r>
          </w:p>
        </w:tc>
        <w:tc>
          <w:tcPr>
            <w:tcW w:w="820" w:type="dxa"/>
            <w:vAlign w:val="bottom"/>
          </w:tcPr>
          <w:p>
            <w:pPr>
              <w:ind w:left="400"/>
              <w:spacing w:after="0"/>
              <w:rPr>
                <w:sz w:val="20"/>
                <w:szCs w:val="20"/>
                <w:color w:val="auto"/>
              </w:rPr>
            </w:pPr>
            <w:r>
              <w:rPr>
                <w:rFonts w:ascii="Arial" w:cs="Arial" w:eastAsia="Arial" w:hAnsi="Arial"/>
                <w:sz w:val="16"/>
                <w:szCs w:val="16"/>
                <w:color w:val="0000FF"/>
                <w:w w:val="89"/>
              </w:rPr>
              <w:t>60606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3"/>
                <w:szCs w:val="13"/>
                <w:color w:val="auto"/>
              </w:rPr>
              <w:t>(State)</w:t>
            </w:r>
          </w:p>
        </w:tc>
        <w:tc>
          <w:tcPr>
            <w:tcW w:w="820" w:type="dxa"/>
            <w:vAlign w:val="bottom"/>
          </w:tcPr>
          <w:p>
            <w:pPr>
              <w:ind w:left="40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-4934585</wp:posOffset>
            </wp:positionV>
            <wp:extent cx="28575" cy="1637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60" w:hanging="122"/>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VPC Impact Acquisition Holdings Sponsor, LLC ("VIH Sponsor") exercised the Private Placement Warrants on a "cashless" basis pursuant to the warrant agreement governing such Private Placement Warrants.</w:t>
      </w:r>
    </w:p>
    <w:p>
      <w:pPr>
        <w:spacing w:after="0" w:line="61" w:lineRule="exact"/>
        <w:rPr>
          <w:rFonts w:ascii="Arial" w:cs="Arial" w:eastAsia="Arial" w:hAnsi="Arial"/>
          <w:sz w:val="11"/>
          <w:szCs w:val="11"/>
          <w:color w:val="008000"/>
        </w:rPr>
      </w:pPr>
    </w:p>
    <w:p>
      <w:pPr>
        <w:ind w:left="40" w:right="220" w:hanging="2"/>
        <w:spacing w:after="0" w:line="231"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Private Placement Warrants were acquired from the Issuer in connection with its initial public offering and became exercisable beginning 30 days after the closing (the "Closing") of the business combination between the Issuer (which was formerly known as VPC Impact Acquisition Holdings or "VIH") and Bakkt Holdings, LLC ("Bakkt"), expiring five years after Closing. Each Private Placement Warrant was exercisable for one share of Class A common stock at an exercise price of $11.50 per share, subject to certain adjustments.</w:t>
      </w:r>
    </w:p>
    <w:p>
      <w:pPr>
        <w:spacing w:after="0" w:line="31" w:lineRule="exact"/>
        <w:rPr>
          <w:rFonts w:ascii="Arial" w:cs="Arial" w:eastAsia="Arial" w:hAnsi="Arial"/>
          <w:sz w:val="13"/>
          <w:szCs w:val="13"/>
          <w:color w:val="008000"/>
        </w:rPr>
      </w:pPr>
    </w:p>
    <w:p>
      <w:pPr>
        <w:ind w:left="40" w:right="180" w:hanging="2"/>
        <w:spacing w:after="0" w:line="231"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1"/>
          <w:szCs w:val="11"/>
          <w:color w:val="008000"/>
        </w:rPr>
        <w:t>Director by Deputization. See Exhibit 99.1 - Joint Filer Information, which is incorporated herein by reference and describes in further detail the relationships of the Reporting Persons to the Issuer.</w:t>
      </w:r>
    </w:p>
    <w:p>
      <w:pPr>
        <w:sectPr>
          <w:pgSz w:w="11900" w:h="16867" w:orient="portrait"/>
          <w:cols w:equalWidth="0" w:num="1">
            <w:col w:w="11080"/>
          </w:cols>
          <w:pgMar w:left="460" w:top="218" w:right="359" w:bottom="0" w:gutter="0" w:footer="0" w:header="0"/>
          <w:type w:val="continuous"/>
        </w:sectPr>
      </w:pPr>
    </w:p>
    <w:p>
      <w:pPr>
        <w:spacing w:after="0" w:line="8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/s/ Brian Munsie, Attorney-in-</w:t>
      </w:r>
      <w:r>
        <w:rPr>
          <w:sz w:val="20"/>
          <w:szCs w:val="20"/>
          <w:color w:val="auto"/>
        </w:rPr>
        <w:tab/>
      </w:r>
      <w:r>
        <w:rPr>
          <w:rFonts w:ascii="Arial" w:cs="Arial" w:eastAsia="Arial" w:hAnsi="Arial"/>
          <w:sz w:val="14"/>
          <w:szCs w:val="14"/>
          <w:color w:val="0000FF"/>
        </w:rPr>
        <w:t>11/19/2021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-7620</wp:posOffset>
            </wp:positionV>
            <wp:extent cx="1863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86372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862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ectPr>
          <w:pgSz w:w="11900" w:h="16867" w:orient="portrait"/>
          <w:cols w:equalWidth="0" w:num="1">
            <w:col w:w="11080"/>
          </w:cols>
          <w:pgMar w:left="460" w:top="218" w:right="359" w:bottom="0" w:gutter="0" w:footer="0" w:header="0"/>
          <w:type w:val="continuous"/>
        </w:sectPr>
      </w:pPr>
    </w:p>
    <w:bookmarkStart w:id="1" w:name="page2"/>
    <w:bookmarkEnd w:id="1"/>
    <w:tbl>
      <w:tblPr>
        <w:tblLayout w:type="fixed"/>
        <w:tblInd w:w="6562" w:type="dxa"/>
        <w:tblCellMar>
          <w:top w:w="0" w:type="dxa"/>
          <w:left w:w="0" w:type="dxa"/>
          <w:bottom w:w="0" w:type="dxa"/>
          <w:right w:w="0" w:type="dxa"/>
        </w:tblCellMar>
      </w:tblPr>
      <w:tr>
        <w:trPr>
          <w:trHeight w:val="184"/>
        </w:trPr>
        <w:tc>
          <w:tcPr>
            <w:tcW w:w="20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0000FF"/>
                <w:w w:val="93"/>
              </w:rPr>
              <w:t>Acquisition Holdings Sponsor,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0000FF"/>
                <w:w w:val="95"/>
              </w:rPr>
              <w:t>LLC</w:t>
            </w:r>
          </w:p>
        </w:tc>
        <w:tc>
          <w:tcPr>
            <w:tcW w:w="180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gridSpan w:val="5"/>
          </w:tcPr>
          <w:p>
            <w:pPr>
              <w:spacing w:after="0"/>
              <w:rPr>
                <w:sz w:val="20"/>
                <w:szCs w:val="20"/>
                <w:color w:val="auto"/>
              </w:rPr>
            </w:pPr>
            <w:r>
              <w:rPr>
                <w:rFonts w:ascii="Arial" w:cs="Arial" w:eastAsia="Arial" w:hAnsi="Arial"/>
                <w:sz w:val="16"/>
                <w:szCs w:val="16"/>
                <w:color w:val="0000FF"/>
              </w:rPr>
              <w:t>/s/ Brian Munsie, Attorney-in-</w:t>
            </w:r>
          </w:p>
        </w:tc>
        <w:tc>
          <w:tcPr>
            <w:tcW w:w="82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7"/>
              </w:rPr>
              <w:t>11/19/2021</w:t>
            </w:r>
          </w:p>
        </w:tc>
        <w:tc>
          <w:tcPr>
            <w:tcW w:w="0" w:type="dxa"/>
            <w:vAlign w:val="bottom"/>
          </w:tcPr>
          <w:p>
            <w:pPr>
              <w:spacing w:after="0"/>
              <w:rPr>
                <w:sz w:val="1"/>
                <w:szCs w:val="1"/>
                <w:color w:val="auto"/>
              </w:rPr>
            </w:pPr>
          </w:p>
        </w:tc>
      </w:tr>
      <w:tr>
        <w:trPr>
          <w:trHeight w:val="80"/>
        </w:trPr>
        <w:tc>
          <w:tcPr>
            <w:tcW w:w="1960" w:type="dxa"/>
            <w:vAlign w:val="bottom"/>
            <w:tcBorders>
              <w:top w:val="single" w:sz="8" w:color="auto"/>
            </w:tcBorders>
            <w:gridSpan w:val="3"/>
            <w:vMerge w:val="restart"/>
          </w:tcPr>
          <w:p>
            <w:pPr>
              <w:spacing w:after="0" w:line="180" w:lineRule="exact"/>
              <w:rPr>
                <w:sz w:val="20"/>
                <w:szCs w:val="20"/>
                <w:color w:val="auto"/>
              </w:rPr>
            </w:pPr>
            <w:r>
              <w:rPr>
                <w:rFonts w:ascii="Arial" w:cs="Arial" w:eastAsia="Arial" w:hAnsi="Arial"/>
                <w:sz w:val="16"/>
                <w:szCs w:val="16"/>
                <w:color w:val="0000FF"/>
              </w:rPr>
              <w:t>Fact for Richard N. Levy</w:t>
            </w:r>
          </w:p>
        </w:tc>
        <w:tc>
          <w:tcPr>
            <w:tcW w:w="14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960" w:type="dxa"/>
            <w:vAlign w:val="bottom"/>
            <w:tcBorders>
              <w:top w:val="single" w:sz="8" w:color="auto"/>
            </w:tcBorders>
            <w:gridSpan w:val="3"/>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2" w:lineRule="auto"/>
        <w:tabs>
          <w:tab w:leader="none" w:pos="13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2"/>
          </w:cols>
          <w:pgMar w:left="498" w:top="118" w:right="1440" w:bottom="1440" w:gutter="0" w:footer="0" w:header="0"/>
        </w:sectPr>
      </w:pPr>
    </w:p>
    <w:bookmarkStart w:id="2" w:name="page3"/>
    <w:bookmarkEnd w:id="2"/>
    <w:p>
      <w:pPr>
        <w:jc w:val="right"/>
        <w:ind w:right="2399"/>
        <w:spacing w:after="0"/>
        <w:rPr>
          <w:sz w:val="20"/>
          <w:szCs w:val="20"/>
          <w:color w:val="auto"/>
        </w:rPr>
      </w:pPr>
      <w:r>
        <w:rPr>
          <w:rFonts w:ascii="Courier New" w:cs="Courier New" w:eastAsia="Courier New" w:hAnsi="Courier New"/>
          <w:sz w:val="16"/>
          <w:szCs w:val="16"/>
          <w:color w:val="auto"/>
        </w:rPr>
        <w:t>Exhibit 99.1</w:t>
      </w:r>
    </w:p>
    <w:p>
      <w:pPr>
        <w:spacing w:after="0" w:line="194"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Joint Filer Information</w:t>
      </w:r>
    </w:p>
    <w:p>
      <w:pPr>
        <w:sectPr>
          <w:pgSz w:w="11900" w:h="16838" w:orient="portrait"/>
          <w:cols w:equalWidth="0" w:num="1">
            <w:col w:w="9999"/>
          </w:cols>
          <w:pgMar w:left="460" w:top="142"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382" w:lineRule="exact"/>
        <w:rPr>
          <w:sz w:val="20"/>
          <w:szCs w:val="20"/>
          <w:color w:val="auto"/>
        </w:rPr>
      </w:pPr>
    </w:p>
    <w:p>
      <w:pPr>
        <w:ind w:right="1560"/>
        <w:spacing w:after="0" w:line="251" w:lineRule="auto"/>
        <w:rPr>
          <w:sz w:val="20"/>
          <w:szCs w:val="20"/>
          <w:color w:val="auto"/>
        </w:rPr>
      </w:pPr>
      <w:r>
        <w:rPr>
          <w:rFonts w:ascii="Courier New" w:cs="Courier New" w:eastAsia="Courier New" w:hAnsi="Courier New"/>
          <w:sz w:val="16"/>
          <w:szCs w:val="16"/>
          <w:color w:val="auto"/>
        </w:rPr>
        <w:t>Issuer Name and Ticker or Trading Symbol: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Event Requiring Statement: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382" w:lineRule="exact"/>
        <w:rPr>
          <w:sz w:val="20"/>
          <w:szCs w:val="20"/>
          <w:color w:val="auto"/>
        </w:rPr>
      </w:pPr>
    </w:p>
    <w:p>
      <w:pPr>
        <w:ind w:right="1560"/>
        <w:spacing w:after="0" w:line="251" w:lineRule="auto"/>
        <w:rPr>
          <w:sz w:val="20"/>
          <w:szCs w:val="20"/>
          <w:color w:val="auto"/>
        </w:rPr>
      </w:pPr>
      <w:r>
        <w:rPr>
          <w:rFonts w:ascii="Courier New" w:cs="Courier New" w:eastAsia="Courier New" w:hAnsi="Courier New"/>
          <w:sz w:val="16"/>
          <w:szCs w:val="16"/>
          <w:color w:val="auto"/>
        </w:rPr>
        <w:t>Issuer Name and Ticker or Trading Symbol:</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Event Requiring Statement: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(Month/Day/Year):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199"/>
        <w:spacing w:after="0" w:line="251" w:lineRule="auto"/>
        <w:rPr>
          <w:sz w:val="20"/>
          <w:szCs w:val="20"/>
          <w:color w:val="auto"/>
        </w:rPr>
      </w:pPr>
      <w:r>
        <w:rPr>
          <w:rFonts w:ascii="Courier New" w:cs="Courier New" w:eastAsia="Courier New" w:hAnsi="Courier New"/>
          <w:sz w:val="16"/>
          <w:szCs w:val="16"/>
          <w:color w:val="auto"/>
        </w:rPr>
        <w:t>VPC Impact Acquisition Holdings Sponsor , LLC</w:t>
      </w:r>
    </w:p>
    <w:p>
      <w:pPr>
        <w:spacing w:after="0" w:line="371" w:lineRule="exact"/>
        <w:rPr>
          <w:sz w:val="20"/>
          <w:szCs w:val="20"/>
          <w:color w:val="auto"/>
        </w:rPr>
      </w:pPr>
    </w:p>
    <w:p>
      <w:pPr>
        <w:ind w:right="2299"/>
        <w:spacing w:after="0" w:line="249" w:lineRule="auto"/>
        <w:rPr>
          <w:sz w:val="20"/>
          <w:szCs w:val="20"/>
          <w:color w:val="auto"/>
        </w:rPr>
      </w:pPr>
      <w:r>
        <w:rPr>
          <w:rFonts w:ascii="Courier New" w:cs="Courier New" w:eastAsia="Courier New" w:hAnsi="Courier New"/>
          <w:sz w:val="16"/>
          <w:szCs w:val="16"/>
          <w:color w:val="auto"/>
        </w:rPr>
        <w:t>c/o Victory Park Capital Advisors, LLC 150 North Riverside Plaza, Suite 5200 Chicago, Illinois 60606</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Owner, Director</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Bakkt Holdings, Inc. [BKKT]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11/17/2021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N. Levy</w:t>
      </w:r>
    </w:p>
    <w:p>
      <w:pPr>
        <w:spacing w:after="0" w:line="382" w:lineRule="exact"/>
        <w:rPr>
          <w:sz w:val="20"/>
          <w:szCs w:val="20"/>
          <w:color w:val="auto"/>
        </w:rPr>
      </w:pPr>
    </w:p>
    <w:p>
      <w:pPr>
        <w:ind w:right="2299"/>
        <w:spacing w:after="0" w:line="249" w:lineRule="auto"/>
        <w:rPr>
          <w:sz w:val="20"/>
          <w:szCs w:val="20"/>
          <w:color w:val="auto"/>
        </w:rPr>
      </w:pPr>
      <w:r>
        <w:rPr>
          <w:rFonts w:ascii="Courier New" w:cs="Courier New" w:eastAsia="Courier New" w:hAnsi="Courier New"/>
          <w:sz w:val="16"/>
          <w:szCs w:val="16"/>
          <w:color w:val="auto"/>
        </w:rPr>
        <w:t>c/o Victory Park Capital Advisors, LLC 150 North Riverside Plaza, Suite 5200 Chicago, Illinois 60606</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Owner</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Bakkt Holdings, Inc. [BKKT]</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11/17/2021</w:t>
      </w:r>
    </w:p>
    <w:sectPr>
      <w:pgSz w:w="11900" w:h="16838" w:orient="portrait"/>
      <w:cols w:equalWidth="0" w:num="2">
        <w:col w:w="3700" w:space="300"/>
        <w:col w:w="5999"/>
      </w:cols>
      <w:pgMar w:left="4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4"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2021-11-19T11:18:46Z</dcterms:created>
  <dcterms:modified xsi:type="dcterms:W3CDTF">2021-11-19T11:18:46Z</dcterms:modified>
</cp:coreProperties>
</file>