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64135</wp:posOffset>
            </wp:positionV>
            <wp:extent cx="1037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83820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240030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BAKKT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21"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98-1550750</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10000 Avalon Boulevard, Suite 1000</w:t>
            </w:r>
          </w:p>
        </w:tc>
        <w:tc>
          <w:tcPr>
            <w:tcW w:w="2560" w:type="dxa"/>
            <w:vAlign w:val="bottom"/>
          </w:tcPr>
          <w:p>
            <w:pPr>
              <w:spacing w:after="0"/>
              <w:rPr>
                <w:sz w:val="18"/>
                <w:szCs w:val="18"/>
                <w:color w:val="auto"/>
              </w:rPr>
            </w:pPr>
          </w:p>
        </w:tc>
      </w:tr>
      <w:tr>
        <w:trPr>
          <w:trHeight w:val="243"/>
        </w:trPr>
        <w:tc>
          <w:tcPr>
            <w:tcW w:w="47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Alpharetta, Georgia</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30009</w:t>
            </w:r>
          </w:p>
        </w:tc>
      </w:tr>
      <w:tr>
        <w:trPr>
          <w:trHeight w:val="164"/>
        </w:trPr>
        <w:tc>
          <w:tcPr>
            <w:tcW w:w="472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60" w:type="dxa"/>
            <w:vAlign w:val="bottom"/>
          </w:tcPr>
          <w:p>
            <w:pPr>
              <w:jc w:val="center"/>
              <w:ind w:left="1904"/>
              <w:spacing w:after="0"/>
              <w:rPr>
                <w:sz w:val="20"/>
                <w:szCs w:val="20"/>
                <w:color w:val="auto"/>
              </w:rPr>
            </w:pPr>
            <w:r>
              <w:rPr>
                <w:rFonts w:ascii="Arial" w:cs="Arial" w:eastAsia="Arial" w:hAnsi="Arial"/>
                <w:sz w:val="13"/>
                <w:szCs w:val="13"/>
                <w:b w:val="1"/>
                <w:bCs w:val="1"/>
                <w:color w:val="auto"/>
                <w:w w:val="90"/>
              </w:rPr>
              <w:t>(Zip Code)</w:t>
            </w: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3322955</wp:posOffset>
            </wp:positionH>
            <wp:positionV relativeFrom="paragraph">
              <wp:posOffset>85725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 Symbol (s)</w:t>
            </w:r>
          </w:p>
        </w:tc>
        <w:tc>
          <w:tcPr>
            <w:tcW w:w="16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173"/>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BKKT</w:t>
            </w:r>
          </w:p>
        </w:tc>
        <w:tc>
          <w:tcPr>
            <w:tcW w:w="160" w:type="dxa"/>
            <w:vAlign w:val="bottom"/>
          </w:tcPr>
          <w:p>
            <w:pPr>
              <w:spacing w:after="0"/>
              <w:rPr>
                <w:sz w:val="15"/>
                <w:szCs w:val="15"/>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Warrants to purchase Class A Common Stock</w:t>
            </w: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BKKT WS</w:t>
            </w:r>
          </w:p>
        </w:tc>
        <w:tc>
          <w:tcPr>
            <w:tcW w:w="160" w:type="dxa"/>
            <w:vAlign w:val="bottom"/>
          </w:tcPr>
          <w:p>
            <w:pPr>
              <w:spacing w:after="0"/>
              <w:rPr>
                <w:sz w:val="16"/>
                <w:szCs w:val="16"/>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164" w:lineRule="exact"/>
        <w:rPr>
          <w:sz w:val="24"/>
          <w:szCs w:val="24"/>
          <w:color w:val="auto"/>
        </w:rPr>
      </w:pPr>
    </w:p>
    <w:p>
      <w:pPr>
        <w:jc w:val="both"/>
        <w:ind w:firstLine="518"/>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80" w:firstLine="518"/>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jc w:val="both"/>
        <w:ind w:right="300" w:firstLine="518"/>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4" w:lineRule="exact"/>
        <w:rPr>
          <w:sz w:val="24"/>
          <w:szCs w:val="24"/>
          <w:color w:val="auto"/>
        </w:rPr>
      </w:pPr>
    </w:p>
    <w:p>
      <w:pPr>
        <w:ind w:right="60" w:firstLine="518"/>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160" w:firstLine="518"/>
        <w:spacing w:after="0"/>
        <w:rPr>
          <w:sz w:val="20"/>
          <w:szCs w:val="20"/>
          <w:color w:val="auto"/>
        </w:rPr>
      </w:pPr>
      <w:r>
        <w:rPr>
          <w:rFonts w:ascii="Arial" w:cs="Arial" w:eastAsia="Arial" w:hAnsi="Arial"/>
          <w:sz w:val="16"/>
          <w:szCs w:val="16"/>
          <w:color w:val="auto"/>
        </w:rPr>
        <w:t>As of August 4, 2023, there were 91,345,816 shares of the registrant’s Class A common stock, 183,254,271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55245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81280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6"/>
          </w:tcPr>
          <w:p>
            <w:pPr>
              <w:ind w:left="18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gridSpan w:val="20"/>
            <w:vMerge w:val="restart"/>
          </w:tcPr>
          <w:p>
            <w:pPr>
              <w:spacing w:after="0"/>
              <w:rPr>
                <w:sz w:val="20"/>
                <w:szCs w:val="20"/>
                <w:color w:val="auto"/>
              </w:rPr>
            </w:pPr>
            <w:r>
              <w:rPr>
                <w:rFonts w:ascii="Arial" w:cs="Arial" w:eastAsia="Arial" w:hAnsi="Arial"/>
                <w:sz w:val="18"/>
                <w:szCs w:val="18"/>
                <w:color w:val="0E32E1"/>
              </w:rPr>
              <w:t>FINANCIAL INFORMATION</w:t>
            </w: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9180" w:type="dxa"/>
            <w:vAlign w:val="bottom"/>
            <w:gridSpan w:val="20"/>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E32E1"/>
            </w:tcBorders>
            <w:gridSpan w:val="13"/>
          </w:tcPr>
          <w:p>
            <w:pPr>
              <w:spacing w:after="0"/>
              <w:rPr>
                <w:sz w:val="20"/>
                <w:szCs w:val="20"/>
                <w:color w:val="auto"/>
              </w:rPr>
            </w:pPr>
            <w:r>
              <w:rPr>
                <w:rFonts w:ascii="Arial" w:cs="Arial" w:eastAsia="Arial" w:hAnsi="Arial"/>
                <w:sz w:val="18"/>
                <w:szCs w:val="18"/>
                <w:color w:val="0E32E1"/>
                <w:w w:val="90"/>
              </w:rPr>
              <w:t>Consolidated Financial Statements (Unaudited)</w:t>
            </w:r>
          </w:p>
        </w:tc>
        <w:tc>
          <w:tcPr>
            <w:tcW w:w="5760" w:type="dxa"/>
            <w:vAlign w:val="bottom"/>
            <w:gridSpan w:val="7"/>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Consolidated Balance Sheets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2820" w:type="dxa"/>
            <w:vAlign w:val="bottom"/>
            <w:tcBorders>
              <w:bottom w:val="single" w:sz="8" w:color="0E32E1"/>
            </w:tcBorders>
            <w:gridSpan w:val="11"/>
          </w:tcPr>
          <w:p>
            <w:pPr>
              <w:spacing w:after="0"/>
              <w:rPr>
                <w:sz w:val="20"/>
                <w:szCs w:val="20"/>
                <w:color w:val="auto"/>
              </w:rPr>
            </w:pPr>
            <w:r>
              <w:rPr>
                <w:rFonts w:ascii="Arial" w:cs="Arial" w:eastAsia="Arial" w:hAnsi="Arial"/>
                <w:sz w:val="18"/>
                <w:szCs w:val="18"/>
                <w:color w:val="0E32E1"/>
                <w:w w:val="89"/>
              </w:rPr>
              <w:t>Consolidated Statements of Operations</w:t>
            </w:r>
          </w:p>
        </w:tc>
        <w:tc>
          <w:tcPr>
            <w:tcW w:w="6360" w:type="dxa"/>
            <w:vAlign w:val="bottom"/>
            <w:gridSpan w:val="9"/>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tcBorders>
              <w:bottom w:val="single" w:sz="8" w:color="0E32E1"/>
            </w:tcBorders>
            <w:gridSpan w:val="14"/>
          </w:tcPr>
          <w:p>
            <w:pPr>
              <w:spacing w:after="0"/>
              <w:rPr>
                <w:sz w:val="20"/>
                <w:szCs w:val="20"/>
                <w:color w:val="auto"/>
              </w:rPr>
            </w:pPr>
            <w:r>
              <w:rPr>
                <w:rFonts w:ascii="Arial" w:cs="Arial" w:eastAsia="Arial" w:hAnsi="Arial"/>
                <w:sz w:val="18"/>
                <w:szCs w:val="18"/>
                <w:color w:val="0E32E1"/>
                <w:w w:val="89"/>
              </w:rPr>
              <w:t>Consolidated Statements of Comprehensive Loss</w:t>
            </w:r>
          </w:p>
        </w:tc>
        <w:tc>
          <w:tcPr>
            <w:tcW w:w="5640" w:type="dxa"/>
            <w:vAlign w:val="bottom"/>
            <w:gridSpan w:val="6"/>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Consolidated Statements of Changes in Stockholders’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380" w:type="dxa"/>
            <w:vAlign w:val="bottom"/>
            <w:tcBorders>
              <w:top w:val="single" w:sz="8" w:color="0E32E1"/>
            </w:tcBorders>
            <w:gridSpan w:val="18"/>
          </w:tcPr>
          <w:p>
            <w:pPr>
              <w:spacing w:after="0"/>
              <w:rPr>
                <w:sz w:val="20"/>
                <w:szCs w:val="20"/>
                <w:color w:val="auto"/>
              </w:rPr>
            </w:pPr>
            <w:r>
              <w:rPr>
                <w:rFonts w:ascii="Arial" w:cs="Arial" w:eastAsia="Arial" w:hAnsi="Arial"/>
                <w:sz w:val="18"/>
                <w:szCs w:val="18"/>
                <w:color w:val="0E32E1"/>
              </w:rPr>
              <w:t>Consolidated Statements of Cash Flows</w:t>
            </w:r>
          </w:p>
        </w:tc>
        <w:tc>
          <w:tcPr>
            <w:tcW w:w="480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Notes to Unaudited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1620" w:type="dxa"/>
            <w:vAlign w:val="bottom"/>
            <w:gridSpan w:val="5"/>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E32E1"/>
              <w:bottom w:val="single" w:sz="8" w:color="0E32E1"/>
            </w:tcBorders>
            <w:gridSpan w:val="17"/>
          </w:tcPr>
          <w:p>
            <w:pPr>
              <w:spacing w:after="0"/>
              <w:rPr>
                <w:sz w:val="20"/>
                <w:szCs w:val="20"/>
                <w:color w:val="auto"/>
              </w:rPr>
            </w:pPr>
            <w:r>
              <w:rPr>
                <w:rFonts w:ascii="Arial" w:cs="Arial" w:eastAsia="Arial" w:hAnsi="Arial"/>
                <w:sz w:val="18"/>
                <w:szCs w:val="18"/>
                <w:color w:val="0E32E1"/>
                <w:w w:val="92"/>
              </w:rPr>
              <w:t>Quantitative and Qualitative Disclosures About Market Risk</w:t>
            </w:r>
          </w:p>
        </w:tc>
        <w:tc>
          <w:tcPr>
            <w:tcW w:w="2080" w:type="dxa"/>
            <w:vAlign w:val="bottom"/>
            <w:tcBorders>
              <w:top w:val="single" w:sz="8" w:color="0E32E1"/>
            </w:tcBorders>
            <w:gridSpan w:val="2"/>
          </w:tcPr>
          <w:p>
            <w:pPr>
              <w:spacing w:after="0"/>
              <w:rPr>
                <w:sz w:val="18"/>
                <w:szCs w:val="18"/>
                <w:color w:val="auto"/>
              </w:rPr>
            </w:pPr>
          </w:p>
        </w:tc>
        <w:tc>
          <w:tcPr>
            <w:tcW w:w="2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0"/>
          </w:tcPr>
          <w:p>
            <w:pPr>
              <w:spacing w:after="0"/>
              <w:rPr>
                <w:sz w:val="20"/>
                <w:szCs w:val="20"/>
                <w:color w:val="auto"/>
              </w:rPr>
            </w:pPr>
            <w:r>
              <w:rPr>
                <w:rFonts w:ascii="Arial" w:cs="Arial" w:eastAsia="Arial" w:hAnsi="Arial"/>
                <w:sz w:val="18"/>
                <w:szCs w:val="18"/>
                <w:color w:val="0E32E1"/>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9180" w:type="dxa"/>
            <w:vAlign w:val="bottom"/>
            <w:gridSpan w:val="20"/>
          </w:tcPr>
          <w:p>
            <w:pPr>
              <w:spacing w:after="0"/>
              <w:rPr>
                <w:sz w:val="20"/>
                <w:szCs w:val="20"/>
                <w:color w:val="auto"/>
              </w:rPr>
            </w:pPr>
            <w:r>
              <w:rPr>
                <w:rFonts w:ascii="Arial" w:cs="Arial" w:eastAsia="Arial" w:hAnsi="Arial"/>
                <w:sz w:val="18"/>
                <w:szCs w:val="18"/>
                <w:color w:val="0E32E1"/>
              </w:rPr>
              <w:t>OTHER INFORMATION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E32E1"/>
              <w:bottom w:val="single" w:sz="8" w:color="0E32E1"/>
            </w:tcBorders>
            <w:gridSpan w:val="5"/>
          </w:tcPr>
          <w:p>
            <w:pPr>
              <w:spacing w:after="0"/>
              <w:rPr>
                <w:sz w:val="20"/>
                <w:szCs w:val="20"/>
                <w:color w:val="auto"/>
              </w:rPr>
            </w:pPr>
            <w:r>
              <w:rPr>
                <w:rFonts w:ascii="Arial" w:cs="Arial" w:eastAsia="Arial" w:hAnsi="Arial"/>
                <w:sz w:val="18"/>
                <w:szCs w:val="18"/>
                <w:color w:val="0E32E1"/>
                <w:w w:val="88"/>
              </w:rPr>
              <w:t>Legal Proceedings</w:t>
            </w:r>
          </w:p>
        </w:tc>
        <w:tc>
          <w:tcPr>
            <w:tcW w:w="540" w:type="dxa"/>
            <w:vAlign w:val="bottom"/>
            <w:tcBorders>
              <w:top w:val="single" w:sz="8" w:color="0E32E1"/>
            </w:tcBorders>
            <w:gridSpan w:val="2"/>
          </w:tcPr>
          <w:p>
            <w:pPr>
              <w:spacing w:after="0"/>
              <w:rPr>
                <w:sz w:val="18"/>
                <w:szCs w:val="18"/>
                <w:color w:val="auto"/>
              </w:rPr>
            </w:pPr>
          </w:p>
        </w:tc>
        <w:tc>
          <w:tcPr>
            <w:tcW w:w="7300" w:type="dxa"/>
            <w:vAlign w:val="bottom"/>
            <w:gridSpan w:val="13"/>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gridSpan w:val="20"/>
          </w:tcPr>
          <w:p>
            <w:pPr>
              <w:spacing w:after="0"/>
              <w:rPr>
                <w:sz w:val="20"/>
                <w:szCs w:val="20"/>
                <w:color w:val="auto"/>
              </w:rPr>
            </w:pPr>
            <w:r>
              <w:rPr>
                <w:rFonts w:ascii="Arial" w:cs="Arial" w:eastAsia="Arial" w:hAnsi="Arial"/>
                <w:sz w:val="18"/>
                <w:szCs w:val="18"/>
                <w:color w:val="0E32E1"/>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20"/>
          </w:tcPr>
          <w:p>
            <w:pPr>
              <w:spacing w:after="0"/>
              <w:rPr>
                <w:sz w:val="20"/>
                <w:szCs w:val="20"/>
                <w:color w:val="auto"/>
              </w:rPr>
            </w:pPr>
            <w:r>
              <w:rPr>
                <w:rFonts w:ascii="Arial" w:cs="Arial" w:eastAsia="Arial" w:hAnsi="Arial"/>
                <w:sz w:val="18"/>
                <w:szCs w:val="18"/>
                <w:color w:val="0E32E1"/>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E32E1"/>
            </w:tcBorders>
            <w:gridSpan w:val="16"/>
          </w:tcPr>
          <w:p>
            <w:pPr>
              <w:spacing w:after="0"/>
              <w:rPr>
                <w:sz w:val="20"/>
                <w:szCs w:val="20"/>
                <w:color w:val="auto"/>
              </w:rPr>
            </w:pPr>
            <w:r>
              <w:rPr>
                <w:rFonts w:ascii="Arial" w:cs="Arial" w:eastAsia="Arial" w:hAnsi="Arial"/>
                <w:sz w:val="18"/>
                <w:szCs w:val="18"/>
                <w:color w:val="0E32E1"/>
              </w:rPr>
              <w:t>Defaults Upon Senior Securities</w:t>
            </w:r>
          </w:p>
        </w:tc>
        <w:tc>
          <w:tcPr>
            <w:tcW w:w="4840" w:type="dxa"/>
            <w:vAlign w:val="bottom"/>
            <w:gridSpan w:val="4"/>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E32E1"/>
            </w:tcBorders>
            <w:gridSpan w:val="10"/>
          </w:tcPr>
          <w:p>
            <w:pPr>
              <w:spacing w:after="0"/>
              <w:rPr>
                <w:sz w:val="20"/>
                <w:szCs w:val="20"/>
                <w:color w:val="auto"/>
              </w:rPr>
            </w:pPr>
            <w:r>
              <w:rPr>
                <w:rFonts w:ascii="Arial" w:cs="Arial" w:eastAsia="Arial" w:hAnsi="Arial"/>
                <w:sz w:val="18"/>
                <w:szCs w:val="18"/>
                <w:color w:val="0E32E1"/>
              </w:rPr>
              <w:t>Mine Safety Disclosures</w:t>
            </w:r>
          </w:p>
        </w:tc>
        <w:tc>
          <w:tcPr>
            <w:tcW w:w="6860" w:type="dxa"/>
            <w:vAlign w:val="bottom"/>
            <w:gridSpan w:val="10"/>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18"/>
                <w:szCs w:val="18"/>
                <w:color w:val="0E32E1"/>
                <w:w w:val="92"/>
              </w:rPr>
              <w:t>Other Information</w:t>
            </w:r>
          </w:p>
        </w:tc>
        <w:tc>
          <w:tcPr>
            <w:tcW w:w="440" w:type="dxa"/>
            <w:vAlign w:val="bottom"/>
            <w:tcBorders>
              <w:top w:val="single" w:sz="8" w:color="0E32E1"/>
            </w:tcBorders>
            <w:gridSpan w:val="2"/>
          </w:tcPr>
          <w:p>
            <w:pPr>
              <w:spacing w:after="0"/>
              <w:rPr>
                <w:sz w:val="18"/>
                <w:szCs w:val="18"/>
                <w:color w:val="auto"/>
              </w:rPr>
            </w:pPr>
          </w:p>
        </w:tc>
        <w:tc>
          <w:tcPr>
            <w:tcW w:w="7420" w:type="dxa"/>
            <w:vAlign w:val="bottom"/>
            <w:gridSpan w:val="14"/>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E32E1"/>
            </w:tcBorders>
          </w:tcPr>
          <w:p>
            <w:pPr>
              <w:spacing w:after="0"/>
              <w:rPr>
                <w:sz w:val="20"/>
                <w:szCs w:val="20"/>
                <w:color w:val="auto"/>
              </w:rPr>
            </w:pPr>
            <w:r>
              <w:rPr>
                <w:rFonts w:ascii="Arial" w:cs="Arial" w:eastAsia="Arial" w:hAnsi="Arial"/>
                <w:sz w:val="18"/>
                <w:szCs w:val="18"/>
                <w:color w:val="0E32E1"/>
                <w:w w:val="91"/>
              </w:rPr>
              <w:t>Exhibits</w:t>
            </w:r>
          </w:p>
        </w:tc>
        <w:tc>
          <w:tcPr>
            <w:tcW w:w="8580" w:type="dxa"/>
            <w:vAlign w:val="bottom"/>
            <w:gridSpan w:val="19"/>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60" w:type="dxa"/>
            <w:vAlign w:val="bottom"/>
            <w:tcBorders>
              <w:bottom w:val="single" w:sz="8" w:color="0E32E1"/>
            </w:tcBorders>
            <w:gridSpan w:val="2"/>
          </w:tcPr>
          <w:p>
            <w:pPr>
              <w:spacing w:after="0"/>
              <w:rPr>
                <w:sz w:val="20"/>
                <w:szCs w:val="20"/>
                <w:color w:val="auto"/>
              </w:rPr>
            </w:pPr>
            <w:r>
              <w:rPr>
                <w:rFonts w:ascii="Arial" w:cs="Arial" w:eastAsia="Arial" w:hAnsi="Arial"/>
                <w:sz w:val="18"/>
                <w:szCs w:val="18"/>
                <w:color w:val="0E32E1"/>
                <w:w w:val="85"/>
              </w:rPr>
              <w:t>Signatures</w:t>
            </w:r>
          </w:p>
        </w:tc>
        <w:tc>
          <w:tcPr>
            <w:tcW w:w="8420" w:type="dxa"/>
            <w:vAlign w:val="bottom"/>
            <w:gridSpan w:val="18"/>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84"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05" w:lineRule="exact"/>
        <w:rPr>
          <w:sz w:val="20"/>
          <w:szCs w:val="20"/>
          <w:color w:val="auto"/>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future financial performance;</w:t>
      </w:r>
    </w:p>
    <w:p>
      <w:pPr>
        <w:spacing w:after="0" w:line="157"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changes in the market for our products and services;</w:t>
      </w:r>
    </w:p>
    <w:p>
      <w:pPr>
        <w:spacing w:after="0" w:line="144" w:lineRule="exact"/>
        <w:rPr>
          <w:rFonts w:ascii="Arial" w:cs="Arial" w:eastAsia="Arial" w:hAnsi="Arial"/>
          <w:sz w:val="18"/>
          <w:szCs w:val="18"/>
          <w:color w:val="231F20"/>
        </w:rPr>
      </w:pPr>
    </w:p>
    <w:p>
      <w:pPr>
        <w:ind w:left="820" w:hanging="272"/>
        <w:spacing w:after="0"/>
        <w:tabs>
          <w:tab w:leader="none" w:pos="82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expected impacts from our acquisition of Apex Crypto LLC, which we have since renamed Bakkt Crypto Solutions, LLC ("Bakkt Crypto");</w:t>
      </w:r>
    </w:p>
    <w:p>
      <w:pPr>
        <w:spacing w:after="0" w:line="72" w:lineRule="exact"/>
        <w:rPr>
          <w:rFonts w:ascii="Arial" w:cs="Arial" w:eastAsia="Arial" w:hAnsi="Arial"/>
          <w:sz w:val="16"/>
          <w:szCs w:val="16"/>
          <w:color w:val="231F20"/>
        </w:rPr>
      </w:pPr>
    </w:p>
    <w:p>
      <w:pPr>
        <w:ind w:left="540"/>
        <w:spacing w:after="0"/>
        <w:rPr>
          <w:rFonts w:ascii="Arial" w:cs="Arial" w:eastAsia="Arial" w:hAnsi="Arial"/>
          <w:sz w:val="16"/>
          <w:szCs w:val="16"/>
          <w:color w:val="231F20"/>
        </w:rPr>
      </w:pPr>
      <w:r>
        <w:rPr>
          <w:rFonts w:ascii="Arial" w:cs="Arial" w:eastAsia="Arial" w:hAnsi="Arial"/>
          <w:sz w:val="18"/>
          <w:szCs w:val="18"/>
          <w:color w:val="231F20"/>
        </w:rPr>
        <w:t>and</w:t>
      </w:r>
    </w:p>
    <w:p>
      <w:pPr>
        <w:spacing w:after="0" w:line="144" w:lineRule="exact"/>
        <w:rPr>
          <w:rFonts w:ascii="Arial" w:cs="Arial" w:eastAsia="Arial" w:hAnsi="Arial"/>
          <w:sz w:val="16"/>
          <w:szCs w:val="16"/>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expansion plans and opportunities.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 xml:space="preserve">These forward-looking statements are based on information available as of the date of this </w:t>
      </w:r>
      <w:r>
        <w:rPr>
          <w:rFonts w:ascii="Arial" w:cs="Arial" w:eastAsia="Arial" w:hAnsi="Arial"/>
          <w:sz w:val="18"/>
          <w:szCs w:val="18"/>
          <w:color w:val="000000"/>
        </w:rPr>
        <w:t>Report</w:t>
      </w:r>
      <w:r>
        <w:rPr>
          <w:rFonts w:ascii="Arial" w:cs="Arial" w:eastAsia="Arial" w:hAnsi="Arial"/>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2" w:lineRule="exact"/>
        <w:rPr>
          <w:sz w:val="20"/>
          <w:szCs w:val="20"/>
          <w:color w:val="auto"/>
        </w:rPr>
      </w:pPr>
    </w:p>
    <w:p>
      <w:pPr>
        <w:jc w:val="both"/>
        <w:ind w:right="40" w:firstLine="648"/>
        <w:spacing w:after="0" w:line="336" w:lineRule="auto"/>
        <w:rPr>
          <w:sz w:val="20"/>
          <w:szCs w:val="20"/>
          <w:color w:val="auto"/>
        </w:rPr>
      </w:pPr>
      <w:r>
        <w:rPr>
          <w:rFonts w:ascii="Arial" w:cs="Arial" w:eastAsia="Arial" w:hAnsi="Arial"/>
          <w:sz w:val="17"/>
          <w:szCs w:val="17"/>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43"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and manage growth profitably;</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business strategy;</w:t>
      </w:r>
    </w:p>
    <w:p>
      <w:pPr>
        <w:spacing w:after="0" w:line="144" w:lineRule="exact"/>
        <w:rPr>
          <w:rFonts w:ascii="Arial" w:cs="Arial" w:eastAsia="Arial" w:hAnsi="Arial"/>
          <w:sz w:val="18"/>
          <w:szCs w:val="18"/>
          <w:color w:val="auto"/>
        </w:rPr>
      </w:pPr>
    </w:p>
    <w:p>
      <w:pPr>
        <w:ind w:left="820" w:hanging="326"/>
        <w:spacing w:after="0" w:line="32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in which we compete, including with respect to our competitive landscape, technology evolution or changes in applicable laws or regulations;</w:t>
      </w:r>
    </w:p>
    <w:p>
      <w:pPr>
        <w:spacing w:after="0" w:line="48"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disruptions in the crypto market that subject us to additional risks, including the risk that banks may not provide banking services to us;</w:t>
      </w:r>
    </w:p>
    <w:p>
      <w:pPr>
        <w:spacing w:after="0" w:line="155" w:lineRule="exact"/>
        <w:rPr>
          <w:rFonts w:ascii="Arial" w:cs="Arial" w:eastAsia="Arial" w:hAnsi="Arial"/>
          <w:sz w:val="17"/>
          <w:szCs w:val="17"/>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57" w:lineRule="exact"/>
        <w:rPr>
          <w:rFonts w:ascii="Arial" w:cs="Arial" w:eastAsia="Arial" w:hAnsi="Arial"/>
          <w:sz w:val="18"/>
          <w:szCs w:val="18"/>
          <w:color w:val="auto"/>
        </w:rPr>
      </w:pPr>
    </w:p>
    <w:p>
      <w:pPr>
        <w:ind w:left="820" w:right="380" w:hanging="326"/>
        <w:spacing w:after="0" w:line="30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launch new services and products or to profitably expand into new markets and services, or the inability to continue offering existing services or products;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execute our growth strategies, including identifying and executing acquisitions and our initiatives to add new clients;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the expected benefits from the acquisition of Bakkt Crypto;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extensive government regulation, oversight, licensure and appraisals;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 regulatory regime governing blockchain technologies and crypto;</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 and procedures;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exposure to any liability, protracted and costly litigation or reputational damage relating to our data security;</w:t>
      </w:r>
    </w:p>
    <w:p>
      <w:pPr>
        <w:spacing w:after="0" w:line="167" w:lineRule="exact"/>
        <w:rPr>
          <w:rFonts w:ascii="Arial" w:cs="Arial" w:eastAsia="Arial" w:hAnsi="Arial"/>
          <w:sz w:val="16"/>
          <w:szCs w:val="16"/>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goodwill or other intangible assets impairments on our operating results;</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pandemics or other public health emergencies;</w:t>
      </w:r>
    </w:p>
    <w:p>
      <w:pPr>
        <w:spacing w:after="0" w:line="144"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the NYSE; and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other risks and uncertainties indicated in this Report, including those set forth under “</w:t>
      </w:r>
      <w:r>
        <w:rPr>
          <w:rFonts w:ascii="Arial" w:cs="Arial" w:eastAsia="Arial" w:hAnsi="Arial"/>
          <w:sz w:val="18"/>
          <w:szCs w:val="18"/>
          <w:i w:val="1"/>
          <w:iCs w:val="1"/>
          <w:color w:val="231F20"/>
        </w:rPr>
        <w:t>Risk Factors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ind w:right="188"/>
              <w:spacing w:after="0" w:line="156" w:lineRule="exact"/>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9"/>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right="188"/>
              <w:spacing w:after="0" w:line="139" w:lineRule="exact"/>
              <w:rPr>
                <w:sz w:val="20"/>
                <w:szCs w:val="20"/>
                <w:color w:val="auto"/>
              </w:rPr>
            </w:pPr>
            <w:r>
              <w:rPr>
                <w:rFonts w:ascii="Arial" w:cs="Arial" w:eastAsia="Arial" w:hAnsi="Arial"/>
                <w:sz w:val="14"/>
                <w:szCs w:val="14"/>
                <w:b w:val="1"/>
                <w:bCs w:val="1"/>
                <w:color w:val="auto"/>
                <w:w w:val="92"/>
              </w:rPr>
              <w:t>June 30, 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84,519</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98,332</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24,858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Customer funds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Available-for-sale securities</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14,911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141,062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21,015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25,306</w:t>
            </w:r>
          </w:p>
        </w:tc>
        <w:tc>
          <w:tcPr>
            <w:tcW w:w="0" w:type="dxa"/>
            <w:vAlign w:val="bottom"/>
          </w:tcPr>
          <w:p>
            <w:pPr>
              <w:spacing w:after="0"/>
              <w:rPr>
                <w:sz w:val="1"/>
                <w:szCs w:val="1"/>
                <w:color w:val="auto"/>
              </w:rPr>
            </w:pPr>
          </w:p>
        </w:tc>
      </w:tr>
      <w:tr>
        <w:trPr>
          <w:trHeight w:val="186"/>
        </w:trPr>
        <w:tc>
          <w:tcPr>
            <w:tcW w:w="7720" w:type="dxa"/>
            <w:vAlign w:val="bottom"/>
          </w:tcPr>
          <w:p>
            <w:pPr>
              <w:ind w:left="240"/>
              <w:spacing w:after="0"/>
              <w:rPr>
                <w:sz w:val="20"/>
                <w:szCs w:val="20"/>
                <w:color w:val="auto"/>
              </w:rPr>
            </w:pPr>
            <w:r>
              <w:rPr>
                <w:rFonts w:ascii="Arial" w:cs="Arial" w:eastAsia="Arial" w:hAnsi="Arial"/>
                <w:sz w:val="14"/>
                <w:szCs w:val="14"/>
                <w:color w:val="auto"/>
              </w:rPr>
              <w:t>Prepaid insurance</w:t>
            </w:r>
          </w:p>
        </w:tc>
        <w:tc>
          <w:tcPr>
            <w:tcW w:w="2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15,951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22,822</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Safeguarding asset for crypto</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659,656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7,790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6,060</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829,235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326,465</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20,194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19,744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66,877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15,852</w:t>
            </w: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67,663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55,833</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clearinghouse</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15,309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15,150</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24,464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22,458</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1,023,742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455,502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2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52,365</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66,787</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 payable</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3,761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party</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82"/>
        </w:trPr>
        <w:tc>
          <w:tcPr>
            <w:tcW w:w="7720" w:type="dxa"/>
            <w:vAlign w:val="bottom"/>
          </w:tcPr>
          <w:p>
            <w:pPr>
              <w:ind w:left="240"/>
              <w:spacing w:after="0"/>
              <w:rPr>
                <w:sz w:val="20"/>
                <w:szCs w:val="20"/>
                <w:color w:val="auto"/>
              </w:rPr>
            </w:pPr>
            <w:r>
              <w:rPr>
                <w:rFonts w:ascii="Arial" w:cs="Arial" w:eastAsia="Arial" w:hAnsi="Arial"/>
                <w:sz w:val="14"/>
                <w:szCs w:val="14"/>
                <w:color w:val="auto"/>
              </w:rPr>
              <w:t>Safeguarding obligation for crypto</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659,656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15,792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179"/>
        </w:trPr>
        <w:tc>
          <w:tcPr>
            <w:tcW w:w="772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720,997</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92,129</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2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1,428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38,938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23,402</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763,866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119,428</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Class A common stock ($0.0001 par value, 750,000,000 shares authorized, 91,286,095 shares</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7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issued and outstanding as of June 30, 2023 and 80,926,843 shares issued and outstanding</w:t>
            </w:r>
          </w:p>
        </w:tc>
        <w:tc>
          <w:tcPr>
            <w:tcW w:w="26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2022)</w:t>
            </w: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20"/>
              <w:spacing w:after="0" w:line="143" w:lineRule="exact"/>
              <w:rPr>
                <w:sz w:val="20"/>
                <w:szCs w:val="20"/>
                <w:color w:val="auto"/>
              </w:rPr>
            </w:pPr>
            <w:r>
              <w:rPr>
                <w:rFonts w:ascii="Arial" w:cs="Arial" w:eastAsia="Arial" w:hAnsi="Arial"/>
                <w:sz w:val="14"/>
                <w:szCs w:val="14"/>
                <w:color w:val="auto"/>
              </w:rPr>
              <w:t>Class V common stock ($0.0001 par value, 250,000,000 shares authorized, 183,279,887 shares</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720" w:type="dxa"/>
            <w:vAlign w:val="bottom"/>
          </w:tcPr>
          <w:p>
            <w:pPr>
              <w:ind w:left="20"/>
              <w:spacing w:after="0" w:line="141" w:lineRule="exact"/>
              <w:rPr>
                <w:sz w:val="20"/>
                <w:szCs w:val="20"/>
                <w:color w:val="auto"/>
              </w:rPr>
            </w:pPr>
            <w:r>
              <w:rPr>
                <w:rFonts w:ascii="Arial" w:cs="Arial" w:eastAsia="Arial" w:hAnsi="Arial"/>
                <w:sz w:val="14"/>
                <w:szCs w:val="14"/>
                <w:color w:val="auto"/>
              </w:rPr>
              <w:t>issued and outstanding as of June 30, 2023 and 183,482,777 shares issued and outstanding</w:t>
            </w:r>
          </w:p>
        </w:tc>
        <w:tc>
          <w:tcPr>
            <w:tcW w:w="260" w:type="dxa"/>
            <w:vAlign w:val="bottom"/>
          </w:tcPr>
          <w:p>
            <w:pPr>
              <w:spacing w:after="0"/>
              <w:rPr>
                <w:sz w:val="12"/>
                <w:szCs w:val="12"/>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as of December 31, 2022)</w:t>
            </w:r>
          </w:p>
        </w:tc>
        <w:tc>
          <w:tcPr>
            <w:tcW w:w="2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791,205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772,973</w:t>
            </w:r>
          </w:p>
        </w:tc>
        <w:tc>
          <w:tcPr>
            <w:tcW w:w="0" w:type="dxa"/>
            <w:vAlign w:val="bottom"/>
          </w:tcPr>
          <w:p>
            <w:pPr>
              <w:spacing w:after="0"/>
              <w:rPr>
                <w:sz w:val="1"/>
                <w:szCs w:val="1"/>
                <w:color w:val="auto"/>
              </w:rPr>
            </w:pP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(707,271)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(676,447)</w:t>
            </w:r>
          </w:p>
        </w:tc>
        <w:tc>
          <w:tcPr>
            <w:tcW w:w="0" w:type="dxa"/>
            <w:vAlign w:val="bottom"/>
          </w:tcPr>
          <w:p>
            <w:pPr>
              <w:spacing w:after="0"/>
              <w:rPr>
                <w:sz w:val="1"/>
                <w:szCs w:val="1"/>
                <w:color w:val="auto"/>
              </w:rPr>
            </w:pPr>
          </w:p>
        </w:tc>
      </w:tr>
      <w:tr>
        <w:trPr>
          <w:trHeight w:val="182"/>
        </w:trPr>
        <w:tc>
          <w:tcPr>
            <w:tcW w:w="7720" w:type="dxa"/>
            <w:vAlign w:val="bottom"/>
          </w:tcPr>
          <w:p>
            <w:pPr>
              <w:ind w:left="460"/>
              <w:spacing w:after="0"/>
              <w:rPr>
                <w:sz w:val="20"/>
                <w:szCs w:val="20"/>
                <w:color w:val="auto"/>
              </w:rPr>
            </w:pPr>
            <w:r>
              <w:rPr>
                <w:rFonts w:ascii="Arial" w:cs="Arial" w:eastAsia="Arial" w:hAnsi="Arial"/>
                <w:sz w:val="14"/>
                <w:szCs w:val="14"/>
                <w:color w:val="auto"/>
              </w:rPr>
              <w:t>Total stockholders’ equity</w:t>
            </w:r>
          </w:p>
        </w:tc>
        <w:tc>
          <w:tcPr>
            <w:tcW w:w="26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83,796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96,263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176,080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239,811</w:t>
            </w:r>
          </w:p>
        </w:tc>
        <w:tc>
          <w:tcPr>
            <w:tcW w:w="0" w:type="dxa"/>
            <w:vAlign w:val="bottom"/>
          </w:tcPr>
          <w:p>
            <w:pPr>
              <w:spacing w:after="0"/>
              <w:rPr>
                <w:sz w:val="1"/>
                <w:szCs w:val="1"/>
                <w:color w:val="auto"/>
              </w:rPr>
            </w:pPr>
          </w:p>
        </w:tc>
      </w:tr>
      <w:tr>
        <w:trPr>
          <w:trHeight w:val="193"/>
        </w:trPr>
        <w:tc>
          <w:tcPr>
            <w:tcW w:w="77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259,876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336,074</w:t>
            </w:r>
          </w:p>
        </w:tc>
        <w:tc>
          <w:tcPr>
            <w:tcW w:w="0" w:type="dxa"/>
            <w:vAlign w:val="bottom"/>
          </w:tcPr>
          <w:p>
            <w:pPr>
              <w:spacing w:after="0"/>
              <w:rPr>
                <w:sz w:val="1"/>
                <w:szCs w:val="1"/>
                <w:color w:val="auto"/>
              </w:rPr>
            </w:pPr>
          </w:p>
        </w:tc>
      </w:tr>
      <w:tr>
        <w:trPr>
          <w:trHeight w:val="22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1,023,742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455,502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19"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2"/>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June 30,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2"/>
              </w:rPr>
              <w:t>Crypto services (includes related party net revenues of $0, $14, $1 and</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335,333</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335,776</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$34 respectively)</w:t>
            </w:r>
          </w:p>
        </w:tc>
        <w:tc>
          <w:tcPr>
            <w:tcW w:w="2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Loyalty services, net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26,110</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27,103</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Crypto costs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Execution, clearing and brokerage fees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69,335</w:t>
            </w:r>
          </w:p>
        </w:tc>
        <w:tc>
          <w:tcPr>
            <w:tcW w:w="0" w:type="dxa"/>
            <w:vAlign w:val="bottom"/>
          </w:tcPr>
          <w:p>
            <w:pPr>
              <w:spacing w:after="0"/>
              <w:rPr>
                <w:sz w:val="1"/>
                <w:szCs w:val="1"/>
                <w:color w:val="auto"/>
              </w:rPr>
            </w:pP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communication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19,203</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party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Restructuring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06"/>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57,586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457,382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119,139</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(96,534)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(92,036)</w:t>
            </w:r>
          </w:p>
        </w:tc>
        <w:tc>
          <w:tcPr>
            <w:tcW w:w="0" w:type="dxa"/>
            <w:vAlign w:val="bottom"/>
          </w:tcPr>
          <w:p>
            <w:pPr>
              <w:spacing w:after="0"/>
              <w:rPr>
                <w:sz w:val="1"/>
                <w:szCs w:val="1"/>
                <w:color w:val="auto"/>
              </w:rPr>
            </w:pPr>
          </w:p>
        </w:tc>
      </w:tr>
      <w:tr>
        <w:trPr>
          <w:trHeight w:val="206"/>
        </w:trPr>
        <w:tc>
          <w:tcPr>
            <w:tcW w:w="4900" w:type="dxa"/>
            <w:vAlign w:val="bottom"/>
          </w:tcPr>
          <w:p>
            <w:pPr>
              <w:ind w:left="240"/>
              <w:spacing w:after="0"/>
              <w:rPr>
                <w:sz w:val="20"/>
                <w:szCs w:val="20"/>
                <w:color w:val="auto"/>
              </w:rPr>
            </w:pPr>
            <w:r>
              <w:rPr>
                <w:rFonts w:ascii="Arial" w:cs="Arial" w:eastAsia="Arial" w:hAnsi="Arial"/>
                <w:sz w:val="16"/>
                <w:szCs w:val="16"/>
                <w:color w:val="auto"/>
              </w:rPr>
              <w:t>Interest income, net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(loss) from change in fair value of warrant liability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12,711</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(79,200)</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(70,962)</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(59,936)</w:t>
            </w: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Comprehensive Loss</w:t>
      </w:r>
    </w:p>
    <w:p>
      <w:pPr>
        <w:jc w:val="center"/>
        <w:spacing w:after="0" w:line="203" w:lineRule="auto"/>
        <w:rPr>
          <w:sz w:val="20"/>
          <w:szCs w:val="20"/>
          <w:color w:val="auto"/>
        </w:rPr>
      </w:pPr>
      <w:r>
        <w:rPr>
          <w:rFonts w:ascii="Arial" w:cs="Arial" w:eastAsia="Arial" w:hAnsi="Arial"/>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Three Months Ended</w:t>
            </w:r>
          </w:p>
        </w:tc>
        <w:tc>
          <w:tcPr>
            <w:tcW w:w="12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Six Months Ended</w:t>
            </w:r>
          </w:p>
        </w:tc>
      </w:tr>
      <w:tr>
        <w:trPr>
          <w:trHeight w:val="213"/>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June 30,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June 30, 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(70,962)</w:t>
            </w: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Currency translation adjustment, net of tax</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9"/>
              </w:rPr>
              <w:t>Unrealized gains (losses) on available-for-sale securities,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49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(49,939)</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(28,036)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(95,004)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(71,169)</w:t>
            </w:r>
          </w:p>
        </w:tc>
      </w:tr>
      <w:tr>
        <w:trPr>
          <w:trHeight w:val="21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(60,076)</w:t>
            </w: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Comprehensive loss attributable to Bakkt Holdings, Inc.</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(16,658)</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(4,006)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(30,696)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(11,093)</w:t>
            </w:r>
          </w:p>
        </w:tc>
      </w:tr>
      <w:tr>
        <w:trPr>
          <w:trHeight w:val="21"/>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Changes in Stockholders’ Equity</w:t>
      </w:r>
    </w:p>
    <w:p>
      <w:pPr>
        <w:jc w:val="center"/>
        <w:spacing w:after="0" w:line="203" w:lineRule="auto"/>
        <w:rPr>
          <w:sz w:val="20"/>
          <w:szCs w:val="20"/>
          <w:color w:val="auto"/>
        </w:rPr>
      </w:pPr>
      <w:r>
        <w:rPr>
          <w:rFonts w:ascii="Arial" w:cs="Arial" w:eastAsia="Arial" w:hAnsi="Arial"/>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w w:val="97"/>
              </w:rPr>
              <w:t>Additional Paid-</w:t>
            </w:r>
          </w:p>
        </w:tc>
        <w:tc>
          <w:tcPr>
            <w:tcW w:w="16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140" w:type="dxa"/>
            <w:vAlign w:val="bottom"/>
          </w:tcPr>
          <w:p>
            <w:pPr>
              <w:spacing w:after="0"/>
              <w:rPr>
                <w:sz w:val="10"/>
                <w:szCs w:val="10"/>
                <w:color w:val="auto"/>
              </w:rPr>
            </w:pPr>
          </w:p>
        </w:tc>
        <w:tc>
          <w:tcPr>
            <w:tcW w:w="1020" w:type="dxa"/>
            <w:vAlign w:val="bottom"/>
          </w:tcPr>
          <w:p>
            <w:pPr>
              <w:jc w:val="center"/>
              <w:ind w:right="66"/>
              <w:spacing w:after="0" w:line="115" w:lineRule="exact"/>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3"/>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40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w w:val="93"/>
              </w:rPr>
              <w:t>Class A Common Stock</w:t>
            </w:r>
          </w:p>
        </w:tc>
        <w:tc>
          <w:tcPr>
            <w:tcW w:w="1440" w:type="dxa"/>
            <w:vAlign w:val="bottom"/>
            <w:gridSpan w:val="3"/>
            <w:vMerge w:val="restart"/>
          </w:tcPr>
          <w:p>
            <w:pPr>
              <w:jc w:val="right"/>
              <w:ind w:right="146"/>
              <w:spacing w:after="0"/>
              <w:rPr>
                <w:sz w:val="20"/>
                <w:szCs w:val="20"/>
                <w:color w:val="auto"/>
              </w:rPr>
            </w:pPr>
            <w:r>
              <w:rPr>
                <w:rFonts w:ascii="Arial" w:cs="Arial" w:eastAsia="Arial" w:hAnsi="Arial"/>
                <w:sz w:val="11"/>
                <w:szCs w:val="11"/>
                <w:b w:val="1"/>
                <w:bCs w:val="1"/>
                <w:color w:val="auto"/>
                <w:w w:val="98"/>
              </w:rPr>
              <w:t>Class V Common Stock</w:t>
            </w:r>
          </w:p>
        </w:tc>
        <w:tc>
          <w:tcPr>
            <w:tcW w:w="9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4"/>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2"/>
              </w:rPr>
              <w:t>Total Equity</w:t>
            </w: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b w:val="1"/>
                <w:bCs w:val="1"/>
                <w:color w:val="auto"/>
                <w:w w:val="96"/>
              </w:rPr>
              <w:t>in Capital</w:t>
            </w:r>
          </w:p>
        </w:tc>
        <w:tc>
          <w:tcPr>
            <w:tcW w:w="16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102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Income (Loss)</w:t>
            </w:r>
          </w:p>
        </w:tc>
        <w:tc>
          <w:tcPr>
            <w:tcW w:w="260" w:type="dxa"/>
            <w:vAlign w:val="bottom"/>
          </w:tcPr>
          <w:p>
            <w:pPr>
              <w:spacing w:after="0"/>
              <w:rPr>
                <w:sz w:val="12"/>
                <w:szCs w:val="12"/>
                <w:color w:val="auto"/>
              </w:rPr>
            </w:pPr>
          </w:p>
        </w:tc>
        <w:tc>
          <w:tcPr>
            <w:tcW w:w="80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4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880" w:type="dxa"/>
            <w:vAlign w:val="bottom"/>
          </w:tcPr>
          <w:p>
            <w:pPr>
              <w:jc w:val="right"/>
              <w:ind w:right="26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360" w:type="dxa"/>
            <w:vAlign w:val="bottom"/>
          </w:tcPr>
          <w:p>
            <w:pPr>
              <w:jc w:val="right"/>
              <w:ind w:right="186"/>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as of December 31, 2021</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57,164,388</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206,271,792</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566,766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(98,342)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center"/>
              <w:ind w:left="626"/>
              <w:spacing w:after="0"/>
              <w:rPr>
                <w:sz w:val="20"/>
                <w:szCs w:val="20"/>
                <w:color w:val="auto"/>
              </w:rPr>
            </w:pPr>
            <w:r>
              <w:rPr>
                <w:rFonts w:ascii="Arial" w:cs="Arial" w:eastAsia="Arial" w:hAnsi="Arial"/>
                <w:sz w:val="11"/>
                <w:szCs w:val="11"/>
                <w:color w:val="auto"/>
                <w:w w:val="91"/>
              </w:rPr>
              <w:t>(55)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468,396</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1,825,775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2,294,171</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center"/>
              <w:ind w:left="666"/>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13,190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Unit-based compensation</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center"/>
              <w:ind w:left="666"/>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1,118</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w w:val="97"/>
              </w:rPr>
              <w:t>Forfeiture and cancellation of common units</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(268,522)</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center"/>
              <w:ind w:left="666"/>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Exercise of warrants</w:t>
            </w:r>
          </w:p>
        </w:tc>
        <w:tc>
          <w:tcPr>
            <w:tcW w:w="7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center"/>
              <w:ind w:left="666"/>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2240" w:type="dxa"/>
            <w:vAlign w:val="bottom"/>
          </w:tcPr>
          <w:p>
            <w:pPr>
              <w:ind w:left="140"/>
              <w:spacing w:after="0"/>
              <w:rPr>
                <w:sz w:val="20"/>
                <w:szCs w:val="20"/>
                <w:color w:val="auto"/>
              </w:rPr>
            </w:pPr>
            <w:r>
              <w:rPr>
                <w:rFonts w:ascii="Arial" w:cs="Arial" w:eastAsia="Arial" w:hAnsi="Arial"/>
                <w:sz w:val="11"/>
                <w:szCs w:val="11"/>
                <w:color w:val="auto"/>
              </w:rPr>
              <w:t>Currency translation adjustment, net of tax</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4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20" w:type="dxa"/>
            <w:vAlign w:val="bottom"/>
          </w:tcPr>
          <w:p>
            <w:pPr>
              <w:jc w:val="center"/>
              <w:ind w:left="666"/>
              <w:spacing w:after="0"/>
              <w:rPr>
                <w:sz w:val="20"/>
                <w:szCs w:val="20"/>
                <w:color w:val="auto"/>
              </w:rPr>
            </w:pPr>
            <w:r>
              <w:rPr>
                <w:rFonts w:ascii="Arial" w:cs="Arial" w:eastAsia="Arial" w:hAnsi="Arial"/>
                <w:sz w:val="11"/>
                <w:szCs w:val="11"/>
                <w:color w:val="auto"/>
                <w:w w:val="81"/>
              </w:rPr>
              <w:t>41</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147</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(7,128)</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center"/>
              <w:ind w:left="666"/>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(7,128)</w:t>
            </w: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(36,193)</w:t>
            </w: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(43,321)</w:t>
            </w:r>
          </w:p>
        </w:tc>
        <w:tc>
          <w:tcPr>
            <w:tcW w:w="0" w:type="dxa"/>
            <w:vAlign w:val="bottom"/>
          </w:tcPr>
          <w:p>
            <w:pPr>
              <w:spacing w:after="0"/>
              <w:rPr>
                <w:sz w:val="1"/>
                <w:szCs w:val="1"/>
                <w:color w:val="auto"/>
              </w:rPr>
            </w:pPr>
          </w:p>
        </w:tc>
      </w:tr>
      <w:tr>
        <w:trPr>
          <w:trHeight w:val="160"/>
        </w:trPr>
        <w:tc>
          <w:tcPr>
            <w:tcW w:w="2240" w:type="dxa"/>
            <w:vAlign w:val="bottom"/>
          </w:tcPr>
          <w:p>
            <w:pPr>
              <w:ind w:left="20"/>
              <w:spacing w:after="0"/>
              <w:rPr>
                <w:sz w:val="20"/>
                <w:szCs w:val="20"/>
                <w:color w:val="auto"/>
              </w:rPr>
            </w:pPr>
            <w:r>
              <w:rPr>
                <w:rFonts w:ascii="Arial" w:cs="Arial" w:eastAsia="Arial" w:hAnsi="Arial"/>
                <w:sz w:val="11"/>
                <w:szCs w:val="11"/>
                <w:color w:val="auto"/>
              </w:rPr>
              <w:t>Balance as of March 31, 2022</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57,164,488</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206,003,270</w:t>
            </w:r>
          </w:p>
        </w:tc>
        <w:tc>
          <w:tcPr>
            <w:tcW w:w="2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579,957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(105,470)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center"/>
              <w:ind w:left="626"/>
              <w:spacing w:after="0"/>
              <w:rPr>
                <w:sz w:val="20"/>
                <w:szCs w:val="20"/>
                <w:color w:val="auto"/>
              </w:rPr>
            </w:pPr>
            <w:r>
              <w:rPr>
                <w:rFonts w:ascii="Arial" w:cs="Arial" w:eastAsia="Arial" w:hAnsi="Arial"/>
                <w:sz w:val="11"/>
                <w:szCs w:val="11"/>
                <w:color w:val="auto"/>
                <w:w w:val="91"/>
              </w:rPr>
              <w:t>(14)</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474,500</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1,790,787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2,265,287</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Share-based compensation</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8,016</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left="666"/>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8,016</w:t>
            </w:r>
          </w:p>
        </w:tc>
        <w:tc>
          <w:tcPr>
            <w:tcW w:w="0" w:type="dxa"/>
            <w:vAlign w:val="bottom"/>
          </w:tcPr>
          <w:p>
            <w:pPr>
              <w:spacing w:after="0"/>
              <w:rPr>
                <w:sz w:val="1"/>
                <w:szCs w:val="1"/>
                <w:color w:val="auto"/>
              </w:rPr>
            </w:pPr>
          </w:p>
        </w:tc>
      </w:tr>
      <w:tr>
        <w:trPr>
          <w:trHeight w:val="22"/>
        </w:trPr>
        <w:tc>
          <w:tcPr>
            <w:tcW w:w="2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11" w:right="339" w:bottom="1440" w:gutter="0" w:footer="0" w:header="0"/>
        </w:sectPr>
      </w:pPr>
    </w:p>
    <w:p>
      <w:pPr>
        <w:ind w:left="140"/>
        <w:spacing w:after="0"/>
        <w:rPr>
          <w:sz w:val="20"/>
          <w:szCs w:val="20"/>
          <w:color w:val="auto"/>
        </w:rPr>
      </w:pPr>
      <w:r>
        <w:rPr>
          <w:rFonts w:ascii="Arial" w:cs="Arial" w:eastAsia="Arial" w:hAnsi="Arial"/>
          <w:sz w:val="11"/>
          <w:szCs w:val="11"/>
          <w:color w:val="auto"/>
        </w:rPr>
        <w:t>Unit-based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0"/>
          <w:szCs w:val="10"/>
          <w:color w:val="auto"/>
        </w:rPr>
        <w:t>Forfeiture and cancellation of common units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Exercise of warrants</w:t>
      </w:r>
    </w:p>
    <w:p>
      <w:pPr>
        <w:spacing w:after="0" w:line="36" w:lineRule="exact"/>
        <w:rPr>
          <w:sz w:val="20"/>
          <w:szCs w:val="20"/>
          <w:color w:val="auto"/>
        </w:rPr>
      </w:pPr>
    </w:p>
    <w:p>
      <w:pPr>
        <w:ind w:left="140" w:right="18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9"/>
          <w:szCs w:val="9"/>
          <w:color w:val="auto"/>
        </w:rPr>
        <w:t>Exchange of Class V shares for Class A shares</w:t>
      </w:r>
    </w:p>
    <w:p>
      <w:pPr>
        <w:spacing w:after="0" w:line="59" w:lineRule="exact"/>
        <w:rPr>
          <w:sz w:val="20"/>
          <w:szCs w:val="20"/>
          <w:color w:val="auto"/>
        </w:rPr>
      </w:pPr>
    </w:p>
    <w:p>
      <w:pPr>
        <w:ind w:left="140" w:right="40"/>
        <w:spacing w:after="0" w:line="222" w:lineRule="auto"/>
        <w:rPr>
          <w:sz w:val="20"/>
          <w:szCs w:val="20"/>
          <w:color w:val="auto"/>
        </w:rPr>
      </w:pPr>
      <w:r>
        <w:rPr>
          <w:rFonts w:ascii="Arial" w:cs="Arial" w:eastAsia="Arial" w:hAnsi="Arial"/>
          <w:sz w:val="11"/>
          <w:szCs w:val="11"/>
          <w:color w:val="auto"/>
        </w:rPr>
        <w:t>Increase in deferred tax liability from step-up tax basis related to exchanges of Opco Common Units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Currency translation adjustment, net of tax</w:t>
      </w:r>
    </w:p>
    <w:p>
      <w:pPr>
        <w:spacing w:after="0" w:line="47" w:lineRule="exact"/>
        <w:rPr>
          <w:sz w:val="20"/>
          <w:szCs w:val="20"/>
          <w:color w:val="auto"/>
        </w:rPr>
      </w:pPr>
    </w:p>
    <w:p>
      <w:pPr>
        <w:ind w:left="140" w:right="500"/>
        <w:spacing w:after="0" w:line="231" w:lineRule="auto"/>
        <w:rPr>
          <w:sz w:val="20"/>
          <w:szCs w:val="20"/>
          <w:color w:val="auto"/>
        </w:rPr>
      </w:pPr>
      <w:r>
        <w:rPr>
          <w:rFonts w:ascii="Arial" w:cs="Arial" w:eastAsia="Arial" w:hAnsi="Arial"/>
          <w:sz w:val="11"/>
          <w:szCs w:val="11"/>
          <w:color w:val="auto"/>
        </w:rPr>
        <w:t>Unrealized losses on available-for-sale securities</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June 30, 2022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December 31, 2022</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Share-based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Unit-based compensation</w:t>
      </w:r>
    </w:p>
    <w:p>
      <w:pPr>
        <w:spacing w:after="0" w:line="36" w:lineRule="exact"/>
        <w:rPr>
          <w:sz w:val="20"/>
          <w:szCs w:val="20"/>
          <w:color w:val="auto"/>
        </w:rPr>
      </w:pPr>
    </w:p>
    <w:p>
      <w:pPr>
        <w:ind w:left="140" w:right="18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line="375" w:lineRule="auto"/>
        <w:rPr>
          <w:sz w:val="20"/>
          <w:szCs w:val="20"/>
          <w:color w:val="auto"/>
        </w:rPr>
      </w:pPr>
      <w:r>
        <w:rPr>
          <w:rFonts w:ascii="Arial" w:cs="Arial" w:eastAsia="Arial" w:hAnsi="Arial"/>
          <w:sz w:val="9"/>
          <w:szCs w:val="9"/>
          <w:color w:val="auto"/>
        </w:rPr>
        <w:t>Exchange of Class V shares for Class A shares Currency translation adjustment, net of tax</w:t>
      </w:r>
    </w:p>
    <w:p>
      <w:pPr>
        <w:spacing w:after="0" w:line="1" w:lineRule="exact"/>
        <w:rPr>
          <w:sz w:val="20"/>
          <w:szCs w:val="20"/>
          <w:color w:val="auto"/>
        </w:rPr>
      </w:pPr>
    </w:p>
    <w:p>
      <w:pPr>
        <w:ind w:left="140" w:right="500"/>
        <w:spacing w:after="0" w:line="269" w:lineRule="auto"/>
        <w:rPr>
          <w:sz w:val="20"/>
          <w:szCs w:val="20"/>
          <w:color w:val="auto"/>
        </w:rPr>
      </w:pPr>
      <w:r>
        <w:rPr>
          <w:rFonts w:ascii="Arial" w:cs="Arial" w:eastAsia="Arial" w:hAnsi="Arial"/>
          <w:sz w:val="10"/>
          <w:szCs w:val="10"/>
          <w:color w:val="auto"/>
        </w:rPr>
        <w:t>Unrealized losses on available-for-sale securities, net of tax</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March 31, 2023</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Share-based compensation</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Unit-based compensation</w:t>
      </w:r>
    </w:p>
    <w:p>
      <w:pPr>
        <w:spacing w:after="0" w:line="36" w:lineRule="exact"/>
        <w:rPr>
          <w:sz w:val="20"/>
          <w:szCs w:val="20"/>
          <w:color w:val="auto"/>
        </w:rPr>
      </w:pPr>
    </w:p>
    <w:p>
      <w:pPr>
        <w:ind w:left="140" w:right="18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right="340"/>
        <w:spacing w:after="0" w:line="231" w:lineRule="auto"/>
        <w:rPr>
          <w:sz w:val="20"/>
          <w:szCs w:val="20"/>
          <w:color w:val="auto"/>
        </w:rPr>
      </w:pPr>
      <w:r>
        <w:rPr>
          <w:rFonts w:ascii="Arial" w:cs="Arial" w:eastAsia="Arial" w:hAnsi="Arial"/>
          <w:sz w:val="11"/>
          <w:szCs w:val="11"/>
          <w:color w:val="auto"/>
        </w:rPr>
        <w:t>Shares issued in connection with Apex acquisition</w:t>
      </w:r>
    </w:p>
    <w:p>
      <w:pPr>
        <w:spacing w:after="0" w:line="27" w:lineRule="exact"/>
        <w:rPr>
          <w:sz w:val="20"/>
          <w:szCs w:val="20"/>
          <w:color w:val="auto"/>
        </w:rPr>
      </w:pPr>
    </w:p>
    <w:p>
      <w:pPr>
        <w:ind w:left="140"/>
        <w:spacing w:after="0" w:line="375" w:lineRule="auto"/>
        <w:rPr>
          <w:sz w:val="20"/>
          <w:szCs w:val="20"/>
          <w:color w:val="auto"/>
        </w:rPr>
      </w:pPr>
      <w:r>
        <w:rPr>
          <w:rFonts w:ascii="Arial" w:cs="Arial" w:eastAsia="Arial" w:hAnsi="Arial"/>
          <w:sz w:val="9"/>
          <w:szCs w:val="9"/>
          <w:color w:val="auto"/>
        </w:rPr>
        <w:t>Exchange of Class V shares for Class A shares Currency translation adjustment, net of tax</w:t>
      </w:r>
    </w:p>
    <w:p>
      <w:pPr>
        <w:spacing w:after="0" w:line="1" w:lineRule="exact"/>
        <w:rPr>
          <w:sz w:val="20"/>
          <w:szCs w:val="20"/>
          <w:color w:val="auto"/>
        </w:rPr>
      </w:pPr>
    </w:p>
    <w:p>
      <w:pPr>
        <w:ind w:left="140" w:right="500"/>
        <w:spacing w:after="0" w:line="269" w:lineRule="auto"/>
        <w:rPr>
          <w:sz w:val="20"/>
          <w:szCs w:val="20"/>
          <w:color w:val="auto"/>
        </w:rPr>
      </w:pPr>
      <w:r>
        <w:rPr>
          <w:rFonts w:ascii="Arial" w:cs="Arial" w:eastAsia="Arial" w:hAnsi="Arial"/>
          <w:sz w:val="10"/>
          <w:szCs w:val="10"/>
          <w:color w:val="auto"/>
        </w:rPr>
        <w:t>Unrealized losses on available-for-sale securities,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1,063</w:t>
            </w:r>
          </w:p>
        </w:tc>
        <w:tc>
          <w:tcPr>
            <w:tcW w:w="2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1,063</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(9,693)</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100</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624,497</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(2,586)</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(2,586)</w:t>
            </w:r>
          </w:p>
        </w:tc>
        <w:tc>
          <w:tcPr>
            <w:tcW w:w="36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(2,586)</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17,554,639</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2</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(17,554,639)</w:t>
            </w:r>
          </w:p>
        </w:tc>
        <w:tc>
          <w:tcPr>
            <w:tcW w:w="24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Arial" w:cs="Arial" w:eastAsia="Arial" w:hAnsi="Arial"/>
                <w:sz w:val="11"/>
                <w:szCs w:val="11"/>
                <w:color w:val="auto"/>
              </w:rPr>
              <w:t>(2)</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152,235</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360" w:type="dxa"/>
            <w:vAlign w:val="bottom"/>
          </w:tcPr>
          <w:p>
            <w:pPr>
              <w:spacing w:after="0"/>
              <w:rPr>
                <w:sz w:val="14"/>
                <w:szCs w:val="1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(152,235)</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78"/>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(19,063)</w:t>
            </w:r>
          </w:p>
        </w:tc>
        <w:tc>
          <w:tcPr>
            <w:tcW w:w="34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(19,063)</w:t>
            </w:r>
          </w:p>
        </w:tc>
        <w:tc>
          <w:tcPr>
            <w:tcW w:w="36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(19,063)</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(105)</w:t>
            </w:r>
          </w:p>
        </w:tc>
        <w:tc>
          <w:tcPr>
            <w:tcW w:w="360" w:type="dxa"/>
            <w:vAlign w:val="bottom"/>
          </w:tcPr>
          <w:p>
            <w:pPr>
              <w:spacing w:after="0"/>
              <w:rPr>
                <w:sz w:val="14"/>
                <w:szCs w:val="1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(105)</w:t>
            </w:r>
          </w:p>
        </w:tc>
        <w:tc>
          <w:tcPr>
            <w:tcW w:w="360" w:type="dxa"/>
            <w:vAlign w:val="bottom"/>
          </w:tcPr>
          <w:p>
            <w:pPr>
              <w:spacing w:after="0"/>
              <w:rPr>
                <w:sz w:val="14"/>
                <w:szCs w:val="1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(277)</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(382)</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36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36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(3,897)</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(3,897)</w:t>
            </w:r>
          </w:p>
        </w:tc>
        <w:tc>
          <w:tcPr>
            <w:tcW w:w="360" w:type="dxa"/>
            <w:vAlign w:val="bottom"/>
          </w:tcPr>
          <w:p>
            <w:pPr>
              <w:spacing w:after="0"/>
              <w:rPr>
                <w:sz w:val="14"/>
                <w:szCs w:val="1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(23,744)</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(27,641)</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3"/>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75,343,724</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188,438,938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ind w:left="120"/>
              <w:spacing w:after="0"/>
              <w:rPr>
                <w:sz w:val="20"/>
                <w:szCs w:val="20"/>
                <w:color w:val="auto"/>
              </w:rPr>
            </w:pPr>
            <w:r>
              <w:rPr>
                <w:rFonts w:ascii="Arial" w:cs="Arial" w:eastAsia="Arial" w:hAnsi="Arial"/>
                <w:sz w:val="11"/>
                <w:szCs w:val="11"/>
                <w:color w:val="auto"/>
              </w:rPr>
              <w:t>19</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718,560</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(109,367)</w:t>
            </w:r>
          </w:p>
        </w:tc>
        <w:tc>
          <w:tcPr>
            <w:tcW w:w="50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(123)</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609,097</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1,615,570</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2,224,667</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77"/>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80,926,843</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183,482,777</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ind w:left="120"/>
              <w:spacing w:after="0"/>
              <w:rPr>
                <w:sz w:val="20"/>
                <w:szCs w:val="20"/>
                <w:color w:val="auto"/>
              </w:rPr>
            </w:pPr>
            <w:r>
              <w:rPr>
                <w:rFonts w:ascii="Arial" w:cs="Arial" w:eastAsia="Arial" w:hAnsi="Arial"/>
                <w:sz w:val="11"/>
                <w:szCs w:val="11"/>
                <w:color w:val="auto"/>
              </w:rPr>
              <w:t>19</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772,973</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(676,447)</w:t>
            </w:r>
          </w:p>
        </w:tc>
        <w:tc>
          <w:tcPr>
            <w:tcW w:w="50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(290)</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96,263</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239,811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336,074</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6,713</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6,713</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6,713</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542</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542</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1,495,040</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202,890</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(202,890)</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345</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345</w:t>
            </w:r>
          </w:p>
        </w:tc>
        <w:tc>
          <w:tcPr>
            <w:tcW w:w="360" w:type="dxa"/>
            <w:vAlign w:val="bottom"/>
          </w:tcPr>
          <w:p>
            <w:pPr>
              <w:spacing w:after="0"/>
              <w:rPr>
                <w:sz w:val="14"/>
                <w:szCs w:val="1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(345)</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22</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(72)</w:t>
            </w:r>
          </w:p>
        </w:tc>
        <w:tc>
          <w:tcPr>
            <w:tcW w:w="36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(72)</w:t>
            </w:r>
          </w:p>
        </w:tc>
        <w:tc>
          <w:tcPr>
            <w:tcW w:w="36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(157)</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(229)</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(13,976)</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(13,976)</w:t>
            </w:r>
          </w:p>
        </w:tc>
        <w:tc>
          <w:tcPr>
            <w:tcW w:w="360" w:type="dxa"/>
            <w:vAlign w:val="bottom"/>
          </w:tcPr>
          <w:p>
            <w:pPr>
              <w:spacing w:after="0"/>
              <w:rPr>
                <w:sz w:val="14"/>
                <w:szCs w:val="1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(30,883)</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(44,859)</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4"/>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82,624,773</w:t>
            </w: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8</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183,279,887</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40" w:type="dxa"/>
            <w:vAlign w:val="bottom"/>
          </w:tcPr>
          <w:p>
            <w:pPr>
              <w:ind w:left="120"/>
              <w:spacing w:after="0"/>
              <w:rPr>
                <w:sz w:val="20"/>
                <w:szCs w:val="20"/>
                <w:color w:val="auto"/>
              </w:rPr>
            </w:pPr>
            <w:r>
              <w:rPr>
                <w:rFonts w:ascii="Arial" w:cs="Arial" w:eastAsia="Arial" w:hAnsi="Arial"/>
                <w:sz w:val="11"/>
                <w:szCs w:val="11"/>
                <w:color w:val="auto"/>
              </w:rPr>
              <w:t>19</w:t>
            </w:r>
          </w:p>
        </w:tc>
        <w:tc>
          <w:tcPr>
            <w:tcW w:w="2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780,031</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(690,423)</w:t>
            </w:r>
          </w:p>
        </w:tc>
        <w:tc>
          <w:tcPr>
            <w:tcW w:w="50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(355)</w:t>
            </w:r>
          </w:p>
        </w:tc>
        <w:tc>
          <w:tcPr>
            <w:tcW w:w="36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89,280</w:t>
            </w:r>
          </w:p>
        </w:tc>
        <w:tc>
          <w:tcPr>
            <w:tcW w:w="3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208,983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298,263</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3"/>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4,614</w:t>
            </w:r>
          </w:p>
        </w:tc>
        <w:tc>
          <w:tcPr>
            <w:tcW w:w="3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4,614</w:t>
            </w:r>
          </w:p>
        </w:tc>
        <w:tc>
          <w:tcPr>
            <w:tcW w:w="36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4,614</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377</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377</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2,520,711</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(2,502)</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3"/>
                <w:szCs w:val="23"/>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(2,502)</w:t>
            </w:r>
          </w:p>
        </w:tc>
        <w:tc>
          <w:tcPr>
            <w:tcW w:w="36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(2,502)</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6,140,611</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9,062</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9,063</w:t>
            </w:r>
          </w:p>
        </w:tc>
        <w:tc>
          <w:tcPr>
            <w:tcW w:w="36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9,063</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112</w:t>
            </w:r>
          </w:p>
        </w:tc>
        <w:tc>
          <w:tcPr>
            <w:tcW w:w="36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112</w:t>
            </w:r>
          </w:p>
        </w:tc>
        <w:tc>
          <w:tcPr>
            <w:tcW w:w="3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227</w:t>
            </w:r>
          </w:p>
        </w:tc>
        <w:tc>
          <w:tcPr>
            <w:tcW w:w="24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339</w:t>
            </w:r>
          </w:p>
        </w:tc>
      </w:tr>
      <w:tr>
        <w:trPr>
          <w:trHeight w:val="270"/>
        </w:trPr>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77</w:t>
            </w:r>
          </w:p>
        </w:tc>
        <w:tc>
          <w:tcPr>
            <w:tcW w:w="36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77</w:t>
            </w:r>
          </w:p>
        </w:tc>
        <w:tc>
          <w:tcPr>
            <w:tcW w:w="36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156</w:t>
            </w:r>
          </w:p>
        </w:tc>
        <w:tc>
          <w:tcPr>
            <w:tcW w:w="24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-3414395</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-3208655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-2934335</wp:posOffset>
            </wp:positionV>
            <wp:extent cx="71323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-2591435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-2308860</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-2017395</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-1811020</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-1536700</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-1331595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-1048385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-808355</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-534035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-259715</wp:posOffset>
            </wp:positionV>
            <wp:extent cx="71323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140" w:space="100"/>
            <w:col w:w="90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2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7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(16,848)</w:t>
            </w:r>
          </w:p>
        </w:tc>
        <w:tc>
          <w:tcPr>
            <w:tcW w:w="5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(16,848)</w:t>
            </w:r>
          </w:p>
        </w:tc>
        <w:tc>
          <w:tcPr>
            <w:tcW w:w="4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(33,663)</w:t>
            </w:r>
          </w:p>
        </w:tc>
        <w:tc>
          <w:tcPr>
            <w:tcW w:w="2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1"/>
                <w:szCs w:val="11"/>
                <w:color w:val="auto"/>
                <w:w w:val="92"/>
              </w:rPr>
              <w:t>(50,511)</w:t>
            </w:r>
          </w:p>
        </w:tc>
      </w:tr>
      <w:tr>
        <w:trPr>
          <w:trHeight w:val="158"/>
        </w:trPr>
        <w:tc>
          <w:tcPr>
            <w:tcW w:w="2240" w:type="dxa"/>
            <w:vAlign w:val="bottom"/>
          </w:tcPr>
          <w:p>
            <w:pPr>
              <w:ind w:left="20"/>
              <w:spacing w:after="0"/>
              <w:rPr>
                <w:sz w:val="20"/>
                <w:szCs w:val="20"/>
                <w:color w:val="auto"/>
              </w:rPr>
            </w:pPr>
            <w:r>
              <w:rPr>
                <w:rFonts w:ascii="Arial" w:cs="Arial" w:eastAsia="Arial" w:hAnsi="Arial"/>
                <w:sz w:val="11"/>
                <w:szCs w:val="11"/>
                <w:color w:val="auto"/>
              </w:rPr>
              <w:t>Balance as of June 30, 2023</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91,286,095</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9</w:t>
            </w: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183,279,887</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19</w:t>
            </w:r>
          </w:p>
        </w:tc>
        <w:tc>
          <w:tcPr>
            <w:tcW w:w="3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791,205</w:t>
            </w:r>
          </w:p>
        </w:tc>
        <w:tc>
          <w:tcPr>
            <w:tcW w:w="34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(707,271)</w:t>
            </w:r>
          </w:p>
        </w:tc>
        <w:tc>
          <w:tcPr>
            <w:tcW w:w="5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(166)</w:t>
            </w:r>
          </w:p>
        </w:tc>
        <w:tc>
          <w:tcPr>
            <w:tcW w:w="3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83,796</w:t>
            </w:r>
          </w:p>
        </w:tc>
        <w:tc>
          <w:tcPr>
            <w:tcW w:w="4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176,080</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w w:val="95"/>
              </w:rPr>
              <w:t>259,876</w:t>
            </w:r>
          </w:p>
        </w:tc>
      </w:tr>
      <w:tr>
        <w:trPr>
          <w:trHeight w:val="20"/>
        </w:trPr>
        <w:tc>
          <w:tcPr>
            <w:tcW w:w="2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83"/>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(95,366)</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(70,962)</w:t>
            </w:r>
          </w:p>
        </w:tc>
        <w:tc>
          <w:tcPr>
            <w:tcW w:w="0" w:type="dxa"/>
            <w:vAlign w:val="bottom"/>
          </w:tcPr>
          <w:p>
            <w:pPr>
              <w:spacing w:after="0"/>
              <w:rPr>
                <w:sz w:val="1"/>
                <w:szCs w:val="1"/>
                <w:color w:val="auto"/>
              </w:rPr>
            </w:pP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11,949</w:t>
            </w: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Non-cash lease expense</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1,548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Share-based compensation expense</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11,327</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21,206</w:t>
            </w:r>
          </w:p>
        </w:tc>
        <w:tc>
          <w:tcPr>
            <w:tcW w:w="0" w:type="dxa"/>
            <w:vAlign w:val="bottom"/>
          </w:tcPr>
          <w:p>
            <w:pPr>
              <w:spacing w:after="0"/>
              <w:rPr>
                <w:sz w:val="1"/>
                <w:szCs w:val="1"/>
                <w:color w:val="auto"/>
              </w:rPr>
            </w:pP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Unit-based compensation expense</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946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Forfeiture and cancellation of common units</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(8,248)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Loss (gain) from change in fair value of warrant liability</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643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(12,711)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4,291</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(3,287)</w:t>
            </w:r>
          </w:p>
        </w:tc>
        <w:tc>
          <w:tcPr>
            <w:tcW w:w="0" w:type="dxa"/>
            <w:vAlign w:val="bottom"/>
          </w:tcPr>
          <w:p>
            <w:pPr>
              <w:spacing w:after="0"/>
              <w:rPr>
                <w:sz w:val="1"/>
                <w:szCs w:val="1"/>
                <w:color w:val="auto"/>
              </w:rPr>
            </w:pPr>
          </w:p>
        </w:tc>
      </w:tr>
      <w:tr>
        <w:trPr>
          <w:trHeight w:val="182"/>
        </w:trPr>
        <w:tc>
          <w:tcPr>
            <w:tcW w:w="8040" w:type="dxa"/>
            <w:vAlign w:val="bottom"/>
          </w:tcPr>
          <w:p>
            <w:pPr>
              <w:ind w:left="340"/>
              <w:spacing w:after="0"/>
              <w:rPr>
                <w:sz w:val="20"/>
                <w:szCs w:val="20"/>
                <w:color w:val="auto"/>
              </w:rPr>
            </w:pPr>
            <w:r>
              <w:rPr>
                <w:rFonts w:ascii="Arial" w:cs="Arial" w:eastAsia="Arial" w:hAnsi="Arial"/>
                <w:sz w:val="14"/>
                <w:szCs w:val="14"/>
                <w:color w:val="auto"/>
              </w:rPr>
              <w:t>Prepaid insurance</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6,871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8,633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Deposits with clearinghouse</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8040" w:type="dxa"/>
            <w:vAlign w:val="bottom"/>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(11,144)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Due to related party</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Operating lease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82"/>
        </w:trPr>
        <w:tc>
          <w:tcPr>
            <w:tcW w:w="8040" w:type="dxa"/>
            <w:vAlign w:val="bottom"/>
          </w:tcPr>
          <w:p>
            <w:pPr>
              <w:ind w:left="340"/>
              <w:spacing w:after="0"/>
              <w:rPr>
                <w:sz w:val="20"/>
                <w:szCs w:val="20"/>
                <w:color w:val="auto"/>
              </w:rPr>
            </w:pPr>
            <w:r>
              <w:rPr>
                <w:rFonts w:ascii="Arial" w:cs="Arial" w:eastAsia="Arial" w:hAnsi="Arial"/>
                <w:sz w:val="14"/>
                <w:szCs w:val="14"/>
                <w:color w:val="auto"/>
              </w:rPr>
              <w:t>Customer funds payable</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assets and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0" w:type="dxa"/>
            <w:vAlign w:val="bottom"/>
          </w:tcPr>
          <w:p>
            <w:pPr>
              <w:spacing w:after="0"/>
              <w:rPr>
                <w:sz w:val="1"/>
                <w:szCs w:val="1"/>
                <w:color w:val="auto"/>
              </w:rPr>
            </w:pPr>
          </w:p>
        </w:tc>
      </w:tr>
      <w:tr>
        <w:trPr>
          <w:trHeight w:val="19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(78,486)</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(60,430)</w:t>
            </w:r>
          </w:p>
        </w:tc>
        <w:tc>
          <w:tcPr>
            <w:tcW w:w="0" w:type="dxa"/>
            <w:vAlign w:val="bottom"/>
          </w:tcPr>
          <w:p>
            <w:pPr>
              <w:spacing w:after="0"/>
              <w:rPr>
                <w:sz w:val="1"/>
                <w:szCs w:val="1"/>
                <w:color w:val="auto"/>
              </w:rPr>
            </w:pP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Capitalized internal-use software development costs and other capital expenditures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(6,046)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(14,763)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available-for-sale securities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(189,174)</w:t>
            </w: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Proceeds from the maturity of available-for-sale securities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153,158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Acquisition of Bumped Financial, LLC</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Acquisition of Apex Crypto LLC, net of cash acquired</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(44,366)</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75,116</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(203,937)</w:t>
            </w:r>
          </w:p>
        </w:tc>
        <w:tc>
          <w:tcPr>
            <w:tcW w:w="0" w:type="dxa"/>
            <w:vAlign w:val="bottom"/>
          </w:tcPr>
          <w:p>
            <w:pPr>
              <w:spacing w:after="0"/>
              <w:rPr>
                <w:sz w:val="1"/>
                <w:szCs w:val="1"/>
                <w:color w:val="auto"/>
              </w:rPr>
            </w:pPr>
          </w:p>
        </w:tc>
      </w:tr>
      <w:tr>
        <w:trPr>
          <w:trHeight w:val="187"/>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the exercise of warrants</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Repurchase and retirement of Class A common stock</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88"/>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cash, cash equivalents, restricted cash, cash held in escrow and customer funds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(264,558)</w:t>
            </w:r>
          </w:p>
        </w:tc>
        <w:tc>
          <w:tcPr>
            <w:tcW w:w="0" w:type="dxa"/>
            <w:vAlign w:val="bottom"/>
          </w:tcPr>
          <w:p>
            <w:pPr>
              <w:spacing w:after="0"/>
              <w:rPr>
                <w:sz w:val="1"/>
                <w:szCs w:val="1"/>
                <w:color w:val="auto"/>
              </w:rPr>
            </w:pPr>
          </w:p>
        </w:tc>
      </w:tr>
      <w:tr>
        <w:trPr>
          <w:trHeight w:val="197"/>
        </w:trPr>
        <w:tc>
          <w:tcPr>
            <w:tcW w:w="8040" w:type="dxa"/>
            <w:vAlign w:val="bottom"/>
          </w:tcPr>
          <w:p>
            <w:pPr>
              <w:ind w:left="20"/>
              <w:spacing w:after="0"/>
              <w:rPr>
                <w:sz w:val="20"/>
                <w:szCs w:val="20"/>
                <w:color w:val="auto"/>
              </w:rPr>
            </w:pPr>
            <w:r>
              <w:rPr>
                <w:rFonts w:ascii="Arial" w:cs="Arial" w:eastAsia="Arial" w:hAnsi="Arial"/>
                <w:sz w:val="14"/>
                <w:szCs w:val="14"/>
                <w:color w:val="auto"/>
              </w:rPr>
              <w:t>Cash, cash equivalents, restricted cash, cash held in escrow and customer funds at the beginning of the period</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115,423</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408,415</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cash held in escrow and customer funds at the 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109,912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143,857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Non-cash operating lease right-of-use asset 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10,936</w:t>
            </w:r>
          </w:p>
        </w:tc>
        <w:tc>
          <w:tcPr>
            <w:tcW w:w="0" w:type="dxa"/>
            <w:vAlign w:val="bottom"/>
          </w:tcPr>
          <w:p>
            <w:pPr>
              <w:spacing w:after="0"/>
              <w:rPr>
                <w:sz w:val="1"/>
                <w:szCs w:val="1"/>
                <w:color w:val="auto"/>
              </w:rPr>
            </w:pP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activity:</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effect resulting from exchanges of Opco common units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19,063</w:t>
            </w:r>
          </w:p>
        </w:tc>
        <w:tc>
          <w:tcPr>
            <w:tcW w:w="0" w:type="dxa"/>
            <w:vAlign w:val="bottom"/>
          </w:tcPr>
          <w:p>
            <w:pPr>
              <w:spacing w:after="0"/>
              <w:rPr>
                <w:sz w:val="1"/>
                <w:szCs w:val="1"/>
                <w:color w:val="auto"/>
              </w:rPr>
            </w:pPr>
          </w:p>
        </w:tc>
      </w:tr>
      <w:tr>
        <w:trPr>
          <w:trHeight w:val="143"/>
        </w:trPr>
        <w:tc>
          <w:tcPr>
            <w:tcW w:w="8040" w:type="dxa"/>
            <w:vAlign w:val="bottom"/>
          </w:tcPr>
          <w:p>
            <w:pPr>
              <w:ind w:left="180"/>
              <w:spacing w:after="0" w:line="143" w:lineRule="exact"/>
              <w:rPr>
                <w:sz w:val="20"/>
                <w:szCs w:val="20"/>
                <w:color w:val="auto"/>
              </w:rPr>
            </w:pPr>
            <w:r>
              <w:rPr>
                <w:rFonts w:ascii="Arial" w:cs="Arial" w:eastAsia="Arial" w:hAnsi="Arial"/>
                <w:sz w:val="14"/>
                <w:szCs w:val="14"/>
                <w:color w:val="auto"/>
              </w:rPr>
              <w:t>Capitalized internal-use software development costs and other capital expenditures included in accounts payable and accrued</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Reconciliation of cash, cash equivalents, restricted cash, cash held in escrow and customer funds to consolidated balance sheets: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84,519</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126,751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24,858</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186"/>
        </w:trPr>
        <w:tc>
          <w:tcPr>
            <w:tcW w:w="8040" w:type="dxa"/>
            <w:vAlign w:val="bottom"/>
          </w:tcPr>
          <w:p>
            <w:pPr>
              <w:ind w:left="180"/>
              <w:spacing w:after="0"/>
              <w:rPr>
                <w:sz w:val="20"/>
                <w:szCs w:val="20"/>
                <w:color w:val="auto"/>
              </w:rPr>
            </w:pPr>
            <w:r>
              <w:rPr>
                <w:rFonts w:ascii="Arial" w:cs="Arial" w:eastAsia="Arial" w:hAnsi="Arial"/>
                <w:sz w:val="14"/>
                <w:szCs w:val="14"/>
                <w:color w:val="auto"/>
              </w:rPr>
              <w:t>Customer funds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cash equivalents, restricted cash, cash held in escrow and customer funds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109,912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143,857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0" w:lineRule="exact"/>
        <w:rPr>
          <w:sz w:val="20"/>
          <w:szCs w:val="20"/>
          <w:color w:val="auto"/>
        </w:rPr>
      </w:pPr>
    </w:p>
    <w:p>
      <w:pPr>
        <w:ind w:right="7720" w:firstLine="8"/>
        <w:spacing w:after="0" w:line="542" w:lineRule="auto"/>
        <w:tabs>
          <w:tab w:leader="none" w:pos="3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6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Unless the context otherwise provides, “we,” “us,” “our,” “Bakkt”, the “Company” and like terms refer to Bakkt Holdings, Inc. and its subsidiaries, including Opco.</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w:t>
      </w:r>
    </w:p>
    <w:p>
      <w:pPr>
        <w:spacing w:after="0" w:line="17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On April 1, 2023 we completed the acquisition of 100% of the ownership interests of Apex Crypto LLC ("Apex Crypto") and subsequently changed the name of the legal entity to Bakkt Crypto Solutions, LLC ("Bakkt Crypto").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or are working to provide, simplified solutions focused in the following areas: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Crypto</w:t>
      </w:r>
    </w:p>
    <w:p>
      <w:pPr>
        <w:spacing w:after="0" w:line="266" w:lineRule="exact"/>
        <w:rPr>
          <w:sz w:val="20"/>
          <w:szCs w:val="20"/>
          <w:color w:val="auto"/>
        </w:rPr>
      </w:pPr>
    </w:p>
    <w:p>
      <w:pPr>
        <w:jc w:val="both"/>
        <w:ind w:left="660" w:hanging="328"/>
        <w:spacing w:after="0" w:line="356" w:lineRule="auto"/>
        <w:tabs>
          <w:tab w:leader="none" w:pos="660" w:val="left"/>
        </w:tabs>
        <w:numPr>
          <w:ilvl w:val="0"/>
          <w:numId w:val="7"/>
        </w:numPr>
        <w:rPr>
          <w:rFonts w:ascii="Arial" w:cs="Arial" w:eastAsia="Arial" w:hAnsi="Arial"/>
          <w:sz w:val="16"/>
          <w:szCs w:val="16"/>
          <w:color w:val="0C0C0C"/>
        </w:rPr>
      </w:pPr>
      <w:r>
        <w:rPr>
          <w:rFonts w:ascii="Arial" w:cs="Arial" w:eastAsia="Arial" w:hAnsi="Arial"/>
          <w:sz w:val="16"/>
          <w:szCs w:val="16"/>
          <w:b w:val="1"/>
          <w:bCs w:val="1"/>
          <w:i w:val="1"/>
          <w:iCs w:val="1"/>
          <w:color w:val="0C0C0C"/>
        </w:rPr>
        <w:t xml:space="preserve">Custody: </w:t>
      </w:r>
      <w:r>
        <w:rPr>
          <w:rFonts w:ascii="Arial" w:cs="Arial" w:eastAsia="Arial" w:hAnsi="Arial"/>
          <w:sz w:val="16"/>
          <w:szCs w:val="16"/>
          <w:color w:val="0C0C0C"/>
        </w:rPr>
        <w:t>Our institutional-grade qualified custody solution caters to more experienced market participants and also supports our consumer-facing</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crypto business. This solution is provided by our subsidiary, Bakkt Trust Company LLC (“Bakkt Trust”), a limited purpose trust company that is supervised by the New York State Department of Financial Services (“NYDFS”) and governed by an independent Board of Managers.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0C0C0C"/>
        </w:rPr>
        <w:t xml:space="preserve">Crypto Trading: </w:t>
      </w:r>
      <w:r>
        <w:rPr>
          <w:rFonts w:ascii="Arial" w:cs="Arial" w:eastAsia="Arial" w:hAnsi="Arial"/>
          <w:sz w:val="18"/>
          <w:szCs w:val="18"/>
          <w:color w:val="000000"/>
        </w:rPr>
        <w:t>Bakkt Marketplace, LLC (“Bakkt Marketplace”), together with its wholly owned subsidiary Bakkt Crypto, operates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platforms</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that provides consumers with the ability to buy, sell and store crypto in a simple, intuitive digital experience accessed via application programming interfaces (“APIs”) or embedded web experience. We aim to enable businesses in various industries - such as fintechs, financial institutions and wallet providers - to provide their customers with the ability to transact in crypto directly in their trusted environments. W</w:t>
      </w:r>
      <w:r>
        <w:rPr>
          <w:rFonts w:ascii="Arial" w:cs="Arial" w:eastAsia="Arial" w:hAnsi="Arial"/>
          <w:sz w:val="18"/>
          <w:szCs w:val="18"/>
          <w:color w:val="000000"/>
        </w:rPr>
        <w:t>e currently facilitate</w:t>
      </w:r>
      <w:r>
        <w:rPr>
          <w:rFonts w:ascii="Arial" w:cs="Arial" w:eastAsia="Arial" w:hAnsi="Arial"/>
          <w:sz w:val="18"/>
          <w:szCs w:val="18"/>
          <w:color w:val="0C0C0C"/>
        </w:rPr>
        <w:t xml:space="preserve"> </w:t>
      </w:r>
      <w:r>
        <w:rPr>
          <w:rFonts w:ascii="Arial" w:cs="Arial" w:eastAsia="Arial" w:hAnsi="Arial"/>
          <w:sz w:val="18"/>
          <w:szCs w:val="18"/>
          <w:color w:val="000000"/>
        </w:rPr>
        <w:t>transactions in the crypto assets listed in the table below.</w:t>
      </w:r>
    </w:p>
    <w:p>
      <w:pPr>
        <w:spacing w:after="0" w:line="254" w:lineRule="exact"/>
        <w:rPr>
          <w:sz w:val="20"/>
          <w:szCs w:val="20"/>
          <w:color w:val="auto"/>
        </w:rPr>
      </w:pPr>
    </w:p>
    <w:tbl>
      <w:tblPr>
        <w:tblLayout w:type="fixed"/>
        <w:tblInd w:w="3570" w:type="dxa"/>
        <w:tblCellMar>
          <w:top w:w="0" w:type="dxa"/>
          <w:left w:w="0" w:type="dxa"/>
          <w:bottom w:w="0" w:type="dxa"/>
          <w:right w:w="0" w:type="dxa"/>
        </w:tblCellMar>
      </w:tblPr>
      <w:tr>
        <w:trPr>
          <w:trHeight w:val="275"/>
        </w:trPr>
        <w:tc>
          <w:tcPr>
            <w:tcW w:w="2500" w:type="dxa"/>
            <w:vAlign w:val="bottom"/>
            <w:tcBorders>
              <w:top w:val="single" w:sz="8" w:color="auto"/>
              <w:left w:val="single" w:sz="8" w:color="auto"/>
              <w:bottom w:val="single" w:sz="8" w:color="EEECE1"/>
              <w:right w:val="single" w:sz="8" w:color="auto"/>
            </w:tcBorders>
            <w:shd w:val="clear" w:color="auto" w:fill="EEECE1"/>
          </w:tcPr>
          <w:p>
            <w:pPr>
              <w:ind w:left="20"/>
              <w:spacing w:after="0"/>
              <w:rPr>
                <w:sz w:val="20"/>
                <w:szCs w:val="20"/>
                <w:color w:val="auto"/>
              </w:rPr>
            </w:pPr>
            <w:r>
              <w:rPr>
                <w:rFonts w:ascii="Arial" w:cs="Arial" w:eastAsia="Arial" w:hAnsi="Arial"/>
                <w:sz w:val="18"/>
                <w:szCs w:val="18"/>
                <w:color w:val="auto"/>
              </w:rPr>
              <w:t>Crypto Asset</w:t>
            </w:r>
          </w:p>
        </w:tc>
        <w:tc>
          <w:tcPr>
            <w:tcW w:w="1640" w:type="dxa"/>
            <w:vAlign w:val="bottom"/>
            <w:tcBorders>
              <w:top w:val="single" w:sz="8" w:color="auto"/>
              <w:bottom w:val="single" w:sz="8" w:color="EEECE1"/>
              <w:right w:val="single" w:sz="8" w:color="auto"/>
            </w:tcBorders>
            <w:shd w:val="clear" w:color="auto" w:fill="EEECE1"/>
          </w:tcPr>
          <w:p>
            <w:pPr>
              <w:ind w:left="20"/>
              <w:spacing w:after="0"/>
              <w:rPr>
                <w:sz w:val="20"/>
                <w:szCs w:val="20"/>
                <w:color w:val="auto"/>
              </w:rPr>
            </w:pPr>
            <w:r>
              <w:rPr>
                <w:rFonts w:ascii="Arial" w:cs="Arial" w:eastAsia="Arial" w:hAnsi="Arial"/>
                <w:sz w:val="18"/>
                <w:szCs w:val="18"/>
                <w:color w:val="auto"/>
              </w:rPr>
              <w:t>Symbol</w:t>
            </w:r>
          </w:p>
        </w:tc>
      </w:tr>
      <w:tr>
        <w:trPr>
          <w:trHeight w:val="230"/>
        </w:trPr>
        <w:tc>
          <w:tcPr>
            <w:tcW w:w="2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Bitcoin</w:t>
            </w:r>
          </w:p>
        </w:tc>
        <w:tc>
          <w:tcPr>
            <w:tcW w:w="1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BTC</w:t>
            </w:r>
          </w:p>
        </w:tc>
      </w:tr>
      <w:tr>
        <w:trPr>
          <w:trHeight w:val="230"/>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Bitcoin Cash</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BCH</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Dogecoin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DOGE</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Ether</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ETH</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Ether Classic</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ETC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Litecoin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Shiba Inu</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SHIB</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24"/>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USD Coin</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USDC</w:t>
            </w:r>
          </w:p>
        </w:tc>
      </w:tr>
      <w:tr>
        <w:trPr>
          <w:trHeight w:val="26"/>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jc w:val="both"/>
        <w:ind w:left="660" w:firstLine="648"/>
        <w:spacing w:after="0" w:line="303" w:lineRule="auto"/>
        <w:rPr>
          <w:sz w:val="20"/>
          <w:szCs w:val="20"/>
          <w:color w:val="auto"/>
        </w:rPr>
      </w:pPr>
      <w:r>
        <w:rPr>
          <w:rFonts w:ascii="Arial" w:cs="Arial" w:eastAsia="Arial" w:hAnsi="Arial"/>
          <w:sz w:val="18"/>
          <w:szCs w:val="18"/>
          <w:color w:val="auto"/>
        </w:rPr>
        <w:t>We also intend to expand our services to include crypto payouts and crypto rewards, as described in more detail below, and are evaluating opportunities to offer staking (only to customers in jurisdictions outside of the United States). Any new services offering will be subject to governance and regulatory approvals.</w:t>
      </w:r>
    </w:p>
    <w:p>
      <w:pPr>
        <w:spacing w:after="0" w:line="175" w:lineRule="exact"/>
        <w:rPr>
          <w:sz w:val="20"/>
          <w:szCs w:val="20"/>
          <w:color w:val="auto"/>
        </w:rPr>
      </w:pPr>
    </w:p>
    <w:p>
      <w:pPr>
        <w:ind w:left="1320" w:hanging="340"/>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0C0C0C"/>
        </w:rPr>
        <w:t xml:space="preserve">Bakkt Rewards: </w:t>
      </w:r>
      <w:r>
        <w:rPr>
          <w:rFonts w:ascii="Arial" w:cs="Arial" w:eastAsia="Arial" w:hAnsi="Arial"/>
          <w:sz w:val="16"/>
          <w:szCs w:val="16"/>
          <w:color w:val="0C0C0C"/>
        </w:rPr>
        <w:t>We are in the process of enabling customers of all sizes to offer loyalty and rewards to their customers in the form of</w:t>
      </w:r>
    </w:p>
    <w:p>
      <w:pPr>
        <w:spacing w:after="0" w:line="72" w:lineRule="exact"/>
        <w:rPr>
          <w:rFonts w:ascii="Arial" w:cs="Arial" w:eastAsia="Arial" w:hAnsi="Arial"/>
          <w:sz w:val="16"/>
          <w:szCs w:val="16"/>
          <w:color w:val="auto"/>
        </w:rPr>
      </w:pPr>
    </w:p>
    <w:p>
      <w:pPr>
        <w:jc w:val="both"/>
        <w:ind w:left="1300"/>
        <w:spacing w:after="0" w:line="303" w:lineRule="auto"/>
        <w:rPr>
          <w:rFonts w:ascii="Arial" w:cs="Arial" w:eastAsia="Arial" w:hAnsi="Arial"/>
          <w:sz w:val="16"/>
          <w:szCs w:val="16"/>
          <w:color w:val="auto"/>
        </w:rPr>
      </w:pPr>
      <w:r>
        <w:rPr>
          <w:rFonts w:ascii="Arial" w:cs="Arial" w:eastAsia="Arial" w:hAnsi="Arial"/>
          <w:sz w:val="18"/>
          <w:szCs w:val="18"/>
          <w:color w:val="0C0C0C"/>
        </w:rPr>
        <w:t xml:space="preserve">crypto – either by earning crypto rewards, or by redeeming existing reward currencies, such as points or miles, into crypto. </w:t>
      </w:r>
      <w:r>
        <w:rPr>
          <w:rFonts w:ascii="Arial" w:cs="Arial" w:eastAsia="Arial" w:hAnsi="Arial"/>
          <w:sz w:val="18"/>
          <w:szCs w:val="18"/>
          <w:color w:val="000000"/>
        </w:rPr>
        <w:t>The initial</w:t>
      </w:r>
      <w:r>
        <w:rPr>
          <w:rFonts w:ascii="Arial" w:cs="Arial" w:eastAsia="Arial" w:hAnsi="Arial"/>
          <w:sz w:val="18"/>
          <w:szCs w:val="18"/>
          <w:color w:val="0C0C0C"/>
        </w:rPr>
        <w:t xml:space="preserve"> </w:t>
      </w:r>
      <w:r>
        <w:rPr>
          <w:rFonts w:ascii="Arial" w:cs="Arial" w:eastAsia="Arial" w:hAnsi="Arial"/>
          <w:sz w:val="18"/>
          <w:szCs w:val="18"/>
          <w:color w:val="000000"/>
        </w:rPr>
        <w:t>solution will enable traditional loyalty points to be redeemed for bitcoin via enabled partners and a Bakkt-managed interface. This product has not been officially launched.</w:t>
      </w:r>
    </w:p>
    <w:p>
      <w:pPr>
        <w:spacing w:after="0" w:line="174" w:lineRule="exact"/>
        <w:rPr>
          <w:rFonts w:ascii="Arial" w:cs="Arial" w:eastAsia="Arial" w:hAnsi="Arial"/>
          <w:sz w:val="16"/>
          <w:szCs w:val="16"/>
          <w:color w:val="auto"/>
        </w:rPr>
      </w:pPr>
    </w:p>
    <w:p>
      <w:pPr>
        <w:ind w:left="1320" w:hanging="340"/>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0C0C0C"/>
        </w:rPr>
        <w:t xml:space="preserve">Bakkt Payouts: </w:t>
      </w:r>
      <w:r>
        <w:rPr>
          <w:rFonts w:ascii="Arial" w:cs="Arial" w:eastAsia="Arial" w:hAnsi="Arial"/>
          <w:sz w:val="16"/>
          <w:szCs w:val="16"/>
          <w:color w:val="000000"/>
        </w:rPr>
        <w:t>Subject to regulatory approval, we intend to launch a crypto payout service which will make the process of purchasing</w:t>
      </w:r>
    </w:p>
    <w:p>
      <w:pPr>
        <w:spacing w:after="0" w:line="72" w:lineRule="exact"/>
        <w:rPr>
          <w:rFonts w:ascii="Arial" w:cs="Arial" w:eastAsia="Arial" w:hAnsi="Arial"/>
          <w:sz w:val="16"/>
          <w:szCs w:val="16"/>
          <w:color w:val="auto"/>
        </w:rPr>
      </w:pPr>
    </w:p>
    <w:p>
      <w:pPr>
        <w:jc w:val="both"/>
        <w:ind w:left="1300"/>
        <w:spacing w:after="0" w:line="325" w:lineRule="auto"/>
        <w:rPr>
          <w:rFonts w:ascii="Arial" w:cs="Arial" w:eastAsia="Arial" w:hAnsi="Arial"/>
          <w:sz w:val="16"/>
          <w:szCs w:val="16"/>
          <w:color w:val="auto"/>
        </w:rPr>
      </w:pPr>
      <w:r>
        <w:rPr>
          <w:rFonts w:ascii="Arial" w:cs="Arial" w:eastAsia="Arial" w:hAnsi="Arial"/>
          <w:sz w:val="16"/>
          <w:szCs w:val="16"/>
          <w:color w:val="auto"/>
        </w:rPr>
        <w:t>supported crypto assets more convenient and automated. Users will be able to determine a portion of their earnings (wages, tips, winnings or otherwise) and set it to automatically purchase crypto assets, rather than manually transferring funds and then manually purchasing</w:t>
      </w:r>
    </w:p>
    <w:p>
      <w:pPr>
        <w:spacing w:after="0" w:line="1" w:lineRule="exact"/>
        <w:rPr>
          <w:rFonts w:ascii="Arial" w:cs="Arial" w:eastAsia="Arial" w:hAnsi="Arial"/>
          <w:sz w:val="16"/>
          <w:szCs w:val="16"/>
          <w:color w:val="auto"/>
        </w:rPr>
      </w:pPr>
    </w:p>
    <w:p>
      <w:pPr>
        <w:jc w:val="both"/>
        <w:ind w:left="1300"/>
        <w:spacing w:after="0" w:line="325" w:lineRule="auto"/>
        <w:rPr>
          <w:rFonts w:ascii="Arial" w:cs="Arial" w:eastAsia="Arial" w:hAnsi="Arial"/>
          <w:sz w:val="16"/>
          <w:szCs w:val="16"/>
          <w:color w:val="auto"/>
        </w:rPr>
      </w:pPr>
      <w:r>
        <w:rPr>
          <w:rFonts w:ascii="Arial" w:cs="Arial" w:eastAsia="Arial" w:hAnsi="Arial"/>
          <w:sz w:val="16"/>
          <w:szCs w:val="16"/>
          <w:color w:val="auto"/>
        </w:rPr>
        <w:t>selected crypto assets, reducing the number of steps involved for those that want to make regular purchases. This product is pending the approval of the New York State Department of Financial Services. In connection with Bakkt Payouts, Bakkt also intends to support</w:t>
      </w:r>
    </w:p>
    <w:p>
      <w:pPr>
        <w:spacing w:after="0" w:line="1" w:lineRule="exact"/>
        <w:rPr>
          <w:rFonts w:ascii="Arial" w:cs="Arial" w:eastAsia="Arial" w:hAnsi="Arial"/>
          <w:sz w:val="16"/>
          <w:szCs w:val="16"/>
          <w:color w:val="auto"/>
        </w:rPr>
      </w:pPr>
    </w:p>
    <w:p>
      <w:pPr>
        <w:ind w:left="1300"/>
        <w:spacing w:after="0" w:line="341" w:lineRule="auto"/>
        <w:rPr>
          <w:rFonts w:ascii="Arial" w:cs="Arial" w:eastAsia="Arial" w:hAnsi="Arial"/>
          <w:sz w:val="16"/>
          <w:szCs w:val="16"/>
          <w:color w:val="auto"/>
        </w:rPr>
      </w:pPr>
      <w:r>
        <w:rPr>
          <w:rFonts w:ascii="Arial" w:cs="Arial" w:eastAsia="Arial" w:hAnsi="Arial"/>
          <w:sz w:val="17"/>
          <w:szCs w:val="17"/>
          <w:color w:val="auto"/>
        </w:rPr>
        <w:t>scheduled automatic buys, commonly referred to as “Dollar Cost Averaging,” which will enable users to set a frequency and amount to schedule buys of crypto assets, enabling users to enter the market over time at different price points automatically.</w:t>
      </w:r>
    </w:p>
    <w:p>
      <w:pPr>
        <w:spacing w:after="0" w:line="160"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8"/>
          <w:szCs w:val="18"/>
          <w:color w:val="231F20"/>
        </w:rPr>
        <w:t xml:space="preserve">Bakkt Trust’s custody solution provides support to Bakkt Marketplace with respect to bitcoin and ether functionality. We </w:t>
      </w:r>
      <w:r>
        <w:rPr>
          <w:rFonts w:ascii="Arial" w:cs="Arial" w:eastAsia="Arial" w:hAnsi="Arial"/>
          <w:sz w:val="18"/>
          <w:szCs w:val="18"/>
          <w:color w:val="000000"/>
        </w:rPr>
        <w:t>intend to expand</w:t>
      </w:r>
      <w:r>
        <w:rPr>
          <w:rFonts w:ascii="Arial" w:cs="Arial" w:eastAsia="Arial" w:hAnsi="Arial"/>
          <w:sz w:val="18"/>
          <w:szCs w:val="18"/>
          <w:color w:val="231F20"/>
        </w:rPr>
        <w:t xml:space="preserve"> </w:t>
      </w:r>
      <w:r>
        <w:rPr>
          <w:rFonts w:ascii="Arial" w:cs="Arial" w:eastAsia="Arial" w:hAnsi="Arial"/>
          <w:sz w:val="18"/>
          <w:szCs w:val="18"/>
          <w:color w:val="000000"/>
        </w:rPr>
        <w:t xml:space="preserve">the list of crypto assets for which </w:t>
      </w:r>
      <w:r>
        <w:rPr>
          <w:rFonts w:ascii="Arial" w:cs="Arial" w:eastAsia="Arial" w:hAnsi="Arial"/>
          <w:sz w:val="18"/>
          <w:szCs w:val="18"/>
          <w:color w:val="231F20"/>
        </w:rPr>
        <w:t>Bakkt Trust</w:t>
      </w:r>
      <w:r>
        <w:rPr>
          <w:rFonts w:ascii="Arial" w:cs="Arial" w:eastAsia="Arial" w:hAnsi="Arial"/>
          <w:sz w:val="18"/>
          <w:szCs w:val="18"/>
          <w:color w:val="000000"/>
        </w:rPr>
        <w:t xml:space="preserve"> provides custody services to include more of the crypto assets which we support for trading, subject to governance and regulatory approvals. </w:t>
      </w:r>
      <w:r>
        <w:rPr>
          <w:rFonts w:ascii="Arial" w:cs="Arial" w:eastAsia="Arial" w:hAnsi="Arial"/>
          <w:sz w:val="18"/>
          <w:szCs w:val="18"/>
          <w:color w:val="231F20"/>
        </w:rPr>
        <w:t>In addition, Bakkt Crypto provides custodial services that support certain crypto tokens offered on the</w:t>
      </w:r>
      <w:r>
        <w:rPr>
          <w:rFonts w:ascii="Arial" w:cs="Arial" w:eastAsia="Arial" w:hAnsi="Arial"/>
          <w:sz w:val="18"/>
          <w:szCs w:val="18"/>
          <w:color w:val="000000"/>
        </w:rPr>
        <w:t xml:space="preserve"> </w:t>
      </w:r>
      <w:r>
        <w:rPr>
          <w:rFonts w:ascii="Arial" w:cs="Arial" w:eastAsia="Arial" w:hAnsi="Arial"/>
          <w:sz w:val="18"/>
          <w:szCs w:val="18"/>
          <w:color w:val="231F20"/>
        </w:rPr>
        <w:t>consumer platform. Additionally, Bakkt Trust operates, in conjunction with Intercontinental Exchange, Inc. ("ICE"), regulated infrastructure for trading, clearing, and custody services for physically-delivered bitcoin futures (</w:t>
      </w:r>
      <w:r>
        <w:rPr>
          <w:rFonts w:ascii="Arial" w:cs="Arial" w:eastAsia="Arial" w:hAnsi="Arial"/>
          <w:sz w:val="18"/>
          <w:szCs w:val="18"/>
          <w:i w:val="1"/>
          <w:iCs w:val="1"/>
          <w:color w:val="231F20"/>
        </w:rPr>
        <w:t>See Note 8 "Related Parties" below for a description of a recent</w:t>
      </w:r>
      <w:r>
        <w:rPr>
          <w:rFonts w:ascii="Arial" w:cs="Arial" w:eastAsia="Arial" w:hAnsi="Arial"/>
          <w:sz w:val="18"/>
          <w:szCs w:val="18"/>
          <w:color w:val="231F20"/>
        </w:rPr>
        <w:t xml:space="preserve"> </w:t>
      </w:r>
      <w:r>
        <w:rPr>
          <w:rFonts w:ascii="Arial" w:cs="Arial" w:eastAsia="Arial" w:hAnsi="Arial"/>
          <w:sz w:val="18"/>
          <w:szCs w:val="18"/>
          <w:i w:val="1"/>
          <w:iCs w:val="1"/>
          <w:color w:val="231F20"/>
        </w:rPr>
        <w:t>delisting of some Bakkt Bitcoin futures and option contracts by IFUS</w:t>
      </w:r>
      <w:r>
        <w:rPr>
          <w:rFonts w:ascii="Arial" w:cs="Arial" w:eastAsia="Arial" w:hAnsi="Arial"/>
          <w:sz w:val="18"/>
          <w:szCs w:val="18"/>
          <w:color w:val="231F20"/>
        </w:rPr>
        <w:t>). Bakkt Marketplace holds a New York State virtual currency license</w:t>
      </w:r>
      <w:r>
        <w:rPr>
          <w:rFonts w:ascii="Arial" w:cs="Arial" w:eastAsia="Arial" w:hAnsi="Arial"/>
          <w:sz w:val="18"/>
          <w:szCs w:val="18"/>
          <w:i w:val="1"/>
          <w:iCs w:val="1"/>
          <w:color w:val="231F20"/>
        </w:rPr>
        <w:t xml:space="preserve"> </w:t>
      </w:r>
      <w:r>
        <w:rPr>
          <w:rFonts w:ascii="Arial" w:cs="Arial" w:eastAsia="Arial" w:hAnsi="Arial"/>
          <w:sz w:val="18"/>
          <w:szCs w:val="18"/>
          <w:color w:val="231F20"/>
        </w:rPr>
        <w:t>(commonly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 Bakkt Crypto similarly holds a BitLicense and money transmitter licenses in various states, where its business requires.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Loyalty</w:t>
      </w:r>
    </w:p>
    <w:p>
      <w:pPr>
        <w:spacing w:after="0" w:line="239" w:lineRule="exact"/>
        <w:rPr>
          <w:sz w:val="20"/>
          <w:szCs w:val="20"/>
          <w:color w:val="auto"/>
        </w:rPr>
      </w:pPr>
    </w:p>
    <w:p>
      <w:pPr>
        <w:ind w:left="660" w:hanging="328"/>
        <w:spacing w:after="0"/>
        <w:tabs>
          <w:tab w:leader="none" w:pos="660" w:val="left"/>
        </w:tabs>
        <w:numPr>
          <w:ilvl w:val="1"/>
          <w:numId w:val="10"/>
        </w:numPr>
        <w:rPr>
          <w:rFonts w:ascii="Arial" w:cs="Arial" w:eastAsia="Arial" w:hAnsi="Arial"/>
          <w:sz w:val="18"/>
          <w:szCs w:val="18"/>
          <w:color w:val="0C0C0C"/>
        </w:rPr>
      </w:pPr>
      <w:r>
        <w:rPr>
          <w:rFonts w:ascii="Arial" w:cs="Arial" w:eastAsia="Arial" w:hAnsi="Arial"/>
          <w:sz w:val="16"/>
          <w:szCs w:val="16"/>
          <w:color w:val="0C0C0C"/>
        </w:rPr>
        <w:t>We offer a full spectrum of content that our clients can make available to their customers when redeeming loyalty currencies. Our redemption</w:t>
      </w:r>
    </w:p>
    <w:p>
      <w:pPr>
        <w:spacing w:after="0" w:line="49" w:lineRule="exact"/>
        <w:rPr>
          <w:rFonts w:ascii="Arial" w:cs="Arial" w:eastAsia="Arial" w:hAnsi="Arial"/>
          <w:sz w:val="18"/>
          <w:szCs w:val="18"/>
          <w:color w:val="0C0C0C"/>
        </w:rPr>
      </w:pPr>
    </w:p>
    <w:p>
      <w:pPr>
        <w:jc w:val="both"/>
        <w:ind w:left="660"/>
        <w:spacing w:after="0" w:line="325" w:lineRule="auto"/>
        <w:rPr>
          <w:rFonts w:ascii="Arial" w:cs="Arial" w:eastAsia="Arial" w:hAnsi="Arial"/>
          <w:sz w:val="18"/>
          <w:szCs w:val="18"/>
          <w:color w:val="0C0C0C"/>
        </w:rPr>
      </w:pPr>
      <w:r>
        <w:rPr>
          <w:rFonts w:ascii="Arial" w:cs="Arial" w:eastAsia="Arial" w:hAnsi="Arial"/>
          <w:sz w:val="16"/>
          <w:szCs w:val="16"/>
          <w:color w:val="0C0C0C"/>
        </w:rPr>
        <w:t>solutions span a variety of rewards categories including merchandise (such as Apple products and services), gift cards and digital experiences. Our travel solution offers a retail e-commerce booking platform, as well as live-agent booking and servicing. Our platform provides a unified shopping</w:t>
      </w:r>
    </w:p>
    <w:p>
      <w:pPr>
        <w:spacing w:after="0" w:line="1" w:lineRule="exact"/>
        <w:rPr>
          <w:rFonts w:ascii="Arial" w:cs="Arial" w:eastAsia="Arial" w:hAnsi="Arial"/>
          <w:sz w:val="18"/>
          <w:szCs w:val="18"/>
          <w:color w:val="0C0C0C"/>
        </w:rPr>
      </w:pPr>
    </w:p>
    <w:p>
      <w:pPr>
        <w:jc w:val="both"/>
        <w:ind w:left="660"/>
        <w:spacing w:after="0" w:line="303" w:lineRule="auto"/>
        <w:rPr>
          <w:rFonts w:ascii="Arial" w:cs="Arial" w:eastAsia="Arial" w:hAnsi="Arial"/>
          <w:sz w:val="18"/>
          <w:szCs w:val="18"/>
          <w:color w:val="0C0C0C"/>
        </w:rPr>
      </w:pPr>
      <w:r>
        <w:rPr>
          <w:rFonts w:ascii="Arial" w:cs="Arial" w:eastAsia="Arial" w:hAnsi="Arial"/>
          <w:sz w:val="18"/>
          <w:szCs w:val="18"/>
          <w:color w:val="0C0C0C"/>
        </w:rPr>
        <w:t>experience that is configurable for our clients and their loyalty programs. Capabilities include a mobile-first user experience, a multi-tier construct to accommodate loyalty tiers, comprehensive fraud protection capabilities and a split-tender payments platform to accept both points and credit cards as a form of payment.</w:t>
      </w:r>
    </w:p>
    <w:p>
      <w:pPr>
        <w:spacing w:after="0" w:line="184" w:lineRule="exact"/>
        <w:rPr>
          <w:rFonts w:ascii="Arial" w:cs="Arial" w:eastAsia="Arial" w:hAnsi="Arial"/>
          <w:sz w:val="18"/>
          <w:szCs w:val="18"/>
          <w:color w:val="0C0C0C"/>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accounting policies are as set forth in the notes to our Annual Report on Form 10-K for the year ended December 31, 2022 (our "Form 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The interim results for the six months ended June 30, 2023 are not necessarily indicative of the results that may be expected for the year ending December 31, 2023, or for any other future annual or interim period. These consolidated financial statements should be read in conjunction with the Company’s audited financial statements and accompanying notes thereto included in our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Crypto Revenue Recognition</w:t>
      </w:r>
    </w:p>
    <w:p>
      <w:pPr>
        <w:spacing w:after="0" w:line="27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carry a single performance obligation which is execution of the trade. We own the crypto as it crosses our platform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three or six months ended June 30, 2023.</w:t>
      </w:r>
    </w:p>
    <w:p>
      <w:pPr>
        <w:spacing w:after="0" w:line="17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Judgment is required in determining whether the Company is the principal or the agent in our contracts with customers. We have determined that we are the principal in transactions with customers as we control the crypto prior to its delivery to the customer and we are primarily responsible for the delivery of the crypto to the customer. Accordingly revenue and costs associated with Bakkt Crypto's services is presented gross in our consolidated statement of operations.</w:t>
      </w:r>
    </w:p>
    <w:p>
      <w:pPr>
        <w:spacing w:after="0" w:line="194"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For the six months ended June 30, 2023, there were no significant changes to the recently adopted accounting pronouncements applicable to us from those disclosed in Note 2 to the consolidated financial statements included in our Form 10-K.</w:t>
      </w:r>
    </w:p>
    <w:p>
      <w:pPr>
        <w:spacing w:after="0" w:line="15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disaggregate revenue by service type and by platform, respectively,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Three Months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0"/>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Service Type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3"/>
              </w:rPr>
              <w:t>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0"/>
              </w:rPr>
              <w:t>June 30, 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Transaction revenue</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Subscription and service revenue</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59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net of rebates and incentive payments of less than $0.1 million for both the three and six months ended June 30, 2023, respectively, and</w:t>
      </w:r>
    </w:p>
    <w:p>
      <w:pPr>
        <w:spacing w:after="0" w:line="72" w:lineRule="exact"/>
        <w:rPr>
          <w:rFonts w:ascii="Arial" w:cs="Arial" w:eastAsia="Arial" w:hAnsi="Arial"/>
          <w:sz w:val="16"/>
          <w:szCs w:val="16"/>
          <w:color w:val="auto"/>
        </w:rPr>
      </w:pPr>
    </w:p>
    <w:p>
      <w:pPr>
        <w:ind w:left="340"/>
        <w:spacing w:after="0" w:line="341" w:lineRule="auto"/>
        <w:rPr>
          <w:rFonts w:ascii="Arial" w:cs="Arial" w:eastAsia="Arial" w:hAnsi="Arial"/>
          <w:sz w:val="16"/>
          <w:szCs w:val="16"/>
          <w:color w:val="auto"/>
        </w:rPr>
      </w:pPr>
      <w:r>
        <w:rPr>
          <w:rFonts w:ascii="Arial" w:cs="Arial" w:eastAsia="Arial" w:hAnsi="Arial"/>
          <w:sz w:val="17"/>
          <w:szCs w:val="17"/>
          <w:color w:val="auto"/>
        </w:rPr>
        <w:t>$0.1 million and $0.4 million for the three and six months ended June 30, 2022, respectively. Included in these amounts are amounts earned from related parties of less than $0.1 million for both the three and six months ended June 30, 2023 and June 30, 2022,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Three Months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0"/>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162"/>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Platform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3"/>
              </w:rPr>
              <w:t>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0"/>
              </w:rPr>
              <w:t>June 30, 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redemption platform</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Crypto services</w:t>
            </w:r>
            <w:r>
              <w:rPr>
                <w:rFonts w:ascii="Arial" w:cs="Arial" w:eastAsia="Arial" w:hAnsi="Arial"/>
                <w:sz w:val="23"/>
                <w:szCs w:val="23"/>
                <w:color w:val="auto"/>
                <w:vertAlign w:val="superscript"/>
              </w:rPr>
              <w:t>(b)</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335,333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335,776</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are net of rebates and incentive payments of less than $0.1 million for both the three and six months ended June 30, 2023, respectively, and</w:t>
      </w:r>
    </w:p>
    <w:p>
      <w:pPr>
        <w:spacing w:after="0" w:line="72" w:lineRule="exact"/>
        <w:rPr>
          <w:rFonts w:ascii="Arial" w:cs="Arial" w:eastAsia="Arial" w:hAnsi="Arial"/>
          <w:sz w:val="16"/>
          <w:szCs w:val="16"/>
          <w:color w:val="auto"/>
        </w:rPr>
      </w:pPr>
    </w:p>
    <w:p>
      <w:pPr>
        <w:ind w:left="340"/>
        <w:spacing w:after="0" w:line="341" w:lineRule="auto"/>
        <w:rPr>
          <w:rFonts w:ascii="Arial" w:cs="Arial" w:eastAsia="Arial" w:hAnsi="Arial"/>
          <w:sz w:val="16"/>
          <w:szCs w:val="16"/>
          <w:color w:val="auto"/>
        </w:rPr>
      </w:pPr>
      <w:r>
        <w:rPr>
          <w:rFonts w:ascii="Arial" w:cs="Arial" w:eastAsia="Arial" w:hAnsi="Arial"/>
          <w:sz w:val="17"/>
          <w:szCs w:val="17"/>
          <w:color w:val="auto"/>
        </w:rPr>
        <w:t>$0.1 million and $0.4 million for the three and six months ended June 30, 2022, respectively. Included in these amounts are amounts earned from related parties of less than $0.1 million for both the three and six months ended June 30, 2023 and June 30, 2022, respectively.</w:t>
      </w:r>
    </w:p>
    <w:p>
      <w:pPr>
        <w:spacing w:after="0" w:line="1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recognized revenue from foreign jurisdictions of $0.8 million and $1.7 million for the three and six months ended June 30, 2023, respectively, and $0.8 million and $1.9 million for the three and six months ended June 30, 2022,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reportable segment to which our revenues relate.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6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Contract liabilities consist of deferred revenue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six months ended June 30, 2023 and June 30, 2022, respectively,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138430</wp:posOffset>
            </wp:positionV>
            <wp:extent cx="24345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31"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June 30, 2023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June 30, 2022</w:t>
      </w:r>
    </w:p>
    <w:p>
      <w:pPr>
        <w:spacing w:after="0" w:line="8" w:lineRule="exact"/>
        <w:rPr>
          <w:sz w:val="20"/>
          <w:szCs w:val="20"/>
          <w:color w:val="auto"/>
        </w:rPr>
      </w:pPr>
    </w:p>
    <w:p>
      <w:pPr>
        <w:sectPr>
          <w:pgSz w:w="11900" w:h="16838" w:orient="portrait"/>
          <w:cols w:equalWidth="0" w:num="2">
            <w:col w:w="8980" w:space="700"/>
            <w:col w:w="156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 contract liability</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7,084</w:t>
            </w:r>
          </w:p>
        </w:tc>
        <w:tc>
          <w:tcPr>
            <w:tcW w:w="120" w:type="dxa"/>
            <w:vAlign w:val="bottom"/>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9,448</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 included in the beginning balance</w:t>
            </w:r>
          </w:p>
        </w:tc>
        <w:tc>
          <w:tcPr>
            <w:tcW w:w="720" w:type="dxa"/>
            <w:vAlign w:val="bottom"/>
          </w:tcPr>
          <w:p>
            <w:pPr>
              <w:spacing w:after="0"/>
              <w:rPr>
                <w:sz w:val="20"/>
                <w:szCs w:val="20"/>
                <w:color w:val="auto"/>
              </w:rPr>
            </w:pPr>
          </w:p>
        </w:tc>
        <w:tc>
          <w:tcPr>
            <w:tcW w:w="1140" w:type="dxa"/>
            <w:vAlign w:val="bottom"/>
          </w:tcPr>
          <w:p>
            <w:pPr>
              <w:jc w:val="center"/>
              <w:ind w:left="490"/>
              <w:spacing w:after="0"/>
              <w:rPr>
                <w:sz w:val="20"/>
                <w:szCs w:val="20"/>
                <w:color w:val="auto"/>
              </w:rPr>
            </w:pPr>
            <w:r>
              <w:rPr>
                <w:rFonts w:ascii="Arial" w:cs="Arial" w:eastAsia="Arial" w:hAnsi="Arial"/>
                <w:sz w:val="18"/>
                <w:szCs w:val="18"/>
                <w:color w:val="auto"/>
                <w:w w:val="91"/>
              </w:rPr>
              <w:t>(2,121)</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center"/>
              <w:ind w:left="490"/>
              <w:spacing w:after="0"/>
              <w:rPr>
                <w:sz w:val="20"/>
                <w:szCs w:val="20"/>
                <w:color w:val="auto"/>
              </w:rPr>
            </w:pPr>
            <w:r>
              <w:rPr>
                <w:rFonts w:ascii="Arial" w:cs="Arial" w:eastAsia="Arial" w:hAnsi="Arial"/>
                <w:sz w:val="18"/>
                <w:szCs w:val="18"/>
                <w:color w:val="auto"/>
                <w:w w:val="94"/>
              </w:rPr>
              <w:t>(2,542)</w:t>
            </w:r>
          </w:p>
        </w:tc>
      </w:tr>
      <w:tr>
        <w:trPr>
          <w:trHeight w:val="23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due to cash received, net of amounts recognized in revenue during the period</w:t>
            </w: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1,026</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End of the period contract liability</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510"/>
              <w:spacing w:after="0"/>
              <w:rPr>
                <w:sz w:val="20"/>
                <w:szCs w:val="20"/>
                <w:color w:val="auto"/>
              </w:rPr>
            </w:pPr>
            <w:r>
              <w:rPr>
                <w:rFonts w:ascii="Arial" w:cs="Arial" w:eastAsia="Arial" w:hAnsi="Arial"/>
                <w:sz w:val="18"/>
                <w:szCs w:val="18"/>
                <w:color w:val="auto"/>
                <w:w w:val="93"/>
              </w:rPr>
              <w:t>6,264</w:t>
            </w:r>
          </w:p>
        </w:tc>
        <w:tc>
          <w:tcPr>
            <w:tcW w:w="8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510"/>
              <w:spacing w:after="0"/>
              <w:rPr>
                <w:sz w:val="20"/>
                <w:szCs w:val="20"/>
                <w:color w:val="auto"/>
              </w:rPr>
            </w:pPr>
            <w:r>
              <w:rPr>
                <w:rFonts w:ascii="Arial" w:cs="Arial" w:eastAsia="Arial" w:hAnsi="Arial"/>
                <w:sz w:val="18"/>
                <w:szCs w:val="18"/>
                <w:color w:val="auto"/>
                <w:w w:val="88"/>
              </w:rPr>
              <w:t>7,932</w:t>
            </w:r>
          </w:p>
        </w:tc>
      </w:tr>
      <w:tr>
        <w:trPr>
          <w:trHeight w:val="20"/>
        </w:trPr>
        <w:tc>
          <w:tcPr>
            <w:tcW w:w="7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June 30, 2023, the aggregate amount of the transaction price allocated to the remaining performance obligations related to partially completed contracts is $22.2 million, comprised of $15.6 million of subscription fees and $6.6 million of service fees that are deferred. We recognize our subscription fees as revenue over a weighted-average period of 30 months (ranges from 4 months – 39 months) and our service fees as revenue over approximately 15 months.</w:t>
      </w:r>
    </w:p>
    <w:p>
      <w:pPr>
        <w:spacing w:after="0" w:line="19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June 30, 2022, the aggregate amount of the transaction price allocated to the remaining performance obligations related to partially completed contracts is $23.9 million, comprised of $16.0 million of subscription fees and $7.9 million of service fees that are deferred. We recognize our subscription fees as revenue over a weighted-average period of 41 months (ranges from 2 months – 51 months) and our service fees as revenue over approximately 24 months.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66"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For the three and six months ended June 30, 2023 and June 30, 2022, we incurred no incremental costs to obtain and/or fulfill contracts with customers.</w:t>
      </w:r>
    </w:p>
    <w:p>
      <w:pPr>
        <w:spacing w:after="0" w:line="18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Asset Acquisition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Apex Crypto</w:t>
      </w:r>
    </w:p>
    <w:p>
      <w:pPr>
        <w:spacing w:after="0" w:line="266"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$9.1 million in Class A common stock payable based on Apex Crypto’s performance in the fourth quarter of 2022, and $12.2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 The Company’s evaluation of the fair value of the contingent consideration and of the assets acquired and the liabilities assumed is preliminary. Accordingly, the adjustments to record the assets acquired and the liabilities assumed at fair value reflect the best estimates of the Company based on the information currently available and are subject to change once additional analyses are completed.</w:t>
      </w:r>
    </w:p>
    <w:p>
      <w:pPr>
        <w:spacing w:after="0" w:line="15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is a preliminary reconciliation of the fair value of consideration transferred in the acquisition to the fair value of the assets acquired and liabilities assumed.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tcPr>
          <w:p>
            <w:pPr>
              <w:ind w:left="20"/>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consideration paid</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7"/>
        </w:trPr>
        <w:tc>
          <w:tcPr>
            <w:tcW w:w="9760" w:type="dxa"/>
            <w:vAlign w:val="bottom"/>
          </w:tcPr>
          <w:p>
            <w:pPr>
              <w:ind w:left="240"/>
              <w:spacing w:after="0"/>
              <w:rPr>
                <w:sz w:val="20"/>
                <w:szCs w:val="20"/>
                <w:color w:val="auto"/>
              </w:rPr>
            </w:pPr>
            <w:r>
              <w:rPr>
                <w:rFonts w:ascii="Arial" w:cs="Arial" w:eastAsia="Arial" w:hAnsi="Arial"/>
                <w:sz w:val="18"/>
                <w:szCs w:val="18"/>
                <w:color w:val="auto"/>
              </w:rPr>
              <w:t>Cash paid for working capital and cash</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6"/>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 at transaction close</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Estimated fair value of Class A common stock contingent consideration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3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Safeguarding asset for crypto</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r>
      <w:tr>
        <w:trPr>
          <w:trHeight w:val="237"/>
        </w:trPr>
        <w:tc>
          <w:tcPr>
            <w:tcW w:w="9760" w:type="dxa"/>
            <w:vAlign w:val="bottom"/>
          </w:tcPr>
          <w:p>
            <w:pPr>
              <w:ind w:left="240"/>
              <w:spacing w:after="0"/>
              <w:rPr>
                <w:sz w:val="20"/>
                <w:szCs w:val="20"/>
                <w:color w:val="auto"/>
              </w:rPr>
            </w:pPr>
            <w:r>
              <w:rPr>
                <w:rFonts w:ascii="Arial" w:cs="Arial" w:eastAsia="Arial" w:hAnsi="Arial"/>
                <w:sz w:val="18"/>
                <w:szCs w:val="18"/>
                <w:color w:val="auto"/>
              </w:rPr>
              <w:t>Property, equipment and software, net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6"/>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assets</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Intangible assets - developed technology</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 customer relationships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760" w:type="dxa"/>
            <w:vAlign w:val="bottom"/>
          </w:tcPr>
          <w:p>
            <w:pPr>
              <w:ind w:left="2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9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9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Safeguarding obligation for crypto</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r>
    </w:tbl>
    <w:p>
      <w:pPr>
        <w:spacing w:after="0" w:line="31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above fair values are as of the acquisition date. The acquired intangible assets and goodwill required the use of significant unobservable inputs including partner activation forecasts, expectations about customer trading volume and frequency, customer attrition rates, and estimated useful lives of acquired technology and discount rates.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The common stock contingent consideration was valued using a monte carlo model. Other assets and liabilities were carried over at their acquired costs which was not materially different than their fair values.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contingent consideration payable to Apex Crypto's former owners based on the performance of the business in the 2023-2025 annual periods was estimated using a Monte Carlo model given the range of possible outcomes.</w:t>
      </w:r>
    </w:p>
    <w:p>
      <w:pPr>
        <w:spacing w:after="0" w:line="15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Revenue and net loss generated by Apex Crypto for the three months ended June 30, 2023 was $335.2 million and $8.6 million, respectively, and is included in the Company's statements of operations.</w:t>
      </w:r>
    </w:p>
    <w:p>
      <w:pPr>
        <w:spacing w:after="0" w:line="15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six months ended June 30, 2023 would be $806.0 million. Proforma revenue for the three and six months ended June 30, 2022 would be $890.6 million and $2,199.4 million, respectively. Proforma net loss for the six months ended June 30, 2023 would be $86.1 million. Proforma net loss for the three and six months ended June 30, 2022 would be $37.0 million and $81.1 million,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the acquisition, we changed the name of Apex Crypto to Bakkt Crypto Solutions, LLC ("Bakkt Crypto").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Bumped Financial, LLC</w:t>
      </w:r>
    </w:p>
    <w:p>
      <w:pPr>
        <w:spacing w:after="0" w:line="25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On February 8, 2023, we acquired 100% of the units of Bumped Financial, LLC, which we subsequently renamed Bakkt Brokerage, LLC ("Bakkt Brokerage"), a broker-dealer registered with the SEC and the Financial Industry Regulatory Authority, Inc., for cash consideration of $631,000.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17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goodwill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Apex acquisition</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1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ind w:left="660"/>
              <w:spacing w:after="0"/>
              <w:rPr>
                <w:sz w:val="20"/>
                <w:szCs w:val="20"/>
                <w:color w:val="auto"/>
              </w:rPr>
            </w:pPr>
            <w:r>
              <w:rPr>
                <w:rFonts w:ascii="Arial" w:cs="Arial" w:eastAsia="Arial" w:hAnsi="Arial"/>
                <w:sz w:val="18"/>
                <w:szCs w:val="18"/>
                <w:color w:val="auto"/>
                <w:w w:val="92"/>
              </w:rPr>
              <w:t>No goodwill impairment charges have been recognized in the periods presented.</w:t>
            </w: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20" w:type="dxa"/>
            <w:vAlign w:val="bottom"/>
          </w:tcPr>
          <w:p>
            <w:pPr>
              <w:ind w:left="660"/>
              <w:spacing w:after="0"/>
              <w:rPr>
                <w:sz w:val="20"/>
                <w:szCs w:val="20"/>
                <w:color w:val="auto"/>
              </w:rPr>
            </w:pPr>
            <w:r>
              <w:rPr>
                <w:rFonts w:ascii="Arial" w:cs="Arial" w:eastAsia="Arial" w:hAnsi="Arial"/>
                <w:sz w:val="18"/>
                <w:szCs w:val="18"/>
                <w:color w:val="auto"/>
                <w:w w:val="93"/>
              </w:rPr>
              <w:t>Intangible assets consisted of the following (in thousands):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0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993"/>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580" w:type="dxa"/>
            <w:vAlign w:val="bottom"/>
          </w:tcPr>
          <w:p>
            <w:pPr>
              <w:jc w:val="center"/>
              <w:ind w:right="13"/>
              <w:spacing w:after="0" w:line="155" w:lineRule="exact"/>
              <w:rPr>
                <w:sz w:val="20"/>
                <w:szCs w:val="20"/>
                <w:color w:val="auto"/>
              </w:rPr>
            </w:pPr>
            <w:r>
              <w:rPr>
                <w:rFonts w:ascii="Arial" w:cs="Arial" w:eastAsia="Arial" w:hAnsi="Arial"/>
                <w:sz w:val="16"/>
                <w:szCs w:val="16"/>
                <w:b w:val="1"/>
                <w:bCs w:val="1"/>
                <w:color w:val="auto"/>
                <w:w w:val="88"/>
              </w:rPr>
              <w:t>Weighted Average</w:t>
            </w:r>
          </w:p>
        </w:tc>
        <w:tc>
          <w:tcPr>
            <w:tcW w:w="140" w:type="dxa"/>
            <w:vAlign w:val="bottom"/>
          </w:tcPr>
          <w:p>
            <w:pPr>
              <w:spacing w:after="0"/>
              <w:rPr>
                <w:sz w:val="13"/>
                <w:szCs w:val="13"/>
                <w:color w:val="auto"/>
              </w:rPr>
            </w:pPr>
          </w:p>
        </w:tc>
        <w:tc>
          <w:tcPr>
            <w:tcW w:w="136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w w:val="96"/>
              </w:rPr>
              <w:t>Gross Carrying</w:t>
            </w:r>
          </w:p>
        </w:tc>
        <w:tc>
          <w:tcPr>
            <w:tcW w:w="260" w:type="dxa"/>
            <w:vAlign w:val="bottom"/>
          </w:tcPr>
          <w:p>
            <w:pPr>
              <w:spacing w:after="0"/>
              <w:rPr>
                <w:sz w:val="13"/>
                <w:szCs w:val="13"/>
                <w:color w:val="auto"/>
              </w:rPr>
            </w:pPr>
          </w:p>
        </w:tc>
        <w:tc>
          <w:tcPr>
            <w:tcW w:w="13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w w:val="99"/>
              </w:rPr>
              <w:t>Accumulated</w:t>
            </w:r>
          </w:p>
        </w:tc>
        <w:tc>
          <w:tcPr>
            <w:tcW w:w="220" w:type="dxa"/>
            <w:vAlign w:val="bottom"/>
          </w:tcPr>
          <w:p>
            <w:pPr>
              <w:spacing w:after="0"/>
              <w:rPr>
                <w:sz w:val="13"/>
                <w:szCs w:val="13"/>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4"/>
              </w:rPr>
              <w:t>Useful Life (in</w:t>
            </w:r>
          </w:p>
        </w:tc>
        <w:tc>
          <w:tcPr>
            <w:tcW w:w="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580" w:type="dxa"/>
            <w:vAlign w:val="bottom"/>
          </w:tcPr>
          <w:p>
            <w:pPr>
              <w:jc w:val="center"/>
              <w:ind w:right="13"/>
              <w:spacing w:after="0"/>
              <w:rPr>
                <w:sz w:val="20"/>
                <w:szCs w:val="20"/>
                <w:color w:val="auto"/>
              </w:rPr>
            </w:pPr>
            <w:r>
              <w:rPr>
                <w:rFonts w:ascii="Arial" w:cs="Arial" w:eastAsia="Arial" w:hAnsi="Arial"/>
                <w:sz w:val="16"/>
                <w:szCs w:val="16"/>
                <w:b w:val="1"/>
                <w:bCs w:val="1"/>
                <w:color w:val="auto"/>
                <w:w w:val="93"/>
              </w:rPr>
              <w:t>years)</w:t>
            </w:r>
          </w:p>
        </w:tc>
        <w:tc>
          <w:tcPr>
            <w:tcW w:w="140" w:type="dxa"/>
            <w:vAlign w:val="bottom"/>
          </w:tcPr>
          <w:p>
            <w:pPr>
              <w:spacing w:after="0"/>
              <w:rPr>
                <w:sz w:val="18"/>
                <w:szCs w:val="18"/>
                <w:color w:val="auto"/>
              </w:rPr>
            </w:pPr>
          </w:p>
        </w:tc>
        <w:tc>
          <w:tcPr>
            <w:tcW w:w="1360" w:type="dxa"/>
            <w:vAlign w:val="bottom"/>
          </w:tcPr>
          <w:p>
            <w:pPr>
              <w:jc w:val="right"/>
              <w:ind w:right="392"/>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1380" w:type="dxa"/>
            <w:vAlign w:val="bottom"/>
          </w:tcPr>
          <w:p>
            <w:pPr>
              <w:jc w:val="right"/>
              <w:ind w:right="273"/>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280" w:type="dxa"/>
            <w:vAlign w:val="bottom"/>
          </w:tcPr>
          <w:p>
            <w:pPr>
              <w:jc w:val="right"/>
              <w:ind w:right="37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8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80" w:type="dxa"/>
            <w:vAlign w:val="bottom"/>
          </w:tcPr>
          <w:p>
            <w:pPr>
              <w:jc w:val="center"/>
              <w:ind w:right="33"/>
              <w:spacing w:after="0"/>
              <w:rPr>
                <w:sz w:val="20"/>
                <w:szCs w:val="20"/>
                <w:color w:val="auto"/>
              </w:rPr>
            </w:pPr>
            <w:r>
              <w:rPr>
                <w:rFonts w:ascii="Arial" w:cs="Arial" w:eastAsia="Arial" w:hAnsi="Arial"/>
                <w:sz w:val="18"/>
                <w:szCs w:val="18"/>
                <w:color w:val="auto"/>
                <w:w w:val="95"/>
              </w:rPr>
              <w:t>Indefinite</w:t>
            </w:r>
          </w:p>
        </w:tc>
        <w:tc>
          <w:tcPr>
            <w:tcW w:w="1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8,000</w:t>
            </w:r>
          </w:p>
        </w:tc>
        <w:tc>
          <w:tcPr>
            <w:tcW w:w="260" w:type="dxa"/>
            <w:vAlign w:val="bottom"/>
          </w:tcPr>
          <w:p>
            <w:pPr>
              <w:spacing w:after="0"/>
              <w:rPr>
                <w:sz w:val="20"/>
                <w:szCs w:val="20"/>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18,360</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(4,632)</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jc w:val="right"/>
              <w:ind w:right="633"/>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55,170</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(9,846)</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61"/>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82,141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793"/>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4"/>
              </w:rPr>
              <w:t>Gross Carrying</w:t>
            </w:r>
          </w:p>
        </w:tc>
        <w:tc>
          <w:tcPr>
            <w:tcW w:w="280" w:type="dxa"/>
            <w:vAlign w:val="bottom"/>
          </w:tcPr>
          <w:p>
            <w:pPr>
              <w:spacing w:after="0"/>
              <w:rPr>
                <w:sz w:val="13"/>
                <w:szCs w:val="13"/>
                <w:color w:val="auto"/>
              </w:rPr>
            </w:pPr>
          </w:p>
        </w:tc>
        <w:tc>
          <w:tcPr>
            <w:tcW w:w="14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w w:val="97"/>
              </w:rPr>
              <w:t>Accumulated</w:t>
            </w: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2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Amortization</w:t>
            </w: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241,320</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39,470</w:t>
            </w:r>
          </w:p>
        </w:tc>
        <w:tc>
          <w:tcPr>
            <w:tcW w:w="280" w:type="dxa"/>
            <w:vAlign w:val="bottom"/>
          </w:tcPr>
          <w:p>
            <w:pPr>
              <w:spacing w:after="0"/>
              <w:rPr>
                <w:sz w:val="19"/>
                <w:szCs w:val="19"/>
                <w:color w:val="auto"/>
              </w:rPr>
            </w:pPr>
          </w:p>
        </w:tc>
        <w:tc>
          <w:tcPr>
            <w:tcW w:w="14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(31,470)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67,310</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(19,605)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bottom w:val="single" w:sz="8" w:color="CCEEFF"/>
            </w:tcBorders>
          </w:tcPr>
          <w:p>
            <w:pPr>
              <w:jc w:val="right"/>
              <w:ind w:right="694"/>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44,970</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(6,807)</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38,163</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393,070</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(26,412)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Amortization of intangible assets for the three and six months ended June 30, 2023 was $2.7 million and $4.7 million, respectively, and is included in “Depreciation and amortization” in the statements of operations. Amortization of intangible assets for the three and six months ended June 30, 2022 was $5.4 million and $10.8 million, respectively, and is included in “Depreciation and amortization” in the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660"/>
              <w:spacing w:after="0"/>
              <w:rPr>
                <w:sz w:val="20"/>
                <w:szCs w:val="20"/>
                <w:color w:val="auto"/>
              </w:rPr>
            </w:pPr>
            <w:r>
              <w:rPr>
                <w:rFonts w:ascii="Arial" w:cs="Arial" w:eastAsia="Arial" w:hAnsi="Arial"/>
                <w:sz w:val="18"/>
                <w:szCs w:val="18"/>
                <w:color w:val="auto"/>
                <w:w w:val="93"/>
              </w:rPr>
              <w:t>Estimated future amortization for definite-lived intangible assets as of June 30, 2023 was as follows (in thousands):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00"/>
        </w:trPr>
        <w:tc>
          <w:tcPr>
            <w:tcW w:w="9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10,342</w:t>
            </w:r>
          </w:p>
        </w:tc>
      </w:tr>
      <w:tr>
        <w:trPr>
          <w:trHeight w:val="23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9,768</w:t>
            </w:r>
          </w:p>
        </w:tc>
      </w:tr>
      <w:tr>
        <w:trPr>
          <w:trHeight w:val="24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15,669</w:t>
            </w:r>
          </w:p>
        </w:tc>
      </w:tr>
      <w:tr>
        <w:trPr>
          <w:trHeight w:val="248"/>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Intangible assets include crypto we own, which are accounted for as indefinite-lived intangible assets and are initially measured at cost (under a first-in, first-out basis) under the guidance in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These assets are not amortized, but assessed for impairment continually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principle market. The carrying amount of a digital asset after its impairment becomes its new cost basis. Impairment losses are not reversible or recoverable and are included in Crypto Costs in the consolidated statement of operations. Impairment losses were not material to the 3 or 6 months ended June 30, 2023. Our owned crypto are typically liquidated on a daily basis during the fulfillment of customer orders and settlement with our liquidity providers. We classify cash flows from crypto within cash flows from operating activities.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6.  Consolidated Balance Sheet Components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7040" w:type="dxa"/>
            <w:vAlign w:val="bottom"/>
          </w:tcPr>
          <w:p>
            <w:pPr>
              <w:ind w:left="660"/>
              <w:spacing w:after="0"/>
              <w:rPr>
                <w:sz w:val="20"/>
                <w:szCs w:val="20"/>
                <w:color w:val="auto"/>
              </w:rPr>
            </w:pPr>
            <w:r>
              <w:rPr>
                <w:rFonts w:ascii="Arial" w:cs="Arial" w:eastAsia="Arial" w:hAnsi="Arial"/>
                <w:sz w:val="18"/>
                <w:szCs w:val="18"/>
                <w:color w:val="auto"/>
              </w:rPr>
              <w:t>Accounts receivable, net consisted of the following (in thousands):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Deposits at brokers or dealers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 receivable from liquidity providers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6,445</w:t>
            </w:r>
          </w:p>
        </w:tc>
      </w:tr>
      <w:tr>
        <w:trPr>
          <w:trHeight w:val="23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Total accounts receivable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21,467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25,516</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payable and receivable to our liquidity providers are reported net by counterparty when the right of offset exists.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40" w:type="dxa"/>
            <w:vAlign w:val="bottom"/>
          </w:tcPr>
          <w:p>
            <w:pPr>
              <w:ind w:left="660"/>
              <w:spacing w:after="0"/>
              <w:rPr>
                <w:sz w:val="20"/>
                <w:szCs w:val="20"/>
                <w:color w:val="auto"/>
              </w:rPr>
            </w:pPr>
            <w:r>
              <w:rPr>
                <w:rFonts w:ascii="Arial" w:cs="Arial" w:eastAsia="Arial" w:hAnsi="Arial"/>
                <w:sz w:val="18"/>
                <w:szCs w:val="18"/>
                <w:color w:val="auto"/>
              </w:rPr>
              <w:t>Other current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Other computer and network equipment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Property, equipment and software, gross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24,373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21,619</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7"/>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20,194</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three and six months ended June 30, 2023, depreciation and amortization expense related to property, equipment and software amounted to $1.3 million and $2.3 million, respectively, of which $0.4 million and $0.7 million, respectively, related to amortization expense of capitalized internal-use software placed in service.</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three and six months ended June 30, 2022, depreciation and amortization expense related to property, equipment and software amounted to $0.7 million and $1.1 million, respectively, of which $0.2 million and $0.3 million, respectively, related to amortization expense of capitalized internal-use software placed in service.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with Clearinghouse</w:t>
      </w:r>
    </w:p>
    <w:p>
      <w:pPr>
        <w:spacing w:after="0" w:line="266"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Deposits with clearinghouse primarily consisted of the default resource contribution as described in Note 8. Total deposits at clearinghouses amounted to $15.3 million and $15.2 million as of June 30, 2023 and December 31, 2022,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Arial" w:cs="Arial" w:eastAsia="Arial" w:hAnsi="Arial"/>
                <w:sz w:val="18"/>
                <w:szCs w:val="18"/>
                <w:color w:val="auto"/>
              </w:rPr>
              <w:t>Other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 and Accrued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Arial" w:cs="Arial" w:eastAsia="Arial" w:hAnsi="Arial"/>
                <w:sz w:val="18"/>
                <w:szCs w:val="18"/>
                <w:color w:val="auto"/>
                <w:w w:val="97"/>
              </w:rPr>
              <w:t>Accounts payable and accrued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Payables to clients</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Purchasing card payable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 payable</w:t>
            </w: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Loyalty revenue share liability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7"/>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52,365</w:t>
            </w:r>
          </w:p>
        </w:tc>
        <w:tc>
          <w:tcPr>
            <w:tcW w:w="2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66,787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0"/>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 units liability, current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2023, 22,678,761 Opco common units had been exchanged for Class A common stock. Refer to Note 14 regarding the contingency related to the TRA.</w:t>
      </w:r>
    </w:p>
    <w:p>
      <w:pPr>
        <w:spacing w:after="0" w:line="15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ICE Management and Technical Support</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$1.0 million and $1.6 million of expense related to the ICE TSA for the three and six months ended June 30, 2023, respectively, which is reflected as “Related party expenses” in the consolidated statements of operations and “Due to related party" in the consolidated balance sheets. We recognized $0.3 million and $0.6 million of expense related to the ICE TSA for the three and six months ended June 30, 2022, respectively, which is reflected as “Related party expenses” in the consolidated statements of operations and “Due to related party" in the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Triparty Agreement</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Digital Currency Trading, Clearing, and Warehouse Services Agreement ("Triparty Agreement") provides for ICE Futures U.S., Inc. ("IFUS") to list for trading one or more digital currency futures and/or options contracts, and for ICE Clear US, Inc. ("ICUS") to serve as the clearing house to provide central counterparty and ancillary services for such contracts.</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recognized revenues related to the Triparty Agreement of less than $0.1 million for both the three and six months ended June 30, 2023, net of rebates and incentive payments (contra-revenue) of less than $0.1 million for both the three and six months ended June 30, 2023. We recognized revenues related to the Triparty Agreement of less than $0.1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million for both the three and six months ended June 30, 2022, net of rebates and incentive payments (contra-revenue) of less than $0.1 million for both the three and six months ended June 30, 2022.</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Triparty Agreement also required Bakkt Trust to make, and, subject to certain limits, to replenish as needed a contribution to ICUS, to be used by ICUS in accordance with the ICUS rules. The contribution requirement was $15.2 million as of June 30, 2023 and December 31, 2022. The contribution is reflected as “Deposits with clearinghouse” in the consolidated balance sheets.</w:t>
      </w:r>
    </w:p>
    <w:p>
      <w:pPr>
        <w:spacing w:after="0" w:line="18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As of June 30, 2023 and December 31, 2022, we had approximately $1.0 million and approximately $1.2 million, respectively, reflected as “Due to related party” in the consolidated balance sheets related to the TSA and Triparty Agreement. As of June 30, 2023 and December 31, 2022, we had no amount recorded within “Accounts receivable, net” in the consolidated balance sheets related to the Triparty Agreement.</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Effective July 28, 2023, IFUS delisted all Bakkt Bitcoin futures contracts other than the August and September 2023 expiry months, and has also delisted all Bakkt Bitcoin Option contracts. No new Bakkt Bitcoin futures or option expiry months will be listed for trading. The August and September 2023 expiry months will continue to be listed for trading through their regular last trading days, which are August 24 and September 28, 2023 respectively. We do not expect that the delisting of these contracts will have a material impact on our future financial performance, and anticipate the release to Bakkt of the contribution to ICUS after all open interest in the contracts is closed.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Apex Crypto Technical Support</w:t>
      </w:r>
    </w:p>
    <w:p>
      <w:pPr>
        <w:spacing w:after="0" w:line="25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$0.5 million of expense related to the Apex TSA for the three months ended June 30, 2023, which is reflected as “Related party expenses” in the consolidated statements of operations and “Due to related party" in the consolidated balance sheets.</w:t>
      </w:r>
    </w:p>
    <w:p>
      <w:pPr>
        <w:spacing w:after="0" w:line="17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June 30, 2023 and December 31, 2022, there were 7,140,808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three and six months ended June 30, 2023, we did not receive any proceeds from the exercise of the public warrants. During the three and six months ended June 30, 2022, we received less than $0.1 million in proceeds from the exercise of the public warrants. We recognized a gain from the change in fair value of the warrant liability during the three months ended June 30, 2023 of $0.4 million and a loss during the six months ended June 30, 2023 of $0.6 million, respectively. We recognized a gain from the change in fair value of the warrant liability during the three and six months ended June 30, 2022 of $10.3 million and $12.7 million, respectively.</w:t>
      </w:r>
    </w:p>
    <w:p>
      <w:pPr>
        <w:spacing w:after="0" w:line="191" w:lineRule="exact"/>
        <w:rPr>
          <w:sz w:val="20"/>
          <w:szCs w:val="20"/>
          <w:color w:val="auto"/>
        </w:rPr>
      </w:pPr>
    </w:p>
    <w:p>
      <w:pPr>
        <w:ind w:right="9300" w:firstLine="8"/>
        <w:spacing w:after="0" w:line="574" w:lineRule="auto"/>
        <w:tabs>
          <w:tab w:leader="none" w:pos="32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w:t>
      </w:r>
    </w:p>
    <w:p>
      <w:pPr>
        <w:ind w:firstLine="648"/>
        <w:spacing w:after="0" w:line="324" w:lineRule="auto"/>
        <w:rPr>
          <w:sz w:val="20"/>
          <w:szCs w:val="20"/>
          <w:color w:val="auto"/>
        </w:rPr>
      </w:pPr>
      <w:r>
        <w:rPr>
          <w:rFonts w:ascii="Arial" w:cs="Arial" w:eastAsia="Arial" w:hAnsi="Arial"/>
          <w:sz w:val="18"/>
          <w:szCs w:val="18"/>
          <w:color w:val="auto"/>
        </w:rPr>
        <w:t>We are authorized to issue 1,000,000 shares of preferred stock with a par value of $0.0001 per share. The holders of a series of preferred stock shall be entitled only to such voting rights as shall expressly be granted thereto by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Certificate of Incorporation (including any certificate of designation relating to such series of preferred stock). As of June 30, 2023, no shares of preferred stock have been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June 30, 2023 and December 31, 2022, there were 91,286,095 and 80,926,843 shares of Class A common stock issued and outstanding,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June 30, 2023, no dividends have been declared.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5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are authorized to issue 250,000,000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months ended June 30, 2023, there were no Paired Interests exchanged for our Class A common stock. During the six months ended June 30, 2023, holders of Paired Interests exchanged 0.2 million Paired Interests for our Class A common stock, and the Company did not elect to settle any such exchanges in cash. As of June 30, 2023 and December 31, 2022, there were 183,279,887 and 183,482,777 shares of Class V common stock issued and outstanding,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will not be declared or paid on the Class V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shall not be entitled to receive any of our assets.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ownership interest in Opco as of June 30, 2023 and December 31,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326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19"/>
                <w:szCs w:val="19"/>
                <w:color w:val="auto"/>
              </w:rPr>
            </w:pPr>
          </w:p>
        </w:tc>
        <w:tc>
          <w:tcPr>
            <w:tcW w:w="32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740" w:type="dxa"/>
            <w:vAlign w:val="bottom"/>
          </w:tcPr>
          <w:p>
            <w:pPr>
              <w:jc w:val="right"/>
              <w:ind w:right="630"/>
              <w:spacing w:after="0" w:line="181" w:lineRule="exact"/>
              <w:rPr>
                <w:sz w:val="20"/>
                <w:szCs w:val="20"/>
                <w:color w:val="auto"/>
              </w:rPr>
            </w:pPr>
            <w:r>
              <w:rPr>
                <w:rFonts w:ascii="Arial" w:cs="Arial" w:eastAsia="Arial" w:hAnsi="Arial"/>
                <w:sz w:val="18"/>
                <w:szCs w:val="18"/>
                <w:b w:val="1"/>
                <w:bCs w:val="1"/>
                <w:color w:val="auto"/>
              </w:rPr>
              <w:t>Opco</w:t>
            </w:r>
          </w:p>
        </w:tc>
        <w:tc>
          <w:tcPr>
            <w:tcW w:w="1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Ownership %</w:t>
            </w:r>
          </w:p>
        </w:tc>
        <w:tc>
          <w:tcPr>
            <w:tcW w:w="80" w:type="dxa"/>
            <w:vAlign w:val="bottom"/>
          </w:tcPr>
          <w:p>
            <w:pPr>
              <w:spacing w:after="0"/>
              <w:rPr>
                <w:sz w:val="15"/>
                <w:szCs w:val="15"/>
                <w:color w:val="auto"/>
              </w:rPr>
            </w:pPr>
          </w:p>
        </w:tc>
        <w:tc>
          <w:tcPr>
            <w:tcW w:w="1760" w:type="dxa"/>
            <w:vAlign w:val="bottom"/>
          </w:tcPr>
          <w:p>
            <w:pPr>
              <w:jc w:val="right"/>
              <w:ind w:right="630"/>
              <w:spacing w:after="0" w:line="181" w:lineRule="exact"/>
              <w:rPr>
                <w:sz w:val="20"/>
                <w:szCs w:val="20"/>
                <w:color w:val="auto"/>
              </w:rPr>
            </w:pPr>
            <w:r>
              <w:rPr>
                <w:rFonts w:ascii="Arial" w:cs="Arial" w:eastAsia="Arial" w:hAnsi="Arial"/>
                <w:sz w:val="18"/>
                <w:szCs w:val="18"/>
                <w:b w:val="1"/>
                <w:bCs w:val="1"/>
                <w:color w:val="auto"/>
              </w:rPr>
              <w:t>Opco</w:t>
            </w:r>
          </w:p>
        </w:tc>
        <w:tc>
          <w:tcPr>
            <w:tcW w:w="15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5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 held by Bakkt Holdings, Inc.</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91,286,095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80,926,843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w w:val="98"/>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183,279,887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183,482,777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Opco common units outstanding</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274,565,982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264,409,620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and six months ended June 30, 2023 was 66.8% and 67.8%,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In connection with the VIH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C Warrant</w:t>
      </w:r>
    </w:p>
    <w:p>
      <w:pPr>
        <w:spacing w:after="0" w:line="266"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7"/>
          <w:szCs w:val="17"/>
          <w:color w:val="auto"/>
        </w:rPr>
        <w:t>In May, 2020, Opco issued a warrant to a minority investor to purchase 3,603,600 of Opco’s Class C voting units (“Class C Warrant”), at an exercise price of $1.11 per unit. Refer to Note 10 to the consolidated financial statements included in our Form 10-K for additional information.</w:t>
      </w:r>
    </w:p>
    <w:p>
      <w:pPr>
        <w:spacing w:after="0" w:line="16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In connection with the VIH Business Combination, the modified warrant units automatically converted into the right to purchase 793,352 Paired Interests in Opco at an exercise price of $5.04 per Paired Interest. As of June 30, 2023, 172,055 modified warrant units have vested but have not been exercised, and the remaining 621,297 warrant units have not vested or been exercised. No expenses were recorded during the three and six months ended June 30, 2023 and June 30, 2022, since the service conditions were not probable of being met in those periods.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560" w:firstLine="8"/>
        <w:spacing w:after="0" w:line="542" w:lineRule="auto"/>
        <w:tabs>
          <w:tab w:leader="none" w:pos="31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were initially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26,590,466 shares the number of authorized shares of Class A common stock available for issuance for a new authorized total of 52,407,412 shares. No award may vest earlier than the first anniversary of the date of grant, except under limited conditions.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three and six months ended June 30, 2023, we granted 3,178,886 and 7,690,257 RSUs, respectively, to employees and directors. During the three months ended June 30, 2023, we granted 673,627 PSUs to employees and directors. We did not grant any PSUs during the first quarter of 2023. During the three and six months ended June 30, 2022, we granted 2,323,402 and 9,292,472 RSUs, respectively, to employees and directors. During the three and six months ended June 30, 2022, we granted 26,606 and 4,891,984 PSUs, respectively, to employees which represents 100% of the target award.</w:t>
      </w:r>
    </w:p>
    <w:p>
      <w:pPr>
        <w:spacing w:after="0" w:line="19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We recorded $3.6 million and $9.4 million of share-based compensation expense related to RSUs during the three and six months ended June 30, 2023, respectively. We recorded $5.8 million and $16.7 million of share-based compensation expense related to RSUs during the three and six months ended June 30, 2022, respectively. We recorded $0.5 million and $1.9 million of share-based compensation expense related to PSUs during the three and six months ended June 30, 2023, reflecting expected performance relative to PSU performance targets. We recorded $2.8 million and $4.6 million of share-based compensation expense related to PSUs during the three and six months ended June 30, 2022, respectively. Share-based compensation expense for both RSUs and PSUs is included in “Compensation and benefits” in the consolidated statements of operations.</w:t>
      </w:r>
    </w:p>
    <w:p>
      <w:pPr>
        <w:spacing w:after="0" w:line="15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June 30, 2023 and December 31, 2022 was $26.9 million and $29.9 million, respectively, for the RSUs and PSUs. The unrecognized compensation expense as of June 30, 2023 and December 31, 2022 will be recognized over a weighted-average period of 1.79 years and 2.05 years,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tables summarize RSU and PSU activity under the 2021 Incentive Plan for the six months ended June 30, 2023 (in thousands,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1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91"/>
              </w:rPr>
              <w:t>Number of RSUs and</w:t>
            </w:r>
          </w:p>
        </w:tc>
        <w:tc>
          <w:tcPr>
            <w:tcW w:w="17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87"/>
              </w:rPr>
              <w:t>Weighted Average</w:t>
            </w:r>
          </w:p>
        </w:tc>
        <w:tc>
          <w:tcPr>
            <w:tcW w:w="120" w:type="dxa"/>
            <w:vAlign w:val="bottom"/>
          </w:tcPr>
          <w:p>
            <w:pPr>
              <w:spacing w:after="0"/>
              <w:rPr>
                <w:sz w:val="15"/>
                <w:szCs w:val="15"/>
                <w:color w:val="auto"/>
              </w:rPr>
            </w:pPr>
          </w:p>
        </w:tc>
        <w:tc>
          <w:tcPr>
            <w:tcW w:w="17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2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400"/>
              <w:spacing w:after="0"/>
              <w:rPr>
                <w:sz w:val="20"/>
                <w:szCs w:val="20"/>
                <w:color w:val="auto"/>
              </w:rPr>
            </w:pPr>
            <w:r>
              <w:rPr>
                <w:rFonts w:ascii="Arial" w:cs="Arial" w:eastAsia="Arial" w:hAnsi="Arial"/>
                <w:sz w:val="18"/>
                <w:szCs w:val="18"/>
                <w:b w:val="1"/>
                <w:bCs w:val="1"/>
                <w:color w:val="auto"/>
              </w:rPr>
              <w:t>RSUs and PSUs</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PSUs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402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During the six months ended June 30, 2023, we recorded $2.1 million of share-based compensation expense related to the accelerated vesting for certain employees that were terminated, which is included in “Restructuring expenses” in the consolidated statements of operations. We also recorded reversal of share-based compensation expense of $0.6 million during the six months ended June 30, 2023 for forfeitures of RSUs, primarily related to the Company's restructuring efforts, which is included in “Restructuring expenses” in the consolidated statements of operations.</w:t>
      </w:r>
    </w:p>
    <w:p>
      <w:pPr>
        <w:spacing w:after="0" w:line="16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fair value of the RSUs and PSUs used in determining share-based compensation expense is based on the closing price of our common stock on the grant date.</w:t>
      </w:r>
    </w:p>
    <w:p>
      <w:pPr>
        <w:spacing w:after="0" w:line="15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 performance conditions. The metrics for PSUs granted during 2022 relate to our performance during fiscal years 2022, 2023 and 2024, as measured against objective performance goals approved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Plan</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Because participation units are settled in cash, Opco classifies participation units as liability awards on its consolidated balance sheets. Refer to Note 11 to our consolidated financial statements included in our Form 10-K where the modifications to the Opco Plan are described in detail.</w:t>
      </w:r>
    </w:p>
    <w:p>
      <w:pPr>
        <w:spacing w:after="0" w:line="196"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 There has not been, and will not be, any additional awards made under the Opco Plan following the VIH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Unit-based compensation expense for the three and six months ended June 30, 2023 and June 30, 2022, was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2"/>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0"/>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162"/>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 of unit</w:t>
            </w: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3"/>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6"/>
              </w:rPr>
              <w:t>June 30,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incentive unit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ind w:left="832"/>
              <w:spacing w:after="0"/>
              <w:rPr>
                <w:sz w:val="20"/>
                <w:szCs w:val="20"/>
                <w:color w:val="auto"/>
              </w:rPr>
            </w:pPr>
            <w:r>
              <w:rPr>
                <w:rFonts w:ascii="Arial" w:cs="Arial" w:eastAsia="Arial" w:hAnsi="Arial"/>
                <w:sz w:val="18"/>
                <w:szCs w:val="18"/>
                <w:color w:val="auto"/>
                <w:w w:val="86"/>
              </w:rPr>
              <w:t>377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Participation unit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90"/>
              </w:rPr>
              <w:t>(111)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center"/>
              <w:ind w:left="832"/>
              <w:spacing w:after="0"/>
              <w:rPr>
                <w:sz w:val="20"/>
                <w:szCs w:val="20"/>
                <w:color w:val="auto"/>
              </w:rPr>
            </w:pPr>
            <w:r>
              <w:rPr>
                <w:rFonts w:ascii="Arial" w:cs="Arial" w:eastAsia="Arial" w:hAnsi="Arial"/>
                <w:sz w:val="18"/>
                <w:szCs w:val="18"/>
                <w:color w:val="auto"/>
                <w:w w:val="86"/>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59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June 30, 2023 was $0.4 million for common incentive units. The unrecognized compensation expense will be recognized over a weighted-average period of 0.29 years. There was no unrecognized compensation expense for participation units as of June 30, 2023.</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Activity</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table summarizes common incentive unit activity under the Opco Plan for the six months ended June 30, 2023 (in thousands, except per unit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Weighted Average</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Number of Common</w:t>
            </w: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72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6"/>
                <w:szCs w:val="16"/>
                <w:color w:val="auto"/>
              </w:rPr>
            </w:pPr>
          </w:p>
        </w:tc>
        <w:tc>
          <w:tcPr>
            <w:tcW w:w="1560" w:type="dxa"/>
            <w:vAlign w:val="bottom"/>
          </w:tcPr>
          <w:p>
            <w:pPr>
              <w:jc w:val="center"/>
              <w:ind w:right="10"/>
              <w:spacing w:after="0" w:line="184" w:lineRule="exact"/>
              <w:rPr>
                <w:sz w:val="20"/>
                <w:szCs w:val="20"/>
                <w:color w:val="auto"/>
              </w:rPr>
            </w:pPr>
            <w:r>
              <w:rPr>
                <w:rFonts w:ascii="Arial" w:cs="Arial" w:eastAsia="Arial" w:hAnsi="Arial"/>
                <w:sz w:val="18"/>
                <w:szCs w:val="18"/>
                <w:b w:val="1"/>
                <w:bCs w:val="1"/>
                <w:color w:val="auto"/>
                <w:w w:val="96"/>
              </w:rPr>
              <w:t>Grant Date Fair</w:t>
            </w:r>
          </w:p>
        </w:tc>
        <w:tc>
          <w:tcPr>
            <w:tcW w:w="1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 Units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0"/>
                <w:szCs w:val="20"/>
                <w:color w:val="auto"/>
              </w:rPr>
            </w:pPr>
          </w:p>
        </w:tc>
        <w:tc>
          <w:tcPr>
            <w:tcW w:w="15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67,635</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summarizes common incentive unit activity under the Opco Plan for the six months ended June 30, 2022 (in thousands,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Number of Common</w:t>
            </w:r>
          </w:p>
        </w:tc>
        <w:tc>
          <w:tcPr>
            <w:tcW w:w="1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56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5"/>
                <w:szCs w:val="15"/>
                <w:color w:val="auto"/>
              </w:rPr>
            </w:pPr>
          </w:p>
        </w:tc>
        <w:tc>
          <w:tcPr>
            <w:tcW w:w="1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Aggregate Intrinsic</w:t>
            </w:r>
          </w:p>
        </w:tc>
        <w:tc>
          <w:tcPr>
            <w:tcW w:w="0" w:type="dxa"/>
            <w:vAlign w:val="bottom"/>
          </w:tcPr>
          <w:p>
            <w:pPr>
              <w:spacing w:after="0"/>
              <w:rPr>
                <w:sz w:val="1"/>
                <w:szCs w:val="1"/>
                <w:color w:val="auto"/>
              </w:rPr>
            </w:pPr>
          </w:p>
        </w:tc>
      </w:tr>
      <w:tr>
        <w:trPr>
          <w:trHeight w:val="175"/>
        </w:trPr>
        <w:tc>
          <w:tcPr>
            <w:tcW w:w="436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Common Incentive Units</w:t>
            </w:r>
          </w:p>
        </w:tc>
        <w:tc>
          <w:tcPr>
            <w:tcW w:w="1700" w:type="dxa"/>
            <w:vAlign w:val="bottom"/>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4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360" w:type="dxa"/>
            <w:vAlign w:val="bottom"/>
            <w:vMerge w:val="continue"/>
          </w:tcPr>
          <w:p>
            <w:pPr>
              <w:spacing w:after="0"/>
              <w:rPr>
                <w:sz w:val="20"/>
                <w:szCs w:val="20"/>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Incentive Units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June 30,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There were no participation units granted during the three and six months ended June 30, 2023 or June 30, 2022. As of June 30, 2023 and December 31, 2022, the total number of participation units outstanding was 0.2 million and 0.2 million, respectively. The fair value of the participation units as of June 30, 2023 and December 31, 2022 was $0.3 million and $0.3 million, respectively. We did not make any cash payments to settle vested participation units during the three months ended June 30, 2023. We made cash payments of less than $0.1 million to settle vested participation units during the six months ended June 30, 2023. We did not make any cash payments to settle vested participation units during the three and six months ended June 30, 2022. Participation units are settled in cash and the balance is recorded within other current liabilities and other noncurrent liabilities as described in Note 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Opco’s stock price and certain assumptions such as Opco’s expected stock price volatility over the term of the units, risk-free interest rates, and expected dividends, which are determined as follows:</w:t>
      </w:r>
    </w:p>
    <w:p>
      <w:pPr>
        <w:spacing w:after="0" w:line="157" w:lineRule="exact"/>
        <w:rPr>
          <w:sz w:val="20"/>
          <w:szCs w:val="20"/>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26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84"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Opco’s incentive units.</w:t>
      </w:r>
    </w:p>
    <w:p>
      <w:pPr>
        <w:spacing w:after="0" w:line="184"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Opco has not paid and does not expect to pay cash dividends or non-liquidating distributions.</w:t>
      </w:r>
    </w:p>
    <w:p>
      <w:pPr>
        <w:spacing w:after="0" w:line="184"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8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178"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is a reconciliation of the denominators of the basic and diluted per share computations for net loss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Three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Six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June 30, 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June 30, 2022</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per share: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Numerator – basic and diluted: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(70,962)</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Net loss attributable to noncontrolling interest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(59,936)</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attributable to Bakkt Holdings, Inc. – basic</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(11,026)</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 and tax effect attributable to noncontrolling interests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(35,007)</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attributable to Bakkt Holdings, Inc.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(46,033)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 – basic and diluted: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40"/>
              <w:spacing w:after="0"/>
              <w:rPr>
                <w:sz w:val="20"/>
                <w:szCs w:val="20"/>
                <w:color w:val="auto"/>
              </w:rPr>
            </w:pPr>
            <w:r>
              <w:rPr>
                <w:rFonts w:ascii="Arial" w:cs="Arial" w:eastAsia="Arial" w:hAnsi="Arial"/>
                <w:sz w:val="16"/>
                <w:szCs w:val="16"/>
                <w:color w:val="auto"/>
              </w:rPr>
              <w:t>Weighted average shares outstanding – basic</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89,837,296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71,226,366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85,880,289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64,234,239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 – diluted</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89,837,296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71,226,366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85,880,289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258,907,347</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per share – 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Arial" w:cs="Arial" w:eastAsia="Arial" w:hAnsi="Arial"/>
                <w:sz w:val="16"/>
                <w:szCs w:val="16"/>
                <w:color w:val="auto"/>
              </w:rPr>
              <w:t>Net loss per share – diluted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(0.36)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No shares that are contingently issuable as part of the Bakkt Crypto acquisition have been included in the calculation of diluted EPS as no amounts are payable as of June 30, 2023. The following table summarizes the total potential common shares excluded from diluted loss per common share as their effect would be anti-dilutive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Pr>
          <w:p>
            <w:pPr>
              <w:spacing w:after="0"/>
              <w:rPr>
                <w:sz w:val="17"/>
                <w:szCs w:val="17"/>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29"/>
        </w:trPr>
        <w:tc>
          <w:tcPr>
            <w:tcW w:w="9660" w:type="dxa"/>
            <w:vAlign w:val="bottom"/>
          </w:tcPr>
          <w:p>
            <w:pPr>
              <w:spacing w:after="0"/>
              <w:rPr>
                <w:sz w:val="19"/>
                <w:szCs w:val="19"/>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 2023</w:t>
            </w: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7,141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Opco unvested incentive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2,130</w:t>
            </w:r>
          </w:p>
        </w:tc>
      </w:tr>
      <w:tr>
        <w:trPr>
          <w:trHeight w:val="23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181,150</w:t>
            </w:r>
          </w:p>
        </w:tc>
      </w:tr>
      <w:tr>
        <w:trPr>
          <w:trHeight w:val="223"/>
        </w:trPr>
        <w:tc>
          <w:tcPr>
            <w:tcW w:w="9660" w:type="dxa"/>
            <w:vAlign w:val="bottom"/>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206,295</w:t>
            </w:r>
          </w:p>
        </w:tc>
      </w:tr>
      <w:tr>
        <w:trPr>
          <w:trHeight w:val="21"/>
        </w:trPr>
        <w:tc>
          <w:tcPr>
            <w:tcW w:w="9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Requirements</w:t>
      </w:r>
    </w:p>
    <w:p>
      <w:pPr>
        <w:spacing w:after="0" w:line="25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Bakkt Trust </w:t>
      </w:r>
      <w:r>
        <w:rPr>
          <w:rFonts w:ascii="Arial" w:cs="Arial" w:eastAsia="Arial" w:hAnsi="Arial"/>
          <w:sz w:val="18"/>
          <w:szCs w:val="18"/>
          <w:color w:val="auto"/>
        </w:rPr>
        <w:t>is subject to certain regulatory capital requirements imposed by the NYDFS. These capital requirements require Bakkt Trust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the greater of a defined positive net worth or the sum of the required percentage established for transmitted assets, cold wallet, and hot wallet custody assets.</w:t>
      </w:r>
    </w:p>
    <w:p>
      <w:pPr>
        <w:spacing w:after="0" w:line="183"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b w:val="1"/>
          <w:bCs w:val="1"/>
          <w:color w:val="auto"/>
        </w:rPr>
        <w:t xml:space="preserve">Bakkt Clearing, LLC ("Bakkt Clearing") </w:t>
      </w:r>
      <w:r>
        <w:rPr>
          <w:rFonts w:ascii="Arial" w:cs="Arial" w:eastAsia="Arial" w:hAnsi="Arial"/>
          <w:sz w:val="16"/>
          <w:szCs w:val="16"/>
          <w:color w:val="auto"/>
        </w:rPr>
        <w:t>was registered as a futures commission merchant (“FCM”) with the Commodity Futures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(“CFTC”) and was a member of the National Futures Association (“NFA”). Bakkt Clearing was subject to CFTC Regulation 1.17 and the NFA capital requirements. On May 20, 2022, we withdrew Bakkt Clearing's registration with the CFTC and membership in the NFA, which was effective on June 20, 2022. Accordingly, as of June 30, 2023, Bakkt Clearing was no longer required to maintain capital under the rules described above.</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 xml:space="preserve">Bakkt Marketplace </w:t>
      </w:r>
      <w:r>
        <w:rPr>
          <w:rFonts w:ascii="Arial" w:cs="Arial" w:eastAsia="Arial" w:hAnsi="Arial"/>
          <w:sz w:val="18"/>
          <w:szCs w:val="18"/>
          <w:color w:val="auto"/>
        </w:rPr>
        <w:t>is required to maintain tangible net worth of a minimum amount. Several states have adopted the Model Money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Modernization Act, which defined tangible net worth as the aggregate assets of a licensee excluding all intangible assets, less liabilities. In addition to the tangible net worth requirement, Bakkt Marketplace is also required to maintain tangible member's equity of a minimum amount, plus the amount of customer funds held in transit since it holds a number of money transmitter licenses </w:t>
      </w:r>
      <w:r>
        <w:rPr>
          <w:rFonts w:ascii="Arial" w:cs="Arial" w:eastAsia="Arial" w:hAnsi="Arial"/>
          <w:sz w:val="18"/>
          <w:szCs w:val="18"/>
          <w:color w:val="0C0C0C"/>
        </w:rPr>
        <w:t>and has a virtual currency license (or “BitLicense”) from the NYDFS,</w:t>
      </w:r>
      <w:r>
        <w:rPr>
          <w:rFonts w:ascii="Arial" w:cs="Arial" w:eastAsia="Arial" w:hAnsi="Arial"/>
          <w:sz w:val="18"/>
          <w:szCs w:val="18"/>
          <w:color w:val="auto"/>
        </w:rPr>
        <w:t xml:space="preserve"> </w:t>
      </w:r>
      <w:r>
        <w:rPr>
          <w:rFonts w:ascii="Arial" w:cs="Arial" w:eastAsia="Arial" w:hAnsi="Arial"/>
          <w:sz w:val="18"/>
          <w:szCs w:val="18"/>
          <w:color w:val="0C0C0C"/>
        </w:rPr>
        <w:t xml:space="preserve">which subjects it to NYDFS’ oversight with respect to such business activities conducted in New York State and with New York residents. </w:t>
      </w:r>
      <w:r>
        <w:rPr>
          <w:rFonts w:ascii="Arial" w:cs="Arial" w:eastAsia="Arial" w:hAnsi="Arial"/>
          <w:sz w:val="18"/>
          <w:szCs w:val="18"/>
          <w:color w:val="000000"/>
        </w:rPr>
        <w:t>Bakkt</w:t>
      </w:r>
      <w:r>
        <w:rPr>
          <w:rFonts w:ascii="Arial" w:cs="Arial" w:eastAsia="Arial" w:hAnsi="Arial"/>
          <w:sz w:val="18"/>
          <w:szCs w:val="18"/>
          <w:color w:val="0C0C0C"/>
        </w:rPr>
        <w:t xml:space="preserve"> </w:t>
      </w:r>
      <w:r>
        <w:rPr>
          <w:rFonts w:ascii="Arial" w:cs="Arial" w:eastAsia="Arial" w:hAnsi="Arial"/>
          <w:sz w:val="18"/>
          <w:szCs w:val="18"/>
          <w:color w:val="000000"/>
        </w:rPr>
        <w:t>Marketplace is also required to maintain positive net worth equal to its wind-down costs, or expected costs associated with the orderly wind-down of the business.</w:t>
      </w:r>
    </w:p>
    <w:p>
      <w:pPr>
        <w:spacing w:after="0" w:line="19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Bakkt Crypto </w:t>
      </w:r>
      <w:r>
        <w:rPr>
          <w:rFonts w:ascii="Arial" w:cs="Arial" w:eastAsia="Arial" w:hAnsi="Arial"/>
          <w:sz w:val="18"/>
          <w:szCs w:val="18"/>
          <w:color w:val="auto"/>
        </w:rPr>
        <w:t>also holds a BitLicense from the NYDFS and a number of money transimtter licenses, for the same licensure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reasons as Bakkt Marketplace, and is required to maintain minimum positive net worth held as cash in excess of the sum of crypto asset requirements and predefined wind-down costs.</w:t>
      </w:r>
    </w:p>
    <w:p>
      <w:pPr>
        <w:spacing w:after="0" w:line="17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As of June 30,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sponsor a 401(k) defined contribution plan covering all eligible U.S. employees. Both Company and employee contributions to the 401(k) plan are discretionary. For the three and six months ended June 30, 2023, we recorded approximately $0.7 million and $1.7 million, respectively, of expenses related to the 401(k) plan, which is included in "Compensation and benefits" in the consolidated statement of operations. For the three and six months ended June 30,</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2022, we recorded approximately $0.7 million and $1.3 million, respectively, of expenses related to the 401(k) plan, which is included in "Compensation and benefits" in the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6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The Company is party to a TRA with certain Opco equity holders. As of June 30, 2023,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66"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7"/>
          <w:szCs w:val="17"/>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alleges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w:t>
      </w:r>
    </w:p>
    <w:p>
      <w:pPr>
        <w:spacing w:after="0" w:line="19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On June 23, 2023, an “opt-out” action related to the foregoing class action was filed against Bakkt Holdings, Inc. and the individuals named in the class action. We intend to vigorously defend against the allegations.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w:t>
      </w:r>
    </w:p>
    <w:p>
      <w:pPr>
        <w:spacing w:after="0" w:line="19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Purchasing Card Facility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9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$35.0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6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In December 2021, we entered into a four-year cloud computing arrangement which includes minimum contractual payments due to the third-party provider. During the six months ended June 30, 2023, we entered into a five-year strategic marketing agreement which required a committed spend. As of June 30, 2023, our outstanding purchase obligations consisted of the following future minimum commitments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Payments Due by Period</w:t>
            </w:r>
          </w:p>
        </w:tc>
        <w:tc>
          <w:tcPr>
            <w:tcW w:w="1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30"/>
        </w:trPr>
        <w:tc>
          <w:tcPr>
            <w:tcW w:w="3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3-5 years</w:t>
            </w: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5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 of (0.2)% and (0.4)% for the three and six months ending June 30, 2023, respectively, differ from statutory rates primarily due to the loss that is not taxed to the Company and the absence of taxable income to realize the Company's net operating losses and other deferred tax assets.</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 of 15.6% and 10.4% for the three and six months ending June 30, 2022, respectively, differ from statutory rates primarily due to the loss allocated to noncontrolling interest that is not taxed to the Company and the non-deductible fair value gains and losses related to the changes in our warrant liability and nondeductible compensation.</w:t>
      </w:r>
    </w:p>
    <w:p>
      <w:pPr>
        <w:spacing w:after="0" w:line="17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June 30, 2023 and December 31, 2022, the Company believed it was not more likely that not that the net deferred tax assets would be realizable and thus has maintained a full valuation allowance.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June 30, 2023 or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Financial assets and liabilities that are measured at fair value on a recurring basis are classified as Level 1, Level 2 and Level 3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As of June 30,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U.S. Treasury debt securities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14,911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14,911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Safeguarding asset for cryptoassets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659,656</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659,656</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674,567</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659,656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Safeguarding obligations for cryptoassets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659,656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659,656</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13,397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13,397</w:t>
            </w:r>
          </w:p>
        </w:tc>
      </w:tr>
      <w:tr>
        <w:trPr>
          <w:trHeight w:val="229"/>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674,481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659,656</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84"/>
        </w:trPr>
        <w:tc>
          <w:tcPr>
            <w:tcW w:w="128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9"/>
              </w:rPr>
              <w:t>As of December 31, 2022</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debt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Safeguarding asset for crypto</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141,062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r>
      <w:tr>
        <w:trPr>
          <w:trHeight w:val="20"/>
        </w:trPr>
        <w:tc>
          <w:tcPr>
            <w:tcW w:w="5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Safeguarding obligation for crypto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15,792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6"/>
        </w:trPr>
        <w:tc>
          <w:tcPr>
            <w:tcW w:w="5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r>
      <w:tr>
        <w:trPr>
          <w:trHeight w:val="21"/>
        </w:trPr>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investments in debt securities consist of U.S. Treasury debt securities held in the custody of a major financial institution. As of June 30, 2023, the Company’s investment in available-for-sale debt securities was determined to be a Level 1 investment based on quoted prices in active markets and was recorded in the consolidated balance sheet at fair value.</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 to be the principal market for the related crypto as of June 30, 2023.</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During the three months ended June 30, 2023, the Company recognized expense of $10.4 million related to the change in the fair value of the contingent consideration. The change in fair value reflects our current forecasts for the performance of Bakkt Crypto during the earnout period and an estimated gross profit volatility of 78.3%.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public warrant liability is valued based on quoted prices in active markets and is classified within Level 1.</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As described in Note 5, our owned crypto is continually evaluated for impairment using the lowest quoted price in the market we determine to be the principal market for the related crypto, which we determined was a Level 2 input.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5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Company leases real estate for office space under operating leases and office equipment under finance leases. On March 15, 2023, we signed an amendment to our Scottsdale, Arizona lease that extended the lease term. The amended lease has a term of 90 months and total fixed lease payments over the term of the amended lease are $5.7 million. During the year ended December 31,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are $5.9 million. We consider a lease to have commenced on the date when we are granted access to the leased asset. Several of these leases include escalation clauses for adjusting rentals. As of June 30, 2023, we do not have any active finance leases.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Our real estate leases have remaining lease terms as of June 30, 2023 ranging from 34 months to 111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of our equipment leases provide us with the option to purchase the asset at the fair market value.</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8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89 months, and the weighted average discount rate for our operating leases was 5.3%. We were party to short-term leases during the three and six months ended June 30, 2023, which resulted in less than $0.1 million and $0.1 million of rent expense, respectively. We were party to short-term leases during the three and six months ended June 30, 2022, which resulted in less than $0.1 million and less than $0.1 million of rent expense,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18. Safeguarding Obligation For Crypto</w:t>
      </w:r>
    </w:p>
    <w:p>
      <w:pPr>
        <w:spacing w:after="0" w:line="21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We provide custody services for Bakkt Crypto's customers and for Bakkt Trust's standalone custody customers.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Subcustodians used by Bakkt Crypto hold our customer cryptographic key information and are not permitted to move assets without our specific authorization.</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June 30, 2023, we have a safeguarding obligation for crypto of $659.7 million. The safeguarding liability, and corresponding safeguarding asset for crypto on the balance sheet, are measured at the fair value of the crypto held for our customers. We are not aware of any actual or possible safeguarding loss events as of June 30, 2023. Therefore, the safeguarding obligation for crypto and the related safeguarding asset for crypto are recorded at the same amount.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responsible for holding the following crypto on behalf of our customers as of June 30, 2023 and December 31, 2022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Bitcoin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Ether</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179,632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Shiba Inu</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Dogecoin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65,194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Safeguarding obligation for crypto</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659,656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Safeguarding asset for crypto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659,656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15,792</w:t>
            </w:r>
          </w:p>
        </w:tc>
      </w:tr>
      <w:tr>
        <w:trPr>
          <w:trHeight w:val="21"/>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231F20"/>
        </w:rPr>
        <w:t>Investment in Debt Securities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We have investments in certain debt securities, which we record at fair value and present as "Available-for-sale securities" in the consolidated balance sheets.</w:t>
      </w:r>
    </w:p>
    <w:p>
      <w:pPr>
        <w:spacing w:after="0" w:line="184"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6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June 30, 2023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78"/>
        </w:trPr>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90"/>
              </w:rPr>
              <w:t>Unrealized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5"/>
                <w:szCs w:val="15"/>
                <w:color w:val="auto"/>
              </w:rPr>
            </w:pPr>
          </w:p>
        </w:tc>
        <w:tc>
          <w:tcPr>
            <w:tcW w:w="13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6"/>
              </w:rPr>
              <w:t>Gains/(Losses),</w:t>
            </w:r>
          </w:p>
        </w:tc>
        <w:tc>
          <w:tcPr>
            <w:tcW w:w="280" w:type="dxa"/>
            <w:vAlign w:val="bottom"/>
          </w:tcPr>
          <w:p>
            <w:pPr>
              <w:spacing w:after="0"/>
              <w:rPr>
                <w:sz w:val="15"/>
                <w:szCs w:val="15"/>
                <w:color w:val="auto"/>
              </w:rPr>
            </w:pPr>
          </w:p>
        </w:tc>
        <w:tc>
          <w:tcPr>
            <w:tcW w:w="920" w:type="dxa"/>
            <w:vAlign w:val="bottom"/>
          </w:tcPr>
          <w:p>
            <w:pPr>
              <w:jc w:val="right"/>
              <w:ind w:right="310"/>
              <w:spacing w:after="0" w:line="18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5"/>
                <w:szCs w:val="15"/>
                <w:color w:val="auto"/>
              </w:rPr>
            </w:pPr>
          </w:p>
        </w:tc>
        <w:tc>
          <w:tcPr>
            <w:tcW w:w="14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7"/>
              </w:rPr>
              <w:t>Gains/(Losses),</w:t>
            </w:r>
          </w:p>
        </w:tc>
        <w:tc>
          <w:tcPr>
            <w:tcW w:w="280" w:type="dxa"/>
            <w:vAlign w:val="bottom"/>
          </w:tcPr>
          <w:p>
            <w:pPr>
              <w:spacing w:after="0"/>
              <w:rPr>
                <w:sz w:val="15"/>
                <w:szCs w:val="15"/>
                <w:color w:val="auto"/>
              </w:rPr>
            </w:pPr>
          </w:p>
        </w:tc>
        <w:tc>
          <w:tcPr>
            <w:tcW w:w="920" w:type="dxa"/>
            <w:vAlign w:val="bottom"/>
          </w:tcPr>
          <w:p>
            <w:pPr>
              <w:jc w:val="right"/>
              <w:ind w:right="330"/>
              <w:spacing w:after="0" w:line="181" w:lineRule="exact"/>
              <w:rPr>
                <w:sz w:val="20"/>
                <w:szCs w:val="20"/>
                <w:color w:val="auto"/>
              </w:rPr>
            </w:pPr>
            <w:r>
              <w:rPr>
                <w:rFonts w:ascii="Arial" w:cs="Arial" w:eastAsia="Arial" w:hAnsi="Arial"/>
                <w:sz w:val="18"/>
                <w:szCs w:val="18"/>
                <w:b w:val="1"/>
                <w:bCs w:val="1"/>
                <w:color w:val="auto"/>
              </w:rPr>
              <w:t>Fair</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Basis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Basis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Government debt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141,003</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141,062</w:t>
            </w: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141,003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141,062</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right="920"/>
        <w:spacing w:after="0" w:line="268" w:lineRule="auto"/>
        <w:rPr>
          <w:sz w:val="20"/>
          <w:szCs w:val="20"/>
          <w:color w:val="auto"/>
        </w:rPr>
      </w:pPr>
      <w:r>
        <w:rPr>
          <w:rFonts w:ascii="Arial" w:cs="Arial" w:eastAsia="Arial" w:hAnsi="Arial"/>
          <w:sz w:val="18"/>
          <w:szCs w:val="18"/>
          <w:b w:val="1"/>
          <w:bCs w:val="1"/>
          <w:color w:val="auto"/>
        </w:rPr>
        <w:t>Available-for-sale securities in an unrealized loss position Government debt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 treasury bonds: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0"/>
                <w:szCs w:val="20"/>
                <w:color w:val="auto"/>
              </w:rPr>
            </w:pPr>
          </w:p>
        </w:tc>
        <w:tc>
          <w:tcPr>
            <w:tcW w:w="25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4"/>
                <w:szCs w:val="14"/>
                <w:color w:val="auto"/>
              </w:rPr>
            </w:pPr>
          </w:p>
        </w:tc>
        <w:tc>
          <w:tcPr>
            <w:tcW w:w="12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9"/>
        </w:trPr>
        <w:tc>
          <w:tcPr>
            <w:tcW w:w="12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-7620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5320" w:space="720"/>
            <w:col w:w="52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than 12 months</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(89)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39,574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6040" w:type="dxa"/>
            <w:vAlign w:val="bottom"/>
          </w:tcPr>
          <w:p>
            <w:pPr>
              <w:ind w:left="460"/>
              <w:spacing w:after="0" w:line="230" w:lineRule="exact"/>
              <w:rPr>
                <w:sz w:val="20"/>
                <w:szCs w:val="20"/>
                <w:color w:val="auto"/>
              </w:rPr>
            </w:pPr>
            <w:r>
              <w:rPr>
                <w:rFonts w:ascii="Arial" w:cs="Arial" w:eastAsia="Arial" w:hAnsi="Arial"/>
                <w:sz w:val="18"/>
                <w:szCs w:val="18"/>
                <w:color w:val="auto"/>
              </w:rPr>
              <w:t>12 months or more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(89)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39,574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00" w:hanging="174"/>
        <w:spacing w:after="0"/>
        <w:tabs>
          <w:tab w:leader="none" w:pos="20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Indicates the length of time that individual securities have been in a continuous unrealized loss position.</w:t>
      </w:r>
    </w:p>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unrealized losses on our investments in government debt securities relate to changes in interest rates since the time of purchase. We do not intend to sell the investments, and it is not likely that we will be required to sell the investments before recovery of their respective amortized cost basis. In addition, there were no credit losses on these investments as of June 30,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cost basis and fair value of available-for-sale debt securities at June 30, 2023, by contractual maturity, are shown below (in thousands). Expected maturities may differ from contractual maturities because borrowers may have the right to prepay and creditors may have the right to call obligations.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Cost Basis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23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color w:val="231F20"/>
        </w:rPr>
        <w:t>Subsequent Events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evaluated subsequent events and determined that no other events or transactions, other than those disclosed above, met the definition of a subsequent event for purposes of recognition or disclosure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33" w:lineRule="auto"/>
        <w:rPr>
          <w:sz w:val="20"/>
          <w:szCs w:val="20"/>
          <w:color w:val="auto"/>
        </w:rPr>
      </w:pPr>
      <w:r>
        <w:rPr>
          <w:rFonts w:ascii="Arial" w:cs="Arial" w:eastAsia="Arial" w:hAnsi="Arial"/>
          <w:sz w:val="16"/>
          <w:szCs w:val="16"/>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Arial" w:cs="Arial" w:eastAsia="Arial" w:hAnsi="Arial"/>
          <w:sz w:val="16"/>
          <w:szCs w:val="16"/>
          <w:i w:val="1"/>
          <w:iCs w:val="1"/>
          <w:color w:val="000000"/>
        </w:rPr>
        <w:t>June 30, 2023</w:t>
      </w:r>
      <w:r>
        <w:rPr>
          <w:rFonts w:ascii="Arial" w:cs="Arial" w:eastAsia="Arial" w:hAnsi="Arial"/>
          <w:sz w:val="16"/>
          <w:szCs w:val="16"/>
          <w:i w:val="1"/>
          <w:iCs w:val="1"/>
          <w:color w:val="231F20"/>
        </w:rPr>
        <w:t xml:space="preserve"> and in our Annual Report on Form 10-K for the fiscal year ended </w:t>
      </w:r>
      <w:r>
        <w:rPr>
          <w:rFonts w:ascii="Arial" w:cs="Arial" w:eastAsia="Arial" w:hAnsi="Arial"/>
          <w:sz w:val="16"/>
          <w:szCs w:val="16"/>
          <w:i w:val="1"/>
          <w:iCs w:val="1"/>
          <w:color w:val="000000"/>
        </w:rPr>
        <w:t>December 31, 2022</w:t>
      </w:r>
      <w:r>
        <w:rPr>
          <w:rFonts w:ascii="Arial" w:cs="Arial" w:eastAsia="Arial" w:hAnsi="Arial"/>
          <w:sz w:val="16"/>
          <w:szCs w:val="16"/>
          <w:i w:val="1"/>
          <w:iCs w:val="1"/>
          <w:color w:val="231F20"/>
        </w:rPr>
        <w:t xml:space="preserve">, which is incorporated herein by reference. References in this section to “we,” “us,” “our,” “Bakkt” or the “Company” and like terms refer to Bakkt Holdings, Inc. and its subsidiaries for the </w:t>
      </w:r>
      <w:r>
        <w:rPr>
          <w:rFonts w:ascii="Arial" w:cs="Arial" w:eastAsia="Arial" w:hAnsi="Arial"/>
          <w:sz w:val="16"/>
          <w:szCs w:val="16"/>
          <w:i w:val="1"/>
          <w:iCs w:val="1"/>
          <w:color w:val="000000"/>
        </w:rPr>
        <w:t>three and six months ending June 30,</w:t>
      </w:r>
      <w:r>
        <w:rPr>
          <w:rFonts w:ascii="Arial" w:cs="Arial" w:eastAsia="Arial" w:hAnsi="Arial"/>
          <w:sz w:val="16"/>
          <w:szCs w:val="16"/>
          <w:i w:val="1"/>
          <w:iCs w:val="1"/>
          <w:color w:val="231F20"/>
        </w:rPr>
        <w:t xml:space="preserve"> </w:t>
      </w:r>
      <w:r>
        <w:rPr>
          <w:rFonts w:ascii="Arial" w:cs="Arial" w:eastAsia="Arial" w:hAnsi="Arial"/>
          <w:sz w:val="16"/>
          <w:szCs w:val="16"/>
          <w:i w:val="1"/>
          <w:iCs w:val="1"/>
          <w:color w:val="000000"/>
        </w:rPr>
        <w:t xml:space="preserve">2023, </w:t>
      </w:r>
      <w:r>
        <w:rPr>
          <w:rFonts w:ascii="Arial" w:cs="Arial" w:eastAsia="Arial" w:hAnsi="Arial"/>
          <w:sz w:val="16"/>
          <w:szCs w:val="16"/>
          <w:i w:val="1"/>
          <w:iCs w:val="1"/>
          <w:color w:val="231F20"/>
        </w:rPr>
        <w:t>unless the context otherwise requires. Some of the information contained in this discussion and analysis or set forth elsewhere in this document,</w:t>
      </w:r>
      <w:r>
        <w:rPr>
          <w:rFonts w:ascii="Arial" w:cs="Arial" w:eastAsia="Arial" w:hAnsi="Arial"/>
          <w:sz w:val="16"/>
          <w:szCs w:val="16"/>
          <w:i w:val="1"/>
          <w:iCs w:val="1"/>
          <w:color w:val="000000"/>
        </w:rPr>
        <w:t xml:space="preserve"> </w:t>
      </w:r>
      <w:r>
        <w:rPr>
          <w:rFonts w:ascii="Arial" w:cs="Arial" w:eastAsia="Arial" w:hAnsi="Arial"/>
          <w:sz w:val="16"/>
          <w:szCs w:val="16"/>
          <w:i w:val="1"/>
          <w:iCs w:val="1"/>
          <w:color w:val="231F20"/>
        </w:rPr>
        <w:t>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0C0C0C"/>
        </w:rPr>
        <w:t>In this section and elsewhere in this Report, we use the following terms, which are defined as follows:</w:t>
      </w:r>
    </w:p>
    <w:p>
      <w:pPr>
        <w:spacing w:after="0" w:line="19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Client </w:t>
      </w:r>
      <w:r>
        <w:rPr>
          <w:rFonts w:ascii="Arial" w:cs="Arial" w:eastAsia="Arial" w:hAnsi="Arial"/>
          <w:sz w:val="16"/>
          <w:szCs w:val="16"/>
          <w:color w:val="auto"/>
        </w:rPr>
        <w:t>means businesses with whom we contract to provide services to customers on our platform, and includes financial institutions, hedge funds,</w:t>
      </w:r>
    </w:p>
    <w:p>
      <w:pPr>
        <w:spacing w:after="0" w:line="76"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 xml:space="preserve">merchants, retailers, and other businesses (except in the accompanying </w:t>
      </w:r>
      <w:r>
        <w:rPr>
          <w:rFonts w:ascii="Arial" w:cs="Arial" w:eastAsia="Arial" w:hAnsi="Arial"/>
          <w:sz w:val="18"/>
          <w:szCs w:val="18"/>
          <w:color w:val="231F20"/>
        </w:rPr>
        <w:t>notes to the consolidated financial statements, where we refer to revenue</w:t>
      </w:r>
      <w:r>
        <w:rPr>
          <w:rFonts w:ascii="Arial" w:cs="Arial" w:eastAsia="Arial" w:hAnsi="Arial"/>
          <w:sz w:val="18"/>
          <w:szCs w:val="18"/>
          <w:color w:val="auto"/>
        </w:rPr>
        <w:t xml:space="preserve"> </w:t>
      </w:r>
      <w:r>
        <w:rPr>
          <w:rFonts w:ascii="Arial" w:cs="Arial" w:eastAsia="Arial" w:hAnsi="Arial"/>
          <w:sz w:val="18"/>
          <w:szCs w:val="18"/>
          <w:color w:val="231F20"/>
        </w:rPr>
        <w:t xml:space="preserve">earned from customers, instead of clients. The term customers is </w:t>
      </w:r>
      <w:r>
        <w:rPr>
          <w:rFonts w:ascii="Arial" w:cs="Arial" w:eastAsia="Arial" w:hAnsi="Arial"/>
          <w:sz w:val="18"/>
          <w:szCs w:val="18"/>
          <w:color w:val="000000"/>
        </w:rPr>
        <w:t>in accordance with the Financial Accounting Standards Board (“FASB”)</w:t>
      </w:r>
      <w:r>
        <w:rPr>
          <w:rFonts w:ascii="Arial" w:cs="Arial" w:eastAsia="Arial" w:hAnsi="Arial"/>
          <w:sz w:val="18"/>
          <w:szCs w:val="18"/>
          <w:color w:val="231F20"/>
        </w:rPr>
        <w:t xml:space="preserve"> </w:t>
      </w:r>
      <w:r>
        <w:rPr>
          <w:rFonts w:ascii="Arial" w:cs="Arial" w:eastAsia="Arial" w:hAnsi="Arial"/>
          <w:sz w:val="18"/>
          <w:szCs w:val="18"/>
          <w:color w:val="000000"/>
        </w:rPr>
        <w:t xml:space="preserve">Accounting Standards Codification (“ASC”) Topic </w:t>
      </w:r>
      <w:r>
        <w:rPr>
          <w:rFonts w:ascii="Arial" w:cs="Arial" w:eastAsia="Arial" w:hAnsi="Arial"/>
          <w:sz w:val="18"/>
          <w:szCs w:val="18"/>
          <w:color w:val="231F20"/>
        </w:rPr>
        <w:t>606,</w:t>
      </w:r>
      <w:r>
        <w:rPr>
          <w:rFonts w:ascii="Arial" w:cs="Arial" w:eastAsia="Arial" w:hAnsi="Arial"/>
          <w:sz w:val="18"/>
          <w:szCs w:val="18"/>
          <w:color w:val="000000"/>
        </w:rPr>
        <w:t xml:space="preserve"> </w:t>
      </w:r>
      <w:r>
        <w:rPr>
          <w:rFonts w:ascii="Arial" w:cs="Arial" w:eastAsia="Arial" w:hAnsi="Arial"/>
          <w:sz w:val="18"/>
          <w:szCs w:val="18"/>
          <w:i w:val="1"/>
          <w:iCs w:val="1"/>
          <w:color w:val="231F20"/>
        </w:rPr>
        <w:t>Revenue from Contracts with Customers</w:t>
      </w:r>
      <w:r>
        <w:rPr>
          <w:rFonts w:ascii="Arial" w:cs="Arial" w:eastAsia="Arial" w:hAnsi="Arial"/>
          <w:sz w:val="18"/>
          <w:szCs w:val="18"/>
          <w:color w:val="231F20"/>
        </w:rPr>
        <w:t>.)</w:t>
      </w:r>
    </w:p>
    <w:p>
      <w:pPr>
        <w:spacing w:after="0" w:line="62" w:lineRule="exact"/>
        <w:rPr>
          <w:rFonts w:ascii="Arial" w:cs="Arial" w:eastAsia="Arial" w:hAnsi="Arial"/>
          <w:sz w:val="16"/>
          <w:szCs w:val="16"/>
          <w:color w:val="auto"/>
        </w:rPr>
      </w:pPr>
    </w:p>
    <w:p>
      <w:pPr>
        <w:ind w:left="660" w:hanging="328"/>
        <w:spacing w:after="0" w:line="32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Crypto assets </w:t>
      </w:r>
      <w:r>
        <w:rPr>
          <w:rFonts w:ascii="Arial" w:cs="Arial" w:eastAsia="Arial" w:hAnsi="Arial"/>
          <w:sz w:val="18"/>
          <w:szCs w:val="18"/>
          <w:color w:val="auto"/>
        </w:rPr>
        <w:t>(or</w:t>
      </w:r>
      <w:r>
        <w:rPr>
          <w:rFonts w:ascii="Arial" w:cs="Arial" w:eastAsia="Arial" w:hAnsi="Arial"/>
          <w:sz w:val="18"/>
          <w:szCs w:val="18"/>
          <w:b w:val="1"/>
          <w:bCs w:val="1"/>
          <w:color w:val="auto"/>
        </w:rPr>
        <w:t xml:space="preserve"> crypto</w:t>
      </w:r>
      <w:r>
        <w:rPr>
          <w:rFonts w:ascii="Arial" w:cs="Arial" w:eastAsia="Arial" w:hAnsi="Arial"/>
          <w:sz w:val="18"/>
          <w:szCs w:val="18"/>
          <w:color w:val="auto"/>
        </w:rPr>
        <w:t>) means an asset that is built using blockchain technology, including cryptocurrencies, stablecoins, and other tokens.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transactions in certain supported cryptocurrencies.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Customer </w:t>
      </w:r>
      <w:r>
        <w:rPr>
          <w:rFonts w:ascii="Arial" w:cs="Arial" w:eastAsia="Arial" w:hAnsi="Arial"/>
          <w:sz w:val="17"/>
          <w:szCs w:val="17"/>
          <w:color w:val="auto"/>
        </w:rPr>
        <w:t>means an individual user of our platform. Customers include customers of our loyalty clients who use our platform to transact in</w:t>
      </w:r>
    </w:p>
    <w:p>
      <w:pPr>
        <w:spacing w:after="0" w:line="65" w:lineRule="exact"/>
        <w:rPr>
          <w:rFonts w:ascii="Arial" w:cs="Arial" w:eastAsia="Arial" w:hAnsi="Arial"/>
          <w:sz w:val="17"/>
          <w:szCs w:val="17"/>
          <w:color w:val="auto"/>
        </w:rPr>
      </w:pPr>
    </w:p>
    <w:p>
      <w:pPr>
        <w:ind w:left="660"/>
        <w:spacing w:after="0" w:line="308" w:lineRule="auto"/>
        <w:rPr>
          <w:rFonts w:ascii="Arial" w:cs="Arial" w:eastAsia="Arial" w:hAnsi="Arial"/>
          <w:sz w:val="17"/>
          <w:szCs w:val="17"/>
          <w:color w:val="auto"/>
        </w:rPr>
      </w:pPr>
      <w:r>
        <w:rPr>
          <w:rFonts w:ascii="Arial" w:cs="Arial" w:eastAsia="Arial" w:hAnsi="Arial"/>
          <w:sz w:val="18"/>
          <w:szCs w:val="18"/>
          <w:color w:val="auto"/>
        </w:rPr>
        <w:t>loyalty points, as well as customers of our clients who transact in crypto through, and have accounts on, our platform (except as defined for ASC 606 purposes above).</w:t>
      </w:r>
    </w:p>
    <w:p>
      <w:pPr>
        <w:spacing w:after="0" w:line="7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Loyalty points </w:t>
      </w:r>
      <w:r>
        <w:rPr>
          <w:rFonts w:ascii="Arial" w:cs="Arial" w:eastAsia="Arial" w:hAnsi="Arial"/>
          <w:sz w:val="18"/>
          <w:szCs w:val="18"/>
          <w:color w:val="auto"/>
        </w:rPr>
        <w:t>means loyalty and/or reward points that are issued by clients to their customers.</w:t>
      </w:r>
    </w:p>
    <w:p>
      <w:pPr>
        <w:spacing w:after="0" w:line="25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151515"/>
        </w:rPr>
        <w:t xml:space="preserve">Founded in 2018, Bakkt builds technology that connects the digital economy by offering one ecosystem for crypto and loyalty points. We enable our clients to deliver new opportunities to their customers through </w:t>
      </w:r>
      <w:r>
        <w:rPr>
          <w:rFonts w:ascii="Arial" w:cs="Arial" w:eastAsia="Arial" w:hAnsi="Arial"/>
          <w:sz w:val="17"/>
          <w:szCs w:val="17"/>
          <w:color w:val="0C0C0C"/>
        </w:rPr>
        <w:t>software as a service (“SaaS”)</w:t>
      </w:r>
      <w:r>
        <w:rPr>
          <w:rFonts w:ascii="Arial" w:cs="Arial" w:eastAsia="Arial" w:hAnsi="Arial"/>
          <w:sz w:val="17"/>
          <w:szCs w:val="17"/>
          <w:color w:val="151515"/>
        </w:rPr>
        <w:t xml:space="preserve"> and 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151515"/>
        </w:rPr>
        <w:t>Our platform is built to operate across various cryptoassets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Arial" w:cs="Arial" w:eastAsia="Arial" w:hAnsi="Arial"/>
          <w:sz w:val="18"/>
          <w:szCs w:val="18"/>
          <w:color w:val="000000"/>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Developments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 Market Developments</w:t>
      </w:r>
    </w:p>
    <w:p>
      <w:pPr>
        <w:spacing w:after="0" w:line="22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In 2023, the crypto markets have continued to be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BlockFi and PrimeTrust.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1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In addition, crypto assets and crypto market participants have recently faced increased scrutiny by regulators. For example, the SEC has, in 2023, brought charges against a number of crypto asset exchanges, including Coinbase and Binance, and other crypto asset service providers, identifying a number of crypto assets as securities and alleging violations of, and non-compliance with, U.S. federal securities laws. A recent federal court ruling in a lawsuit brought by the SEC against Ripple Labs determined that "programmatic" sales" by Ripple Labs to retail investors of the XRP crypto token (XRPUSD) did not constitute sales of unregistered securities in violation of U.S, securities laws. However, the court determined that Ripple Labs' sales of XRP to institutional investors were unregistered securities offerings in violation of the U.S. securities laws. We continue to monitor regulatory developments in this area and assess our business model and the assets we support in light of developments.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Apex Crypto Acquisition</w:t>
      </w:r>
    </w:p>
    <w:p>
      <w:pPr>
        <w:spacing w:after="0" w:line="23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On April 1, 2023, we completed the acquisition of 100% of the ownership interests of Apex Crypto LLC, which changed its name to Bakkt Crypto Solutions, LLC, effective June 12, 2023 (“Bakkt Crypto”). We expect to leverage Bakkt Crypto’s proprietary trading platform and existing relationships with liquidity providers to provide a wider range of assets and competitive pricing to our customers. Our acquisition of Bakkt Crypto complements our B2B2C growth strategy by broadening our business partnerships to fintechs and neo-banks. Specifically, Bakkt Crypto offers consumers the opportunity to purchase, store and sell virtual currencies through front-end trading platforms sponsored by Bakkt Crypto’s third-party partners. Bakkt Crypto account holders are able to purchase crypto assets, store crypto assets in Bakkt Crypto-controlled wallets, liquidate their holdings, and transfer select crypto assets between a Bakkt Crypto-controlled wallet and external wallets in certain jurisdictions, if enabled by the partner.</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Bakkt Crypto is regularly exploring additional ways to innovate and provide additional products and services to its customers. Bakkt Crypto periodically evaluates market conditions and is gauging demand for offering the following additional products or services in the near future to its customers: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opportunity to purchase, store, and sell non-fungible tokens or NFTs;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services for customers in jurisdictions outside of the United States;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internal and/or external wallet transfers of crypto assets, subject to risk assessment on incoming and outgoing transfers;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4"/>
        <w:spacing w:after="0" w:line="324" w:lineRule="auto"/>
        <w:rPr>
          <w:sz w:val="20"/>
          <w:szCs w:val="20"/>
          <w:color w:val="auto"/>
        </w:rPr>
      </w:pPr>
      <w:r>
        <w:rPr>
          <w:rFonts w:ascii="Arial" w:cs="Arial" w:eastAsia="Arial" w:hAnsi="Arial"/>
          <w:sz w:val="18"/>
          <w:szCs w:val="18"/>
          <w:color w:val="auto"/>
        </w:rPr>
        <w:t>– enhanced capabilities on its trading platform, including support for larger orders and recurring buys, and extending the platform to support institutional execution.</w:t>
      </w:r>
    </w:p>
    <w:p>
      <w:pPr>
        <w:spacing w:after="0" w:line="15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At the time our acquisition of Bakkt Crypto closed, Bakkt Crypto had agreements with more than 30 fintech partners pursuant to which the partners made Bakkt Crypto’s crypto asset trading service available to their customer base. Our acquisition of Bakkt Crypto resulted in us obtaining access to such partners. The majority of these fintech partners are also part of Apex Fintech Solutions’ client network.</w:t>
      </w:r>
    </w:p>
    <w:p>
      <w:pPr>
        <w:spacing w:after="0" w:line="171" w:lineRule="exact"/>
        <w:rPr>
          <w:sz w:val="20"/>
          <w:szCs w:val="20"/>
          <w:color w:val="auto"/>
        </w:rPr>
      </w:pPr>
    </w:p>
    <w:p>
      <w:pPr>
        <w:ind w:right="20" w:firstLine="648"/>
        <w:spacing w:after="0" w:line="296" w:lineRule="auto"/>
        <w:rPr>
          <w:sz w:val="20"/>
          <w:szCs w:val="20"/>
          <w:color w:val="auto"/>
        </w:rPr>
      </w:pPr>
      <w:r>
        <w:rPr>
          <w:rFonts w:ascii="Arial" w:cs="Arial" w:eastAsia="Arial" w:hAnsi="Arial"/>
          <w:sz w:val="18"/>
          <w:szCs w:val="18"/>
          <w:color w:val="auto"/>
        </w:rPr>
        <w:t>The agreements with these fintech partners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partner through its platform, and, in some cases, exclusivity covenants pursuant to which partners have agreed not to refer their customers to other crypto asset trading platforms.</w:t>
      </w:r>
    </w:p>
    <w:p>
      <w:pPr>
        <w:spacing w:after="0" w:line="182"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Following the closing of the acquisition of Bakkt Crypto and in light of recent regulatory developments, we reviewed all crypto assets then available on the Bakkt Crypto platform and determined that it was appropriate to delist certain of such crypto assets. In effecting such delisting decisions, we have attempted to mitigate impacts on our business and customers by affording customers a period in which to exit their positions in the impacted crypto assets as part of an orderly wind-down. Effective June 12, 2023, Apex Crypto changed its name to Bakkt Crypto Solutions, LLC ("Bakkt Crypto").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Bumped Acquisition</w:t>
      </w:r>
    </w:p>
    <w:p>
      <w:pPr>
        <w:spacing w:after="0" w:line="26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On February 8, 2023, we acquired 100% of the units of Bumped Financial, LLC, which we subsequently renamed Bakkt Brokerage, LLC ("Bakkt Brokerage"), a broker-dealer registered with the SEC and the Financial Industry Regulatory Authority, Inc., for cash consideration of $631,000.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Factors Affecting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Growing Our Client Base</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 xml:space="preserve">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 </w:t>
      </w:r>
      <w:r>
        <w:rPr>
          <w:rFonts w:ascii="Arial" w:cs="Arial" w:eastAsia="Arial" w:hAnsi="Arial"/>
          <w:sz w:val="16"/>
          <w:szCs w:val="16"/>
          <w:i w:val="1"/>
          <w:iCs w:val="1"/>
          <w:color w:val="231F20"/>
        </w:rPr>
        <w:t>See "Apex Crypto Acquisition"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Product Expansion and Innovation</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Competition</w:t>
      </w:r>
    </w:p>
    <w:p>
      <w:pPr>
        <w:spacing w:after="0" w:line="266"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auto"/>
        </w:rPr>
        <w:t>The crypto marketplace is highly competitive with numerous participants competing for the same clients. We believe we are well positioned with our ability to provide capabilities around emerging cryptoassets alongside loyalty points on a single, highly secure, institutional-grade technology platform.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Economic and Market Conditions</w:t>
      </w:r>
    </w:p>
    <w:p>
      <w:pPr>
        <w:spacing w:after="0" w:line="2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Arial" w:cs="Arial" w:eastAsia="Arial" w:hAnsi="Arial"/>
          <w:sz w:val="18"/>
          <w:szCs w:val="18"/>
          <w:i w:val="1"/>
          <w:iCs w:val="1"/>
          <w:color w:val="231F20"/>
        </w:rPr>
        <w:t>See "Crypto</w:t>
      </w:r>
      <w:r>
        <w:rPr>
          <w:rFonts w:ascii="Arial" w:cs="Arial" w:eastAsia="Arial" w:hAnsi="Arial"/>
          <w:sz w:val="18"/>
          <w:szCs w:val="18"/>
          <w:color w:val="231F20"/>
        </w:rPr>
        <w:t xml:space="preserve"> </w:t>
      </w:r>
      <w:r>
        <w:rPr>
          <w:rFonts w:ascii="Arial" w:cs="Arial" w:eastAsia="Arial" w:hAnsi="Arial"/>
          <w:sz w:val="18"/>
          <w:szCs w:val="18"/>
          <w:i w:val="1"/>
          <w:iCs w:val="1"/>
          <w:color w:val="231F20"/>
        </w:rPr>
        <w:t>Market Developments"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in US &amp; International Markets</w:t>
      </w:r>
    </w:p>
    <w:p>
      <w:pPr>
        <w:spacing w:after="0" w:line="21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78"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 xml:space="preserve">We are seeking to bring trust and transparency to </w:t>
      </w:r>
      <w:r>
        <w:rPr>
          <w:rFonts w:ascii="Arial" w:cs="Arial" w:eastAsia="Arial" w:hAnsi="Arial"/>
          <w:sz w:val="16"/>
          <w:szCs w:val="16"/>
          <w:color w:val="000000"/>
        </w:rPr>
        <w:t>crypto</w:t>
      </w:r>
      <w:r>
        <w:rPr>
          <w:rFonts w:ascii="Arial" w:cs="Arial" w:eastAsia="Arial" w:hAnsi="Arial"/>
          <w:sz w:val="16"/>
          <w:szCs w:val="16"/>
          <w:color w:val="231F20"/>
        </w:rPr>
        <w:t>.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5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We continue to work with regulators to address the emerging global landscape for </w:t>
      </w:r>
      <w:r>
        <w:rPr>
          <w:rFonts w:ascii="Arial" w:cs="Arial" w:eastAsia="Arial" w:hAnsi="Arial"/>
          <w:sz w:val="18"/>
          <w:szCs w:val="18"/>
          <w:color w:val="000000"/>
        </w:rPr>
        <w:t>crypto</w:t>
      </w:r>
      <w:r>
        <w:rPr>
          <w:rFonts w:ascii="Arial" w:cs="Arial" w:eastAsia="Arial" w:hAnsi="Arial"/>
          <w:sz w:val="18"/>
          <w:szCs w:val="18"/>
          <w:color w:val="231F20"/>
        </w:rPr>
        <w:t>. As investment continues, the intersection of technology and finance will require ongoing engagement as new applications emerge. C</w:t>
      </w:r>
      <w:r>
        <w:rPr>
          <w:rFonts w:ascii="Arial" w:cs="Arial" w:eastAsia="Arial" w:hAnsi="Arial"/>
          <w:sz w:val="18"/>
          <w:szCs w:val="18"/>
          <w:color w:val="000000"/>
        </w:rPr>
        <w:t>ryptoasset</w:t>
      </w:r>
      <w:r>
        <w:rPr>
          <w:rFonts w:ascii="Arial" w:cs="Arial" w:eastAsia="Arial" w:hAnsi="Arial"/>
          <w:sz w:val="18"/>
          <w:szCs w:val="18"/>
          <w:color w:val="231F20"/>
        </w:rPr>
        <w:t xml:space="preserve"> and distributed ledger technology have significant, positive potential with proper collaboration between industry and regulators.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Safeguarding Obligation Liability and Safeguarding Asset Related to Crypto Held for Other Parties</w:t>
      </w:r>
    </w:p>
    <w:p>
      <w:pPr>
        <w:spacing w:after="0" w:line="26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As detailed in Note 18 in the unaudited consolidated financial statements included in this Report, upon the adoption of Staff Accounting Bulletin 121 (“SAB 121”), we recorded a safeguarding obligation liability and a corresponding safeguarding asset related to the crypto held for other parties. As of June 30, 2023, the safeguarding obligation liability related to cryptoassets held for other parties was approximately $659.7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169"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do not presently utilize third-party custodians.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C0C0C"/>
        </w:rPr>
        <w:t>Key Performance Indicators</w:t>
      </w:r>
    </w:p>
    <w:p>
      <w:pPr>
        <w:spacing w:after="0" w:line="27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0C0C0C"/>
        </w:rPr>
        <w:t>We use four key performance indicators (“KPIs”) that are key to understanding our business performance, as they reflect the different ways we enable clients to engage with our platform.</w:t>
      </w:r>
    </w:p>
    <w:p>
      <w:pPr>
        <w:spacing w:after="0" w:line="184" w:lineRule="exact"/>
        <w:rPr>
          <w:sz w:val="20"/>
          <w:szCs w:val="20"/>
          <w:color w:val="auto"/>
        </w:rPr>
      </w:pPr>
    </w:p>
    <w:p>
      <w:pPr>
        <w:ind w:left="660" w:hanging="328"/>
        <w:spacing w:after="0" w:line="308" w:lineRule="auto"/>
        <w:tabs>
          <w:tab w:leader="none" w:pos="660" w:val="left"/>
        </w:tabs>
        <w:numPr>
          <w:ilvl w:val="0"/>
          <w:numId w:val="27"/>
        </w:numPr>
        <w:rPr>
          <w:rFonts w:ascii="Arial" w:cs="Arial" w:eastAsia="Arial" w:hAnsi="Arial"/>
          <w:sz w:val="18"/>
          <w:szCs w:val="18"/>
          <w:color w:val="0C0C0C"/>
        </w:rPr>
      </w:pPr>
      <w:r>
        <w:rPr>
          <w:rFonts w:ascii="Arial" w:cs="Arial" w:eastAsia="Arial" w:hAnsi="Arial"/>
          <w:sz w:val="18"/>
          <w:szCs w:val="18"/>
          <w:b w:val="1"/>
          <w:bCs w:val="1"/>
          <w:i w:val="1"/>
          <w:iCs w:val="1"/>
          <w:color w:val="0C0C0C"/>
        </w:rPr>
        <w:t xml:space="preserve">Crypto-enabled accounts. </w:t>
      </w:r>
      <w:r>
        <w:rPr>
          <w:rFonts w:ascii="Arial" w:cs="Arial" w:eastAsia="Arial" w:hAnsi="Arial"/>
          <w:sz w:val="18"/>
          <w:szCs w:val="18"/>
          <w:color w:val="0C0C0C"/>
        </w:rPr>
        <w:t>We define crypto-enabled accounts as the total crypto accounts open on our platform. There were 6.0 million and 11.8</w:t>
      </w:r>
      <w:r>
        <w:rPr>
          <w:rFonts w:ascii="Arial" w:cs="Arial" w:eastAsia="Arial" w:hAnsi="Arial"/>
          <w:sz w:val="18"/>
          <w:szCs w:val="18"/>
          <w:b w:val="1"/>
          <w:bCs w:val="1"/>
          <w:i w:val="1"/>
          <w:iCs w:val="1"/>
          <w:color w:val="0C0C0C"/>
        </w:rPr>
        <w:t xml:space="preserve"> </w:t>
      </w:r>
      <w:r>
        <w:rPr>
          <w:rFonts w:ascii="Arial" w:cs="Arial" w:eastAsia="Arial" w:hAnsi="Arial"/>
          <w:sz w:val="18"/>
          <w:szCs w:val="18"/>
          <w:color w:val="0C0C0C"/>
        </w:rPr>
        <w:t xml:space="preserve">million crypto-enabled accounts during the </w:t>
      </w:r>
      <w:r>
        <w:rPr>
          <w:rFonts w:ascii="Arial" w:cs="Arial" w:eastAsia="Arial" w:hAnsi="Arial"/>
          <w:sz w:val="18"/>
          <w:szCs w:val="18"/>
          <w:color w:val="000000"/>
        </w:rPr>
        <w:t>three and six months ending June 30, 2023, respectively</w:t>
      </w:r>
      <w:r>
        <w:rPr>
          <w:rFonts w:ascii="Arial" w:cs="Arial" w:eastAsia="Arial" w:hAnsi="Arial"/>
          <w:sz w:val="18"/>
          <w:szCs w:val="18"/>
          <w:color w:val="0C0C0C"/>
        </w:rPr>
        <w:t>.</w:t>
      </w:r>
    </w:p>
    <w:p>
      <w:pPr>
        <w:spacing w:after="0" w:line="184" w:lineRule="exact"/>
        <w:rPr>
          <w:rFonts w:ascii="Arial" w:cs="Arial" w:eastAsia="Arial" w:hAnsi="Arial"/>
          <w:sz w:val="18"/>
          <w:szCs w:val="18"/>
          <w:color w:val="0C0C0C"/>
        </w:rPr>
      </w:pPr>
    </w:p>
    <w:p>
      <w:pPr>
        <w:jc w:val="both"/>
        <w:ind w:left="660" w:hanging="328"/>
        <w:spacing w:after="0" w:line="32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0C0C0C"/>
        </w:rPr>
        <w:t xml:space="preserve">Transacting accounts. </w:t>
      </w:r>
      <w:r>
        <w:rPr>
          <w:rFonts w:ascii="Arial" w:cs="Arial" w:eastAsia="Arial" w:hAnsi="Arial"/>
          <w:sz w:val="16"/>
          <w:szCs w:val="16"/>
          <w:color w:val="0C0C0C"/>
        </w:rPr>
        <w:t>We define transacting accounts as unique accounts that perform transactions on our platform each month. We use</w:t>
      </w:r>
      <w:r>
        <w:rPr>
          <w:rFonts w:ascii="Arial" w:cs="Arial" w:eastAsia="Arial" w:hAnsi="Arial"/>
          <w:sz w:val="16"/>
          <w:szCs w:val="16"/>
          <w:b w:val="1"/>
          <w:bCs w:val="1"/>
          <w:i w:val="1"/>
          <w:iCs w:val="1"/>
          <w:color w:val="0C0C0C"/>
        </w:rPr>
        <w:t xml:space="preserve"> </w:t>
      </w:r>
      <w:r>
        <w:rPr>
          <w:rFonts w:ascii="Arial" w:cs="Arial" w:eastAsia="Arial" w:hAnsi="Arial"/>
          <w:sz w:val="16"/>
          <w:szCs w:val="16"/>
          <w:color w:val="0C0C0C"/>
        </w:rPr>
        <w:t>transacting accounts to reflect how users across our platform use the variety of services we offer, such as redeeming loyalty points for travel or</w:t>
      </w:r>
    </w:p>
    <w:p>
      <w:pPr>
        <w:spacing w:after="0" w:line="1"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0C0C0C"/>
        </w:rPr>
        <w:t xml:space="preserve">merchandise, buying and selling crypto to facilitate everyday purchases, or converting loyalty points to cash or gift cards. There were 0.9 million and 1.6 million unique monthly transacting accounts during the </w:t>
      </w:r>
      <w:r>
        <w:rPr>
          <w:rFonts w:ascii="Arial" w:cs="Arial" w:eastAsia="Arial" w:hAnsi="Arial"/>
          <w:sz w:val="18"/>
          <w:szCs w:val="18"/>
          <w:color w:val="000000"/>
        </w:rPr>
        <w:t>three and six months ending June 30, 2023, respectively</w:t>
      </w:r>
      <w:r>
        <w:rPr>
          <w:rFonts w:ascii="Arial" w:cs="Arial" w:eastAsia="Arial" w:hAnsi="Arial"/>
          <w:sz w:val="18"/>
          <w:szCs w:val="18"/>
          <w:color w:val="0C0C0C"/>
        </w:rPr>
        <w:t>.</w:t>
      </w:r>
    </w:p>
    <w:p>
      <w:pPr>
        <w:spacing w:after="0" w:line="184" w:lineRule="exact"/>
        <w:rPr>
          <w:rFonts w:ascii="Arial" w:cs="Arial" w:eastAsia="Arial" w:hAnsi="Arial"/>
          <w:sz w:val="16"/>
          <w:szCs w:val="16"/>
          <w:color w:val="auto"/>
        </w:rPr>
      </w:pPr>
    </w:p>
    <w:p>
      <w:pPr>
        <w:jc w:val="both"/>
        <w:ind w:left="660" w:hanging="328"/>
        <w:spacing w:after="0" w:line="303" w:lineRule="auto"/>
        <w:tabs>
          <w:tab w:leader="none" w:pos="660" w:val="left"/>
        </w:tabs>
        <w:numPr>
          <w:ilvl w:val="0"/>
          <w:numId w:val="27"/>
        </w:numPr>
        <w:rPr>
          <w:rFonts w:ascii="Arial" w:cs="Arial" w:eastAsia="Arial" w:hAnsi="Arial"/>
          <w:sz w:val="18"/>
          <w:szCs w:val="18"/>
          <w:color w:val="0C0C0C"/>
        </w:rPr>
      </w:pPr>
      <w:r>
        <w:rPr>
          <w:rFonts w:ascii="Arial" w:cs="Arial" w:eastAsia="Arial" w:hAnsi="Arial"/>
          <w:sz w:val="18"/>
          <w:szCs w:val="18"/>
          <w:b w:val="1"/>
          <w:bCs w:val="1"/>
          <w:i w:val="1"/>
          <w:iCs w:val="1"/>
          <w:color w:val="auto"/>
        </w:rPr>
        <w:t xml:space="preserve">Notional traded volume. </w:t>
      </w:r>
      <w:r>
        <w:rPr>
          <w:rFonts w:ascii="Arial" w:cs="Arial" w:eastAsia="Arial" w:hAnsi="Arial"/>
          <w:sz w:val="18"/>
          <w:szCs w:val="18"/>
          <w:color w:val="0C0C0C"/>
        </w:rPr>
        <w:t>We define notional traded volume as the total notional volume of transactions across crypto and loyalty platforms.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0C0C0C"/>
        </w:rPr>
        <w:t xml:space="preserve">figures we use represent gross values recorded as of the order date. Notional traded volumes were $531.3 million and $724.3 million during the </w:t>
      </w:r>
      <w:r>
        <w:rPr>
          <w:rFonts w:ascii="Arial" w:cs="Arial" w:eastAsia="Arial" w:hAnsi="Arial"/>
          <w:sz w:val="18"/>
          <w:szCs w:val="18"/>
          <w:color w:val="000000"/>
        </w:rPr>
        <w:t>three and six months ending June 30, 2023, respectively</w:t>
      </w:r>
      <w:r>
        <w:rPr>
          <w:rFonts w:ascii="Arial" w:cs="Arial" w:eastAsia="Arial" w:hAnsi="Arial"/>
          <w:sz w:val="18"/>
          <w:szCs w:val="18"/>
          <w:color w:val="0C0C0C"/>
        </w:rPr>
        <w:t>.</w:t>
      </w:r>
    </w:p>
    <w:p>
      <w:pPr>
        <w:spacing w:after="0" w:line="174" w:lineRule="exact"/>
        <w:rPr>
          <w:rFonts w:ascii="Arial" w:cs="Arial" w:eastAsia="Arial" w:hAnsi="Arial"/>
          <w:sz w:val="18"/>
          <w:szCs w:val="18"/>
          <w:color w:val="0C0C0C"/>
        </w:rPr>
      </w:pPr>
    </w:p>
    <w:p>
      <w:pPr>
        <w:ind w:left="660" w:hanging="328"/>
        <w:spacing w:after="0"/>
        <w:tabs>
          <w:tab w:leader="none" w:pos="660" w:val="left"/>
        </w:tabs>
        <w:numPr>
          <w:ilvl w:val="0"/>
          <w:numId w:val="27"/>
        </w:numPr>
        <w:rPr>
          <w:rFonts w:ascii="Arial" w:cs="Arial" w:eastAsia="Arial" w:hAnsi="Arial"/>
          <w:sz w:val="16"/>
          <w:szCs w:val="16"/>
          <w:color w:val="0C0C0C"/>
        </w:rPr>
      </w:pPr>
      <w:r>
        <w:rPr>
          <w:rFonts w:ascii="Arial" w:cs="Arial" w:eastAsia="Arial" w:hAnsi="Arial"/>
          <w:sz w:val="16"/>
          <w:szCs w:val="16"/>
          <w:b w:val="1"/>
          <w:bCs w:val="1"/>
          <w:i w:val="1"/>
          <w:iCs w:val="1"/>
          <w:color w:val="auto"/>
        </w:rPr>
        <w:t xml:space="preserve">Assets under custody. </w:t>
      </w:r>
      <w:r>
        <w:rPr>
          <w:rFonts w:ascii="Arial" w:cs="Arial" w:eastAsia="Arial" w:hAnsi="Arial"/>
          <w:sz w:val="16"/>
          <w:szCs w:val="16"/>
          <w:color w:val="0C0C0C"/>
        </w:rPr>
        <w:t>We define assets under custody as the sum of coin quantities held by customers multiplied by the final quote for each coin</w:t>
      </w:r>
    </w:p>
    <w:p>
      <w:pPr>
        <w:spacing w:after="0" w:line="72" w:lineRule="exact"/>
        <w:rPr>
          <w:rFonts w:ascii="Arial" w:cs="Arial" w:eastAsia="Arial" w:hAnsi="Arial"/>
          <w:sz w:val="16"/>
          <w:szCs w:val="16"/>
          <w:color w:val="0C0C0C"/>
        </w:rPr>
      </w:pPr>
    </w:p>
    <w:p>
      <w:pPr>
        <w:ind w:left="660"/>
        <w:spacing w:after="0" w:line="308" w:lineRule="auto"/>
        <w:rPr>
          <w:rFonts w:ascii="Arial" w:cs="Arial" w:eastAsia="Arial" w:hAnsi="Arial"/>
          <w:sz w:val="16"/>
          <w:szCs w:val="16"/>
          <w:color w:val="0C0C0C"/>
        </w:rPr>
      </w:pPr>
      <w:r>
        <w:rPr>
          <w:rFonts w:ascii="Arial" w:cs="Arial" w:eastAsia="Arial" w:hAnsi="Arial"/>
          <w:sz w:val="18"/>
          <w:szCs w:val="18"/>
          <w:color w:val="0C0C0C"/>
        </w:rPr>
        <w:t xml:space="preserve">on the last day of the quarter. Assets under custody were $659.7 million and $26.1 million </w:t>
      </w:r>
      <w:r>
        <w:rPr>
          <w:rFonts w:ascii="Arial" w:cs="Arial" w:eastAsia="Arial" w:hAnsi="Arial"/>
          <w:sz w:val="18"/>
          <w:szCs w:val="18"/>
          <w:color w:val="000000"/>
        </w:rPr>
        <w:t>as of June 30, 2023 and December 31, 2022,</w:t>
      </w:r>
      <w:r>
        <w:rPr>
          <w:rFonts w:ascii="Arial" w:cs="Arial" w:eastAsia="Arial" w:hAnsi="Arial"/>
          <w:sz w:val="18"/>
          <w:szCs w:val="18"/>
          <w:color w:val="0C0C0C"/>
        </w:rPr>
        <w:t xml:space="preserve"> </w:t>
      </w:r>
      <w:r>
        <w:rPr>
          <w:rFonts w:ascii="Arial" w:cs="Arial" w:eastAsia="Arial" w:hAnsi="Arial"/>
          <w:sz w:val="18"/>
          <w:szCs w:val="18"/>
          <w:color w:val="000000"/>
        </w:rPr>
        <w:t>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8"/>
          <w:szCs w:val="18"/>
          <w:color w:val="231F20"/>
        </w:rPr>
        <w:t xml:space="preserve">The following table is our consolidated statements of operations </w:t>
      </w:r>
      <w:r>
        <w:rPr>
          <w:rFonts w:ascii="Arial" w:cs="Arial" w:eastAsia="Arial" w:hAnsi="Arial"/>
          <w:sz w:val="18"/>
          <w:szCs w:val="18"/>
          <w:color w:val="000000"/>
        </w:rPr>
        <w:t>for the three and six months ended June 30, 2023 and June 30, 2022, respectively,</w:t>
      </w:r>
      <w:r>
        <w:rPr>
          <w:rFonts w:ascii="Arial" w:cs="Arial" w:eastAsia="Arial" w:hAnsi="Arial"/>
          <w:sz w:val="18"/>
          <w:szCs w:val="18"/>
          <w:color w:val="231F20"/>
        </w:rPr>
        <w:t xml:space="preserv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Six Months Ended</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June 30, 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June 30, 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19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880" w:type="dxa"/>
            <w:vAlign w:val="bottom"/>
          </w:tcPr>
          <w:p>
            <w:pPr>
              <w:ind w:left="240"/>
              <w:spacing w:after="0" w:line="166" w:lineRule="exact"/>
              <w:rPr>
                <w:sz w:val="20"/>
                <w:szCs w:val="20"/>
                <w:color w:val="auto"/>
              </w:rPr>
            </w:pPr>
            <w:r>
              <w:rPr>
                <w:rFonts w:ascii="Arial" w:cs="Arial" w:eastAsia="Arial" w:hAnsi="Arial"/>
                <w:sz w:val="16"/>
                <w:szCs w:val="16"/>
                <w:color w:val="auto"/>
                <w:w w:val="91"/>
              </w:rPr>
              <w:t>Crypto services (includes related party net revenues of $0, $14, $1 and</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335,333</w:t>
            </w:r>
          </w:p>
        </w:tc>
        <w:tc>
          <w:tcPr>
            <w:tcW w:w="30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335,776</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09"/>
        </w:trPr>
        <w:tc>
          <w:tcPr>
            <w:tcW w:w="4880" w:type="dxa"/>
            <w:vAlign w:val="bottom"/>
          </w:tcPr>
          <w:p>
            <w:pPr>
              <w:ind w:left="240"/>
              <w:spacing w:after="0"/>
              <w:rPr>
                <w:sz w:val="20"/>
                <w:szCs w:val="20"/>
                <w:color w:val="auto"/>
              </w:rPr>
            </w:pPr>
            <w:r>
              <w:rPr>
                <w:rFonts w:ascii="Arial" w:cs="Arial" w:eastAsia="Arial" w:hAnsi="Arial"/>
                <w:sz w:val="16"/>
                <w:szCs w:val="16"/>
                <w:color w:val="auto"/>
              </w:rPr>
              <w:t>$34 respectively)</w:t>
            </w:r>
          </w:p>
        </w:tc>
        <w:tc>
          <w:tcPr>
            <w:tcW w:w="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Loyalty services,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26,110</w:t>
            </w:r>
          </w:p>
        </w:tc>
        <w:tc>
          <w:tcPr>
            <w:tcW w:w="0" w:type="dxa"/>
            <w:vAlign w:val="bottom"/>
          </w:tcPr>
          <w:p>
            <w:pPr>
              <w:spacing w:after="0"/>
              <w:rPr>
                <w:sz w:val="1"/>
                <w:szCs w:val="1"/>
                <w:color w:val="auto"/>
              </w:rPr>
            </w:pPr>
          </w:p>
        </w:tc>
      </w:tr>
      <w:tr>
        <w:trPr>
          <w:trHeight w:val="207"/>
        </w:trPr>
        <w:tc>
          <w:tcPr>
            <w:tcW w:w="48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347,629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360,848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27,103</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Crypto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331,810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332,173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Execution, clearing and brokerage fees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Compensation and benefits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61,209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69,335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Technology and communication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19,203</w:t>
            </w:r>
          </w:p>
        </w:tc>
        <w:tc>
          <w:tcPr>
            <w:tcW w:w="0" w:type="dxa"/>
            <w:vAlign w:val="bottom"/>
          </w:tcPr>
          <w:p>
            <w:pPr>
              <w:spacing w:after="0"/>
              <w:rPr>
                <w:sz w:val="1"/>
                <w:szCs w:val="1"/>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Acquisition-related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17,792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Related party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24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457,382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119,139</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(51,088)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(43,551)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(96,534)</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(92,036)</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Gain (loss) from change in fair value of warrant liability</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12,711</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(50,359)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(32,741)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(95,196)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(79,200)</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06"/>
        </w:trPr>
        <w:tc>
          <w:tcPr>
            <w:tcW w:w="4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(50,511)</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(27,641)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(95,366)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(70,962)</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(64,546)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(62,724)</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Net loss per share attributable to Class A common stockholders.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0"/>
        </w:trPr>
        <w:tc>
          <w:tcPr>
            <w:tcW w:w="488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(0.19)</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(0.36)</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Three Months Ended June 30, 2023 compared to Three Months Ended June 30,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three months ended June 30, 2023 included the following notable items relative to the three months ended June 30, 2022:</w:t>
      </w:r>
    </w:p>
    <w:p>
      <w:pPr>
        <w:spacing w:after="0" w:line="9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Revenue increased $333.6 million primarily driven by a significant increase in crypto trading revenue due to our acquisition of Bakkt Crypto; and</w:t>
      </w:r>
    </w:p>
    <w:p>
      <w:pPr>
        <w:spacing w:after="0" w:line="72" w:lineRule="exact"/>
        <w:rPr>
          <w:rFonts w:ascii="Arial" w:cs="Arial" w:eastAsia="Arial" w:hAnsi="Arial"/>
          <w:sz w:val="16"/>
          <w:szCs w:val="16"/>
          <w:color w:val="231F20"/>
        </w:rPr>
      </w:pPr>
    </w:p>
    <w:p>
      <w:pPr>
        <w:ind w:left="660" w:hanging="328"/>
        <w:spacing w:after="0" w:line="30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Operating expenses increased $341.1 million primarily driven by increased crypto trading costs in connection with our acquisition of Bakkt Crypto.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Revenue</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12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4"/>
                <w:szCs w:val="24"/>
                <w:color w:val="auto"/>
              </w:rPr>
            </w:pPr>
          </w:p>
        </w:tc>
        <w:tc>
          <w:tcPr>
            <w:tcW w:w="12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96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347,629</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333,594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Revenues consist of transaction revenue and subscription and service revenue. We receive revenue when consumers use our services to buy, sell, and redeem crypto and loyalty points. We generate revenue across our platform in the following key areas:</w:t>
      </w:r>
    </w:p>
    <w:p>
      <w:pPr>
        <w:spacing w:after="0" w:line="49" w:lineRule="exact"/>
        <w:rPr>
          <w:sz w:val="20"/>
          <w:szCs w:val="20"/>
          <w:color w:val="auto"/>
        </w:rPr>
      </w:pPr>
    </w:p>
    <w:p>
      <w:pPr>
        <w:ind w:left="660" w:hanging="328"/>
        <w:spacing w:after="0" w:line="3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Subscription and service revenue: We receive a recurring subscription revenue stream from client platform fees as well as service revenue from software development fees and call center support.</w:t>
      </w:r>
    </w:p>
    <w:p>
      <w:pPr>
        <w:spacing w:after="0" w:line="48" w:lineRule="exact"/>
        <w:rPr>
          <w:rFonts w:ascii="Arial" w:cs="Arial" w:eastAsia="Arial" w:hAnsi="Arial"/>
          <w:sz w:val="18"/>
          <w:szCs w:val="18"/>
          <w:color w:val="auto"/>
        </w:rPr>
      </w:pPr>
    </w:p>
    <w:p>
      <w:pPr>
        <w:ind w:left="660" w:hanging="328"/>
        <w:spacing w:after="0" w:line="395"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Transaction revenue: We generate transaction revenue through loyalty redemption volumes where we receive a percentage fee based on the volume (reported net of associated costs) and from crypto buy/sell trades where we earn a spread on both legs of the transaction (reported gross).</w:t>
      </w:r>
    </w:p>
    <w:p>
      <w:pPr>
        <w:spacing w:after="0" w:line="110"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loyalty revenue has seasonality and is typically higher in the fourth quarter, driven by holiday spending and the booking of travel. Revenue generated from our crypto services had been immaterial prior to this quarter however, with our acquisition of Bakkt Crypto, transaction and subscription revenue from crypto trades are now significant drivers of our business, and we expect those revenues to increase as we grow our client base and our customers. As a result of our acquisition of Bakkt Crypto, we expect loyalty revenue, which has been the source of substantially all of our revenue historically, to be a smaller percentage of overall revenue in the future as the revenue from our crypto product and service offerings grows.</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Revenues increased by $333.6 million for the three months ended June 30, 2023 compared to the three months ended June 30, 2022. The increase was comprised of $335.0 million of increased transaction revenue, offset by $1.5 million of decreased subscription and service revenue. The increase in transaction revenue was primarily driven by increased crypto trading volume due to our acquisition of Bakkt Crypto. The decrease in subscription and service revenue was related to reduced volume-based loyalty service revenues.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restructuring expenses, and other operating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Crypto Costs</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396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 costs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331,810</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231F20"/>
        </w:rPr>
        <w:t>Crypto costs represent the gross value of crypto sold by our customers on our platform. These costs are measured at the executed price at the time of the trade. Crypto costs increased by $331.3 million for the three months ended June 30, 2023 compared to the three months ended June 30, 2022. The increase reflects increased volume driven by our acquisition of Bakkt Crypto.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w w:val="95"/>
              </w:rPr>
              <w:t>Execution, Clearing and Brokerage Fees</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24"/>
                <w:szCs w:val="24"/>
                <w:color w:val="auto"/>
              </w:rPr>
            </w:pPr>
          </w:p>
        </w:tc>
        <w:tc>
          <w:tcPr>
            <w:tcW w:w="25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Three Months Ended June</w:t>
            </w: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4"/>
                <w:szCs w:val="24"/>
                <w:color w:val="auto"/>
              </w:rPr>
            </w:pPr>
          </w:p>
        </w:tc>
        <w:tc>
          <w:tcPr>
            <w:tcW w:w="12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960" w:type="dxa"/>
            <w:vAlign w:val="bottom"/>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Execution, clearing and brokerage fees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Execution, clearing and brokerage fees primarily represent payments to clients in exchange for driving order flow to our platform. Execution, clearing and brokerage fees were $2.2 million during the three months ended June 30, 2023. The increase reflects increased volume driven by our acquisition of Bakkt Crypto.</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390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10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Compensation and benefits expense include all salaries and benefits, compensation for contract labor, incentive programs for employees, payroll taxes, share-based and unit-based compensation and other employee related costs. Compensation and benefits expense is a significant component of our operating expenses, and we expect this will continue to be the case after the restructuring actions we took between the fourth quarter of 2022 and the second quarter of 2023.</w:t>
      </w:r>
    </w:p>
    <w:p>
      <w:pPr>
        <w:spacing w:after="0" w:line="17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231F20"/>
        </w:rPr>
        <w:t>Headcount increased year over year across functions as we invested in strengthening our service offerings and enhancing our systems, processes, and controls. Our restructuring actions have re-set our expense base to meet current market demand, and we expect to limit future hiring and leverage the team we have built to date as well as our Bakkt Crypto acquisition to execute our growth strategy. Accordingly, we expect that our compensation and expenses will decrease as a percentage of our revenue over time. Compensation and benefits decreased by $7.2 million, or 21.0%, for the three months ended June 30, 2023 compared to the three months ended June 30, 2022. The decrease was primarily due to a decreases of $4.3 million in non-cash compensation and incentive bonuses, $4.9 million in contract labor for software development costs and $1.1 million of recruiting fees, partially offset by increases of $3.0 million in capitalized software development costs and $1.6 million in salaries, wages and benefits.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Professional Services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1"/>
        </w:trPr>
        <w:tc>
          <w:tcPr>
            <w:tcW w:w="390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 Months Ended June</w:t>
            </w:r>
          </w:p>
        </w:tc>
        <w:tc>
          <w:tcPr>
            <w:tcW w:w="10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Professional services expense includes fees for accounting, legal and regulatory fees. Professional services increased by $1.0 million, or 49.9%, for the three months ended June 30, 2023 compared to the three months ended June 30, 2022. The increase was primarily due to increases of $1.1 million in audit and tax fees and $0.1 million in legal fees, partially offset by a decrease of $0.2 million in other professional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92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100" w:type="dxa"/>
            <w:vAlign w:val="bottom"/>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$0.2 million, or 5.5%, for the three months ended June 30, 2023 compared to the three months ended June 30, 2022. The increase was primarily due to an increase of $0.3 million in hardware and software license fees.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390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10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r>
    </w:tbl>
    <w:p>
      <w:pPr>
        <w:spacing w:after="0" w:line="31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8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Selling, general and administrative costs decreased by $2.2 million, or 22.6%, for the three months ended June 30, 2023 compared to the three months ended June 30, 2022. The decrease was primarily due to a $3.1 million reduction of marketing expenses, partially offset by increases of $0.4 million in occupancy costs and $0.3 million in regulatory filing fees. In 2022, the majority of marketing expenses were web-based promotional campaigns associated with our direct to consumer app, which we retired in the first quarter of 2023. We expect marketing efforts going forward to reflect our B2B2C focus and we will scale investments up or down depending on market conditions and opportunities.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396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 xml:space="preserve">Acquisition-related expenses increased by $16.8 million for the three months ended June 30, 2023 compared to the three months ended June 30, 2022. Acquisition-related expenses for the three months ended June 30, 2023 consist of </w:t>
      </w:r>
      <w:r>
        <w:rPr>
          <w:rFonts w:ascii="Arial" w:cs="Arial" w:eastAsia="Arial" w:hAnsi="Arial"/>
          <w:sz w:val="18"/>
          <w:szCs w:val="18"/>
          <w:color w:val="000000"/>
        </w:rPr>
        <w:t>fees for investment banking advisors, lawyers, accountants, tax</w:t>
      </w:r>
      <w:r>
        <w:rPr>
          <w:rFonts w:ascii="Arial" w:cs="Arial" w:eastAsia="Arial" w:hAnsi="Arial"/>
          <w:sz w:val="18"/>
          <w:szCs w:val="18"/>
          <w:color w:val="231F20"/>
        </w:rPr>
        <w:t xml:space="preserve"> </w:t>
      </w:r>
      <w:r>
        <w:rPr>
          <w:rFonts w:ascii="Arial" w:cs="Arial" w:eastAsia="Arial" w:hAnsi="Arial"/>
          <w:sz w:val="18"/>
          <w:szCs w:val="18"/>
          <w:color w:val="000000"/>
        </w:rPr>
        <w:t xml:space="preserve">advisors and public relations firms related to the </w:t>
      </w:r>
      <w:r>
        <w:rPr>
          <w:rFonts w:ascii="Arial" w:cs="Arial" w:eastAsia="Arial" w:hAnsi="Arial"/>
          <w:sz w:val="18"/>
          <w:szCs w:val="18"/>
          <w:color w:val="231F20"/>
        </w:rPr>
        <w:t>acquisitions of Bakkt Crypto. The amount and timing of acquisition-related expenses is expected to vary</w:t>
      </w:r>
      <w:r>
        <w:rPr>
          <w:rFonts w:ascii="Arial" w:cs="Arial" w:eastAsia="Arial" w:hAnsi="Arial"/>
          <w:sz w:val="18"/>
          <w:szCs w:val="18"/>
          <w:color w:val="000000"/>
        </w:rPr>
        <w:t xml:space="preserve"> </w:t>
      </w:r>
      <w:r>
        <w:rPr>
          <w:rFonts w:ascii="Arial" w:cs="Arial" w:eastAsia="Arial" w:hAnsi="Arial"/>
          <w:sz w:val="18"/>
          <w:szCs w:val="18"/>
          <w:color w:val="231F20"/>
        </w:rPr>
        <w:t>across periods based on potential transaction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388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12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918"/>
        </w:trPr>
        <w:tc>
          <w:tcPr>
            <w:tcW w:w="3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1"/>
        </w:trPr>
        <w:tc>
          <w:tcPr>
            <w:tcW w:w="38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the VIH Business Combination and acquisition of Bakkt Crypto. Depreciation and amortization decreased by $2.3 million, or 37.3%, for the three months ended June 30, 2023 compared to the three months ended June 30, 2022. The decrease was primarily due to lower net book values of intangible assets after impairments were recognized in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Restructuring Expenses</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394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 June</w:t>
            </w:r>
          </w:p>
        </w:tc>
        <w:tc>
          <w:tcPr>
            <w:tcW w:w="120" w:type="dxa"/>
            <w:vAlign w:val="bottom"/>
          </w:tcPr>
          <w:p>
            <w:pPr>
              <w:spacing w:after="0"/>
              <w:rPr>
                <w:sz w:val="24"/>
                <w:szCs w:val="24"/>
                <w:color w:val="auto"/>
              </w:rPr>
            </w:pPr>
          </w:p>
        </w:tc>
        <w:tc>
          <w:tcPr>
            <w:tcW w:w="25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Three Months Ended June</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Restructuring expenses of $0.2 million during the three months ended June 30, 2023 consist of severance costs and reversal of non-cash compensation as part of our business simplification initiatives to focus on capabilities with strong product market fit and scalability.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Gain from Change in Fair Value of Warrant Liability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0"/>
                <w:szCs w:val="20"/>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We recorded a gain of $0.4 million during the three months ended June 30, 2023 for the change in fair value on the revaluation of our warrant liability associated with our public warrants. We recorded a gain of $10.3 million during the three months ended June 30, 2022 for the change in fair value on the revaluation of our warrant liability associated with our public warrants. These are non-cash losses and gains and are driven by fluctuations in the market price of our public warrants.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5"/>
        </w:trPr>
        <w:tc>
          <w:tcPr>
            <w:tcW w:w="388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24"/>
                <w:szCs w:val="24"/>
                <w:color w:val="auto"/>
              </w:rPr>
            </w:pPr>
          </w:p>
        </w:tc>
        <w:tc>
          <w:tcPr>
            <w:tcW w:w="2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Three Months Ended June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3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(188.0 %)</w:t>
            </w: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Other income (expense), net primarily consists of non-operating gains and losses. During the three months ended June 30, 2023, we had expense of $0.3 million primarily related to foreign currency translation. During the three months ended June 30, 2022, we recorded income of $0.4 million primarily related to foreign currency translation.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388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c>
          <w:tcPr>
            <w:tcW w:w="12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 June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30, 2022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(103.0 %)</w:t>
            </w:r>
          </w:p>
        </w:tc>
      </w:tr>
    </w:tbl>
    <w:p>
      <w:pPr>
        <w:spacing w:after="0" w:line="310" w:lineRule="exact"/>
        <w:rPr>
          <w:sz w:val="20"/>
          <w:szCs w:val="20"/>
          <w:color w:val="auto"/>
        </w:rPr>
      </w:pPr>
    </w:p>
    <w:p>
      <w:pPr>
        <w:ind w:right="400" w:firstLine="648"/>
        <w:spacing w:after="0" w:line="303" w:lineRule="auto"/>
        <w:rPr>
          <w:sz w:val="20"/>
          <w:szCs w:val="20"/>
          <w:color w:val="auto"/>
        </w:rPr>
      </w:pPr>
      <w:r>
        <w:rPr>
          <w:rFonts w:ascii="Arial" w:cs="Arial" w:eastAsia="Arial" w:hAnsi="Arial"/>
          <w:sz w:val="18"/>
          <w:szCs w:val="18"/>
          <w:color w:val="231F20"/>
        </w:rPr>
        <w:t>Income tax expense during the three months ended June 30, 2023 primarily consists of current state tax expense related to certain state jurisdictions wherein we are required to file income tax returns . Income tax benefit during the three months ended June 30, 2022 primarily consists of deferred tax benefit from net loss allocated to Bakkt Holdings, Inc. during the period.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Six Months Ended June 30, 2023 compared to Six Months Ended June 30, 2022</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six months ended June 30, 2023 included the following notable items relative to the six months ended June 30, 2022:</w:t>
      </w:r>
    </w:p>
    <w:p>
      <w:pPr>
        <w:spacing w:after="0" w:line="10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Revenue increased $333.7 million primarily driven by a significant increase in crypto trading revenue due to our acquisition of Bakkt Crypto; and</w:t>
      </w:r>
    </w:p>
    <w:p>
      <w:pPr>
        <w:spacing w:after="0" w:line="59" w:lineRule="exact"/>
        <w:rPr>
          <w:rFonts w:ascii="Arial" w:cs="Arial" w:eastAsia="Arial" w:hAnsi="Arial"/>
          <w:sz w:val="16"/>
          <w:szCs w:val="16"/>
          <w:color w:val="231F20"/>
        </w:rPr>
      </w:pPr>
    </w:p>
    <w:p>
      <w:pPr>
        <w:ind w:left="660" w:hanging="328"/>
        <w:spacing w:after="0" w:line="3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Operating expenses increased $338.2 million primarily driven by increased crypto trading costs in connection with our acquisition of Bakkt Crypto.</w:t>
      </w:r>
    </w:p>
    <w:p>
      <w:pPr>
        <w:spacing w:after="0" w:line="1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231F20"/>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360,848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Revenues increased by $333.7 million for the six months ended June 30, 2023 compared to the six months ended June 30, 2022. The increase was comprised of $335.7 million of increased transaction revenue, offset by $2.0 million of decreased subscription and service revenue. The increase in transaction revenue was primarily driven by increased crypto trading volume due to our acquisition of Bakkt Crypto. The decrease in subscription and service revenue was related to reduced volume-based service revenues.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restructuring expenses, and other operating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Crypto Costs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Crypto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331,174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Crypto costs increased by $331.2 million for the six months ended June 30, 2023 compared to the six months ended June 30, 2022. The increase reflects increased volume driven by our acquisition of Bakkt Crypto.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w w:val="95"/>
              </w:rPr>
              <w:t>Execution, Clearing and Brokerage Fees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1"/>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Six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0"/>
                <w:szCs w:val="20"/>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Execution, clearing and brokerage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ind w:left="17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Execution, clearing and brokerage fees were $2.2 million during the six months ended June 30, 2023. The increase reflects increased volume driven by our acquisition of Bakkt Crypto.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4"/>
                <w:szCs w:val="2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90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Compensation and benefits decreased by $8.1 million, or 11.7%, for the six months ended June 30, 2023 compared to the six months ended June 30, 2022. The decrease was primarily due to decreases of $11.0 million in non-cash compensation and incentive bonuses, $7.5 million in contract labor for software development costs and $1.3 million in recruiting fees, partially offset by an increase of $7.2 million in salaries, wages and benefits and $5.6 million in capitalized software development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Professional Services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6"/>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bl>
    <w:p>
      <w:pPr>
        <w:spacing w:after="0" w:line="29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231F20"/>
        </w:rPr>
        <w:t>Professional services decreased by $1.3 million, or 20.4%, for the six months ended June 30, 2023 compared to the six months ended June 30, 2022. The decrease was due to decreases of $0.2 million in audit and tax fees, $0.6 million in legal fees and $0.6 million in other professional fees.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Technology and communications expense increased by $1.6 million, or 18.7%, for the six months ended June 30, 2023 compared to the six months ended June 30, 2022. The increase was primarily due to an increase of $1.6 million in hardware and software license fees.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Selling, general and administrative costs decreased by $4.9 million, or 25.7%, for the six months ended June 30, 2023 compared to the six months ended June 30, 2022. The decrease was primarily due to a $6.0 million reduction of marketing expenses, partially offset by an $1.0 million increase in occupancy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Acquisition-related expenses increased by $17.1 million for the six months ended June 30, 2023 compared to the six months ended June 30, 2022. Acquisition-related expenses for the three months ended June 30, 2023 consist of </w:t>
      </w:r>
      <w:r>
        <w:rPr>
          <w:rFonts w:ascii="Arial" w:cs="Arial" w:eastAsia="Arial" w:hAnsi="Arial"/>
          <w:sz w:val="18"/>
          <w:szCs w:val="18"/>
          <w:color w:val="000000"/>
        </w:rPr>
        <w:t>fees for investment banking advisors, lawyers, accountants, tax advisors</w:t>
      </w:r>
      <w:r>
        <w:rPr>
          <w:rFonts w:ascii="Arial" w:cs="Arial" w:eastAsia="Arial" w:hAnsi="Arial"/>
          <w:sz w:val="18"/>
          <w:szCs w:val="18"/>
          <w:color w:val="231F20"/>
        </w:rPr>
        <w:t xml:space="preserve"> </w:t>
      </w:r>
      <w:r>
        <w:rPr>
          <w:rFonts w:ascii="Arial" w:cs="Arial" w:eastAsia="Arial" w:hAnsi="Arial"/>
          <w:sz w:val="18"/>
          <w:szCs w:val="18"/>
          <w:color w:val="000000"/>
        </w:rPr>
        <w:t xml:space="preserve">and public relations firms related to the </w:t>
      </w:r>
      <w:r>
        <w:rPr>
          <w:rFonts w:ascii="Arial" w:cs="Arial" w:eastAsia="Arial" w:hAnsi="Arial"/>
          <w:sz w:val="18"/>
          <w:szCs w:val="18"/>
          <w:color w:val="231F20"/>
        </w:rPr>
        <w:t>acquisitions of</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Bakkt Crypto and Bakkt Brokerage. The amount and timing of acquisition-related expenses is expected to vary across periods based on potential transaction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3"/>
              </w:rPr>
              <w:t>$ Change</w:t>
            </w:r>
          </w:p>
        </w:tc>
        <w:tc>
          <w:tcPr>
            <w:tcW w:w="100" w:type="dxa"/>
            <w:vAlign w:val="bottom"/>
          </w:tcPr>
          <w:p>
            <w:pPr>
              <w:spacing w:after="0"/>
              <w:rPr>
                <w:sz w:val="24"/>
                <w:szCs w:val="2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8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Depreciation and amortization decreased by $5.1 million, or 42.4%, for the six months ended June 30, 2023 compared to the six months ended June 30, 2022. The decrease was primarily due to lower net book values of intangible assets after impairments were recorded in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Restructuring Expenses</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Six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CEEFF"/>
          </w:tcPr>
          <w:p>
            <w:pPr>
              <w:ind w:left="17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Restructuring expenses of $4.5 million during the six months ended June 30, 2023 consist of severance costs and accelerated vesting of non-cash compensation as part of our business simplification initiatives to focus on capabilities with strong product market fit and scalability.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(Loss) gain from Change in Fair Value of Warrant Liability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168"/>
        </w:trPr>
        <w:tc>
          <w:tcPr>
            <w:tcW w:w="39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(Loss) gain from change in fair value of warrant</w:t>
            </w:r>
          </w:p>
        </w:tc>
        <w:tc>
          <w:tcPr>
            <w:tcW w:w="2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recorded a loss of $0.6 million during the six months ended June 30, 2023 for the change in fair value on the revaluation of our warrant liability associated with our public warrants. We recorded a gain of $12.7 million during the six months ended June 30, 2022 for the change in fair value on the revaluation of our warrant liability associated with our public warrants.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20" w:type="dxa"/>
            <w:vAlign w:val="bottom"/>
          </w:tcPr>
          <w:p>
            <w:pPr>
              <w:spacing w:after="0"/>
              <w:rPr>
                <w:sz w:val="24"/>
                <w:szCs w:val="24"/>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39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Other income (expense), net primarily consists of non-operating gains and losses. During the six months ended June 30, 2023, we recorded expense of $0.3 million primarily related to foreign currency translation. During the six months ended June 30, 2022, we recorded expense of $0.1 million primarily related to foreign currency translation.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1"/>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June 30, 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June 30, 2022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 Change</w:t>
            </w:r>
          </w:p>
        </w:tc>
        <w:tc>
          <w:tcPr>
            <w:tcW w:w="100" w:type="dxa"/>
            <w:vAlign w:val="bottom"/>
          </w:tcPr>
          <w:p>
            <w:pPr>
              <w:spacing w:after="0"/>
              <w:rPr>
                <w:sz w:val="20"/>
                <w:szCs w:val="20"/>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ind w:right="120" w:firstLine="648"/>
        <w:spacing w:after="0" w:line="324" w:lineRule="auto"/>
        <w:rPr>
          <w:sz w:val="20"/>
          <w:szCs w:val="20"/>
          <w:color w:val="auto"/>
        </w:rPr>
      </w:pPr>
      <w:r>
        <w:rPr>
          <w:rFonts w:ascii="Arial" w:cs="Arial" w:eastAsia="Arial" w:hAnsi="Arial"/>
          <w:sz w:val="18"/>
          <w:szCs w:val="18"/>
          <w:color w:val="231F20"/>
        </w:rPr>
        <w:t>Income tax expense during the six months ended June 30, 2023 primarily consists of current state tax expense related to certain state jurisdictions wherein we are required to file income tax returns and an increase to our valuation</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allowance related to the goodwill recognized from the acquisition of Bakkt Crypto. Income tax benefit during the six months ended June 30, 2022 primarily consists of deferred tax benefit from net loss allocated to Bakkt Holdings, Inc. during the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70"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As of June 30, 2023, we had $84.5 million and $24.9 million of cash and cash equivalents and restricted cash, respectively. Additionally, as of June 30, 2023, we had $14.9 million of available-for-sale debt securities that mature over the next 3 months. Cash and cash equivalents consist of cash deposits at banks and money market funds. Restricted cash is held to satisfy certain minimum capital requirements pursuant to regulatory requirements.</w:t>
      </w:r>
    </w:p>
    <w:p>
      <w:pPr>
        <w:spacing w:after="0" w:line="14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 xml:space="preserve">We intend to use our unrestricted cash and proceeds from maturity of available-for-sale debt securities to (i) maintain our sales and marketing efforts and activate crypto clients, (ii) maintain our research and product development efforts, and (iii) optimize our technology infrastructure and operational support. </w:t>
      </w:r>
      <w:r>
        <w:rPr>
          <w:rFonts w:ascii="Arial" w:cs="Arial" w:eastAsia="Arial" w:hAnsi="Arial"/>
          <w:sz w:val="16"/>
          <w:szCs w:val="16"/>
          <w:color w:val="231F20"/>
        </w:rPr>
        <w:t>We expect to limit future hiring and leverage the team we have built to date as well as our Bakkt Crypto acquisition to execute our</w:t>
      </w:r>
      <w:r>
        <w:rPr>
          <w:rFonts w:ascii="Arial" w:cs="Arial" w:eastAsia="Arial" w:hAnsi="Arial"/>
          <w:sz w:val="16"/>
          <w:szCs w:val="16"/>
          <w:color w:val="auto"/>
        </w:rPr>
        <w:t xml:space="preserve"> </w:t>
      </w:r>
      <w:r>
        <w:rPr>
          <w:rFonts w:ascii="Arial" w:cs="Arial" w:eastAsia="Arial" w:hAnsi="Arial"/>
          <w:sz w:val="16"/>
          <w:szCs w:val="16"/>
          <w:color w:val="231F20"/>
        </w:rPr>
        <w:t xml:space="preserve">growth strategy. Excluding the cash purchase price to acquire Bakkt Crypto, we expect our cash usage in 2023 to decline from 2022 levels driven by the combined impact of increased revenue and expense reductions related to the completion of large-dollar investments in 2022 and benefits from restructuring actions. </w:t>
      </w:r>
      <w:r>
        <w:rPr>
          <w:rFonts w:ascii="Arial" w:cs="Arial" w:eastAsia="Arial" w:hAnsi="Arial"/>
          <w:sz w:val="16"/>
          <w:szCs w:val="16"/>
          <w:color w:val="000000"/>
        </w:rPr>
        <w:t>In addition, we may in the future enter into arrangements to acquire or invest in complementary businesses, services, technologies or intellectual</w:t>
      </w:r>
      <w:r>
        <w:rPr>
          <w:rFonts w:ascii="Arial" w:cs="Arial" w:eastAsia="Arial" w:hAnsi="Arial"/>
          <w:sz w:val="16"/>
          <w:szCs w:val="16"/>
          <w:color w:val="231F20"/>
        </w:rPr>
        <w:t xml:space="preserve"> </w:t>
      </w:r>
      <w:r>
        <w:rPr>
          <w:rFonts w:ascii="Arial" w:cs="Arial" w:eastAsia="Arial" w:hAnsi="Arial"/>
          <w:sz w:val="16"/>
          <w:szCs w:val="16"/>
          <w:color w:val="000000"/>
        </w:rPr>
        <w:t>property rights. However, we have no agreements or commitments with respect to any such acquisitions or investments at this time.</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expected uses of available funds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believe that we substantially completed the necessary investment in our platforms in 2022, which enables us to simplify our organization and focus on the core capabilities that are critical to our strategy.</w:t>
      </w:r>
    </w:p>
    <w:p>
      <w:pPr>
        <w:spacing w:after="0" w:line="18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660"/>
              <w:spacing w:after="0"/>
              <w:rPr>
                <w:sz w:val="20"/>
                <w:szCs w:val="20"/>
                <w:color w:val="auto"/>
              </w:rPr>
            </w:pPr>
            <w:r>
              <w:rPr>
                <w:rFonts w:ascii="Arial" w:cs="Arial" w:eastAsia="Arial" w:hAnsi="Arial"/>
                <w:sz w:val="18"/>
                <w:szCs w:val="18"/>
                <w:color w:val="231F20"/>
              </w:rPr>
              <w:t>The following table summarizes our cash flows for the periods presented (</w:t>
            </w:r>
            <w:r>
              <w:rPr>
                <w:rFonts w:ascii="Arial" w:cs="Arial" w:eastAsia="Arial" w:hAnsi="Arial"/>
                <w:sz w:val="18"/>
                <w:szCs w:val="18"/>
                <w:color w:val="000000"/>
              </w:rPr>
              <w:t>in thousands)</w:t>
            </w:r>
            <w:r>
              <w:rPr>
                <w:rFonts w:ascii="Arial" w:cs="Arial" w:eastAsia="Arial" w:hAnsi="Arial"/>
                <w:sz w:val="18"/>
                <w:szCs w:val="18"/>
                <w:color w:val="231F20"/>
              </w:rPr>
              <w: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41"/>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7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30, 2022</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(60,430)</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75,116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(203,937)</w:t>
            </w:r>
          </w:p>
        </w:tc>
      </w:tr>
      <w:tr>
        <w:trPr>
          <w:trHeight w:val="23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Net cash flows used in operating activities of $78.5 million for the six months ended June 30, 2023 was primarily related to our net loss of $95.4 million and net cash outflows resulting from changes in our operating assets and liabilities of $4.5 million, offset by non-cash charges of $21.4 million. Net cash outflows from changes in our operating assets and liabilities for the six months ended June 30, 2023 resulted primarily from a $11.1 million decrease of accounts payable and accrued liabilities, which was partially offset by a decrease in prepaid insurance of $6.9 million. The non-cash charges primarily consisted of share-based compensation of $11.3 million and depreciation and amortization of $6.9 million.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Net cash flows used in operating activities of $60.4 million for the six months ended June 30, 2022 is primarily related to our net loss of $71.0 million and changes in our operating assets and liabilities of $2.1 million, offset by non-cash charges of $12.6 million. The non-cash charges primarily consisted of share-based compensation of $21.2 million and depreciation and amortization of $11.9 million, offset by a gain from change in fair value of warrant liability of $12.7 million. Net cash outflows from changes in operating assets and liabilities resulted primarily from an increase in accounts receivables of $3.3 million, a decrease of accounts payable and accrued liabilities of $2.6 million and an increase in other assets and liabilities of $4.0 million, which were partially offset by a decrease in prepaid insurance of $8.6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Net cash flows provided by investing activities of $75.1 million for the six months ended June 30, 2023 consisted of the receipt of $153.2 million of proceeds from the sale of available-for-sale securities, partially offset by the purchase of $27.0 million of available-for-sale debt securities, $6.0 million of capitalized costs of internally developed software for our technology platforms, $44.4 million net cash used to acquire Bakkt Crypto and $0.6 million cash used to acquire Bakkt Brokerage.</w:t>
      </w:r>
    </w:p>
    <w:p>
      <w:pPr>
        <w:spacing w:after="0" w:line="19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Net cash flows used in investing activities of $203.9 million for the six months ended June 30, 2022 consisted of the purchase of $189.2 million of available-for-sale debt securities and $14.8 million of capitalized costs of internally developed software.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Net cash flows used in financing activities of $2.5 million during the six months ended June 30, 2023 resulted from the repurchase and retirement of Class A common stock that was withheld from vested RSUs/PSUs.</w:t>
      </w:r>
    </w:p>
    <w:p>
      <w:pPr>
        <w:spacing w:after="0" w:line="15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Net cash flows provided by financing activities of less than $0.1 million for the six months ended June 30, 2022 resulted from proceeds from the exercise of public warrants.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 Receivable Agreement</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Concurrently with the completion of the VIH Business Combination, we entered into a Tax Receivable Agreement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June 30, 2023, 22,678,761 Opco common units were exchanged for Class A common stock. Based on the Company's history of taxable losses, the Company has concluded that it is not probable to expect cash tax payments in the foreseeable future and as such, no value has been recorded under the TRA.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Commitments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The following is a summary of our significant contractual obligations and commitments as of </w:t>
      </w:r>
      <w:r>
        <w:rPr>
          <w:rFonts w:ascii="Arial" w:cs="Arial" w:eastAsia="Arial" w:hAnsi="Arial"/>
          <w:sz w:val="18"/>
          <w:szCs w:val="18"/>
          <w:color w:val="000000"/>
        </w:rPr>
        <w:t>June 30, 2023</w:t>
      </w:r>
      <w:r>
        <w:rPr>
          <w:rFonts w:ascii="Arial" w:cs="Arial" w:eastAsia="Arial" w:hAnsi="Arial"/>
          <w:sz w:val="18"/>
          <w:szCs w:val="18"/>
          <w:color w:val="231F20"/>
        </w:rPr>
        <w:t xml:space="preserve">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Payments Due by Period</w:t>
            </w: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84"/>
        </w:trPr>
        <w:tc>
          <w:tcPr>
            <w:tcW w:w="35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Less than 1 year</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9"/>
        </w:trPr>
        <w:tc>
          <w:tcPr>
            <w:tcW w:w="3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r>
      <w:tr>
        <w:trPr>
          <w:trHeight w:val="230"/>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w w:val="96"/>
              </w:rPr>
              <w:t>Future minimum operating lease payments</w:t>
            </w:r>
            <w:r>
              <w:rPr>
                <w:rFonts w:ascii="Arial" w:cs="Arial" w:eastAsia="Arial" w:hAnsi="Arial"/>
                <w:sz w:val="23"/>
                <w:szCs w:val="23"/>
                <w:color w:val="auto"/>
                <w:w w:val="96"/>
                <w:vertAlign w:val="superscript"/>
              </w:rPr>
              <w:t>(2)</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10,460</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7,444</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12,637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35,316</w:t>
            </w: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29,560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12,637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w:t>
            </w:r>
          </w:p>
        </w:tc>
      </w:tr>
    </w:tbl>
    <w:p>
      <w:pPr>
        <w:spacing w:after="0" w:line="29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minimum commitment payments under a four-year cloud computing arrangement and a separate five-year marketing partnership.</w:t>
      </w:r>
    </w:p>
    <w:p>
      <w:pPr>
        <w:spacing w:after="0" w:line="61" w:lineRule="exact"/>
        <w:rPr>
          <w:rFonts w:ascii="Arial" w:cs="Arial" w:eastAsia="Arial" w:hAnsi="Arial"/>
          <w:sz w:val="17"/>
          <w:szCs w:val="17"/>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rental payments under operating leases with remaining non-cancellable terms in excess of one year.</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 xml:space="preserve">Additionally, 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Arial" w:cs="Arial" w:eastAsia="Arial" w:hAnsi="Arial"/>
          <w:sz w:val="17"/>
          <w:szCs w:val="17"/>
          <w:color w:val="000000"/>
        </w:rPr>
        <w:t>In April 2022, we further extended the maturity date of the purchasing card</w:t>
      </w:r>
      <w:r>
        <w:rPr>
          <w:rFonts w:ascii="Arial" w:cs="Arial" w:eastAsia="Arial" w:hAnsi="Arial"/>
          <w:sz w:val="17"/>
          <w:szCs w:val="17"/>
          <w:color w:val="231F20"/>
        </w:rPr>
        <w:t xml:space="preserve"> </w:t>
      </w:r>
      <w:r>
        <w:rPr>
          <w:rFonts w:ascii="Arial" w:cs="Arial" w:eastAsia="Arial" w:hAnsi="Arial"/>
          <w:sz w:val="17"/>
          <w:szCs w:val="17"/>
          <w:color w:val="000000"/>
        </w:rPr>
        <w:t>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8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present Adjusted EBITDA as a non-GAAP financial measure.</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231F20"/>
        </w:rPr>
        <w:t>We believe that Adjusted EBITDA provides relevant and useful information, which is used by management in assessing the performance of our business. 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6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Six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4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June 30, 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June 30, 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30, 2022</w:t>
            </w: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11,949</w:t>
            </w: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(67,465)</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17,792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3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Share-based and unit-based compensation expense</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20,409</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Cancellation of common units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(Gain) loss from change in fair value of warrant liability</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Transition services expense</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Adjusted EBITDA loss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(24,496)</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(29,587)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(53,347)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(58,514)</w:t>
            </w:r>
          </w:p>
        </w:tc>
      </w:tr>
      <w:tr>
        <w:trPr>
          <w:trHeight w:val="20"/>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Adjusted EBITDA loss for the three months ended June 30, 2023 decreased by $5.1 million or 17.2% as compared to the three months ended June 30, 2022. The decreased loss was primarily due to decreases of $4.9 million in contract labor and $3.1 million in marketing expenses.</w:t>
      </w:r>
    </w:p>
    <w:p>
      <w:pPr>
        <w:spacing w:after="0" w:line="13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Adjusted EBITDA loss for the six months ended June 30, 2023 decreased by $5.2 million or 8.8% as compared to the six months ended June 30, 2022. The decreased loss was primarily due to decreases of $7.5 million in contract labor and $6.0 million in marketing expenses, partially offset by an increase of $5.6 million in capitalized software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For further information about our critical accounting policies and estimates, refer to “Item 7. Management’s Discussion and Analysis of Financial Condition and Results of Operations” in our Form 10-K. There have been no material changes to our critical accounting policies and estimates since our Form 10-K, except for those mentioned in conjunction with our acquisition of Bakkt Crypto in Note 2 of the unaudited consolidated financial statements included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w:t>
      </w:r>
      <w:r>
        <w:rPr>
          <w:rFonts w:ascii="Arial" w:cs="Arial" w:eastAsia="Arial" w:hAnsi="Arial"/>
          <w:sz w:val="17"/>
          <w:szCs w:val="17"/>
          <w:color w:val="231F20"/>
        </w:rPr>
        <w:t>The significant estimates and assumptions that affect the financial statements may</w:t>
      </w:r>
      <w:r>
        <w:rPr>
          <w:rFonts w:ascii="Arial" w:cs="Arial" w:eastAsia="Arial" w:hAnsi="Arial"/>
          <w:sz w:val="17"/>
          <w:szCs w:val="17"/>
          <w:color w:val="auto"/>
        </w:rPr>
        <w:t xml:space="preserve"> </w:t>
      </w:r>
      <w:r>
        <w:rPr>
          <w:rFonts w:ascii="Arial" w:cs="Arial" w:eastAsia="Arial" w:hAnsi="Arial"/>
          <w:sz w:val="17"/>
          <w:szCs w:val="17"/>
          <w:color w:val="231F20"/>
        </w:rPr>
        <w:t>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common units, incentive units and participation units. Actual results and outcomes may differ from management's estimates and assumptions and such differences may be material to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and Adopted Accounting Pronouncements</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 xml:space="preserve">Recently issued and adopted accounting pronouncements are described in Note 2 in the unaudited consolidated financial statements </w:t>
      </w:r>
      <w:r>
        <w:rPr>
          <w:rFonts w:ascii="Arial" w:cs="Arial" w:eastAsia="Arial" w:hAnsi="Arial"/>
          <w:sz w:val="18"/>
          <w:szCs w:val="18"/>
          <w:color w:val="000000"/>
        </w:rPr>
        <w:t>included in</w:t>
      </w:r>
      <w:r>
        <w:rPr>
          <w:rFonts w:ascii="Arial" w:cs="Arial" w:eastAsia="Arial" w:hAnsi="Arial"/>
          <w:sz w:val="18"/>
          <w:szCs w:val="18"/>
          <w:color w:val="231F20"/>
        </w:rPr>
        <w:t xml:space="preserve"> </w:t>
      </w:r>
      <w:r>
        <w:rPr>
          <w:rFonts w:ascii="Arial" w:cs="Arial" w:eastAsia="Arial" w:hAnsi="Arial"/>
          <w:sz w:val="18"/>
          <w:szCs w:val="18"/>
          <w:color w:val="000000"/>
        </w:rPr>
        <w:t>this Report</w:t>
      </w:r>
      <w:r>
        <w:rPr>
          <w:rFonts w:ascii="Arial" w:cs="Arial" w:eastAsia="Arial" w:hAnsi="Arial"/>
          <w:sz w:val="18"/>
          <w:szCs w:val="18"/>
          <w:color w:val="231F20"/>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There were no changes to our internal control over financial reporting (as defined in Rule 13a-15(f) and Rule 15d-15(f) under the Exchange Act) during the quarter ended June 30, 2023 that have materially affected, or are reasonably likely to materially affect, our internal control over financial reporting. Except as described below, there were no changes to our internal control over financial reporting (as defined in Rule 13a-15(f) and Rule 15d-15(f) under the Exchange Act) during the quarter ended June 30, 2023 that have materially affected, or are reasonably likely to materially affect, our internal control over financial reporting. In April 2023, we acquired Apex Crypto and are in the process of integrating the acquired business into our overall internal control over financial reporting process. Such acquisition exceeded 50% significance under the significance tests set forth in Item 3-05 of Regulation S-X. As permitted under applicable regulations, we have excluded Apex Crypto from our assessment of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please refer to Note 14 in our unaudited consolidated financial statements included in this Report.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9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5" w:name="page56"/>
    <w:bookmarkEnd w:id="55"/>
    <w:p>
      <w:pPr>
        <w:jc w:val="both"/>
        <w:spacing w:after="0" w:line="324" w:lineRule="auto"/>
        <w:rPr>
          <w:sz w:val="20"/>
          <w:szCs w:val="20"/>
          <w:color w:val="auto"/>
        </w:rPr>
      </w:pPr>
      <w:r>
        <w:rPr>
          <w:rFonts w:ascii="Arial" w:cs="Arial" w:eastAsia="Arial" w:hAnsi="Arial"/>
          <w:sz w:val="18"/>
          <w:szCs w:val="18"/>
          <w:color w:val="auto"/>
        </w:rPr>
        <w:t>significantly for each clients,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157"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5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Our agreements with our clients have terms that range from approximately one to five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18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Additionally, certain of our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finalize such agreements,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In addition, our ability to retain existing, or obtain new, partners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or determined to delist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partners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18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Any of the foregoing could, among other things, adversely impact our stock price, make us less competitive compared to our peers and otherwise significantly adversely affect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Excessive redemptions or withdrawals, or a suspension of redemptions or withdrawals, of crypto assets could adversely impact our business.</w:t>
      </w:r>
    </w:p>
    <w:p>
      <w:pPr>
        <w:spacing w:after="0" w:line="2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6" w:name="page57"/>
    <w:bookmarkEnd w:id="56"/>
    <w:p>
      <w:pPr>
        <w:jc w:val="both"/>
        <w:spacing w:after="0" w:line="291" w:lineRule="auto"/>
        <w:rPr>
          <w:sz w:val="20"/>
          <w:szCs w:val="20"/>
          <w:color w:val="auto"/>
        </w:rPr>
      </w:pPr>
      <w:r>
        <w:rPr>
          <w:rFonts w:ascii="Arial" w:cs="Arial" w:eastAsia="Arial" w:hAnsi="Arial"/>
          <w:sz w:val="17"/>
          <w:szCs w:val="17"/>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1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Bakkt Marketplace is subject to reporting requirements, restrictions with respect to the investment of consumer funds, bonding requirements and inspection by state regulatory agencies.</w:t>
      </w:r>
    </w:p>
    <w:p>
      <w:pPr>
        <w:spacing w:after="0" w:line="18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 xml:space="preserve">As we expand our business activities, both as to the products and services offered and into jurisdictions beyond the United States, including as a result of the Bakkt Crypto acquisition, we </w:t>
      </w:r>
      <w:r>
        <w:rPr>
          <w:rFonts w:ascii="Arial" w:cs="Arial" w:eastAsia="Arial" w:hAnsi="Arial"/>
          <w:sz w:val="16"/>
          <w:szCs w:val="16"/>
          <w:u w:val="single" w:color="auto"/>
          <w:color w:val="auto"/>
        </w:rPr>
        <w:t>have</w:t>
      </w:r>
      <w:r>
        <w:rPr>
          <w:rFonts w:ascii="Arial" w:cs="Arial" w:eastAsia="Arial" w:hAnsi="Arial"/>
          <w:sz w:val="16"/>
          <w:szCs w:val="16"/>
          <w:color w:val="auto"/>
        </w:rPr>
        <w:t xml:space="preserve"> become increasingly obligated to comply with new laws and regulations, including those of any additional countries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159"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As we are expanding our international activities, in particular in connection with our integration of Bakkt Crypto, we have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exchanges over time, such as by requiring crypto asset exchanges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7" w:name="page58"/>
    <w:bookmarkEnd w:id="57"/>
    <w:p>
      <w:pPr>
        <w:jc w:val="both"/>
        <w:spacing w:after="0" w:line="328" w:lineRule="auto"/>
        <w:rPr>
          <w:sz w:val="20"/>
          <w:szCs w:val="20"/>
          <w:color w:val="auto"/>
        </w:rPr>
      </w:pPr>
      <w:r>
        <w:rPr>
          <w:rFonts w:ascii="Arial" w:cs="Arial" w:eastAsia="Arial" w:hAnsi="Arial"/>
          <w:sz w:val="17"/>
          <w:szCs w:val="17"/>
          <w:color w:val="auto"/>
        </w:rPr>
        <w:t>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184"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 2023, the SEC initiated lawsuits against certain crypto currency exchanges, including Bittrex, Coinbase and Binance, alleging among other</w:t>
      </w:r>
    </w:p>
    <w:p>
      <w:pPr>
        <w:spacing w:after="0" w:line="61"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things that those entities operated as unregistered national securities exchanges, unregistered broker-dealers and unregistered clearing agencies and alleging that certain crypto assets available on their platforms are securities.</w:t>
      </w:r>
    </w:p>
    <w:p>
      <w:pPr>
        <w:spacing w:after="0" w:line="184" w:lineRule="exact"/>
        <w:rPr>
          <w:sz w:val="20"/>
          <w:szCs w:val="20"/>
          <w:color w:val="auto"/>
        </w:rPr>
      </w:pPr>
    </w:p>
    <w:p>
      <w:pPr>
        <w:ind w:left="660" w:hanging="324"/>
        <w:spacing w:after="0" w:line="328" w:lineRule="auto"/>
        <w:rPr>
          <w:sz w:val="20"/>
          <w:szCs w:val="20"/>
          <w:color w:val="auto"/>
        </w:rPr>
      </w:pPr>
      <w:r>
        <w:rPr>
          <w:rFonts w:ascii="Arial" w:cs="Arial" w:eastAsia="Arial" w:hAnsi="Arial"/>
          <w:sz w:val="17"/>
          <w:szCs w:val="17"/>
          <w:color w:val="auto"/>
        </w:rPr>
        <w:t>– The CFTC staff has publicly taken the position that certain cryptoassets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In June 2023, the CFTC won a default judgment against Ooki DAO, a decentralized autonomous organization that the CFTC charged with</w:t>
      </w:r>
    </w:p>
    <w:p>
      <w:pPr>
        <w:spacing w:after="0" w:line="61"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In July 2023, a court in the Southern District of New York held that Ripple’s sales of XRP to sophisticated investors pursuant to written contracts</w:t>
      </w:r>
    </w:p>
    <w:p>
      <w:pPr>
        <w:spacing w:after="0" w:line="72"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did constitute the unregistered offer and sale of investment contracts while sales of XRP to purchasers through blind bid/ask transactions on crypto asset exchanges did not constitute the sale of unregistered securities.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U.S. Congress has expressed the need for both greater federal oversight of the crypto industry and comprehensive cryptocurrency legislation.</w:t>
      </w:r>
    </w:p>
    <w:p>
      <w:pPr>
        <w:spacing w:after="0" w:line="72" w:lineRule="exact"/>
        <w:rPr>
          <w:sz w:val="20"/>
          <w:szCs w:val="20"/>
          <w:color w:val="auto"/>
        </w:rPr>
      </w:pPr>
    </w:p>
    <w:p>
      <w:pPr>
        <w:jc w:val="both"/>
        <w:ind w:left="660"/>
        <w:spacing w:after="0" w:line="325" w:lineRule="auto"/>
        <w:rPr>
          <w:sz w:val="20"/>
          <w:szCs w:val="20"/>
          <w:color w:val="auto"/>
        </w:rPr>
      </w:pPr>
      <w:r>
        <w:rPr>
          <w:rFonts w:ascii="Arial" w:cs="Arial" w:eastAsia="Arial" w:hAnsi="Arial"/>
          <w:sz w:val="16"/>
          <w:szCs w:val="16"/>
          <w:color w:val="auto"/>
        </w:rPr>
        <w:t>In June 2023, a bill was introduced in the U.S. House of Representatives that would place cryptocurrencies offered as part of an investment contract would fall under SEC oversight, while those that qualify as commodities would be overseen by the CFTC. Under the draft bill, whether a</w:t>
      </w:r>
    </w:p>
    <w:p>
      <w:pPr>
        <w:spacing w:after="0" w:line="1"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particularly crypto asset is as a security or commodity would depend on how decentralized its underlying blockchain is, as determined by an SEC ruling. The bill would also subject crypto asset intermediaries, such as certain of our subsidiaries, to registration with and regulation by the CFTC, the SEC or both.</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Certain state regulators, such as the NYDFS, have created or are in the process of creating new regulatory frameworks with respect to crypto. For</w:t>
      </w:r>
    </w:p>
    <w:p>
      <w:pPr>
        <w:spacing w:after="0" w:line="72" w:lineRule="exact"/>
        <w:rPr>
          <w:sz w:val="20"/>
          <w:szCs w:val="20"/>
          <w:color w:val="auto"/>
        </w:rPr>
      </w:pPr>
    </w:p>
    <w:p>
      <w:pPr>
        <w:jc w:val="both"/>
        <w:ind w:left="660"/>
        <w:spacing w:after="0" w:line="325" w:lineRule="auto"/>
        <w:rPr>
          <w:sz w:val="20"/>
          <w:szCs w:val="20"/>
          <w:color w:val="auto"/>
        </w:rPr>
      </w:pPr>
      <w:r>
        <w:rPr>
          <w:rFonts w:ascii="Arial" w:cs="Arial" w:eastAsia="Arial" w:hAnsi="Arial"/>
          <w:sz w:val="16"/>
          <w:szCs w:val="16"/>
          <w:color w:val="auto"/>
        </w:rPr>
        <w:t>example, in 2015, the NYDFS adopted “BitLicense,” the first U.S. regulatory framework for licensing participants in crypto business activity. Bakkt Marketplace currently operates under a BitLicense. On January 25, 2023, the NYDFS released guidance regarding crypto custody practices,</w:t>
      </w:r>
    </w:p>
    <w:p>
      <w:pPr>
        <w:spacing w:after="0" w:line="1" w:lineRule="exact"/>
        <w:rPr>
          <w:sz w:val="20"/>
          <w:szCs w:val="20"/>
          <w:color w:val="auto"/>
        </w:rPr>
      </w:pPr>
    </w:p>
    <w:p>
      <w:pPr>
        <w:ind w:left="660"/>
        <w:spacing w:after="0" w:line="308" w:lineRule="auto"/>
        <w:rPr>
          <w:sz w:val="20"/>
          <w:szCs w:val="20"/>
          <w:color w:val="auto"/>
        </w:rPr>
      </w:pPr>
      <w:r>
        <w:rPr>
          <w:rFonts w:ascii="Arial" w:cs="Arial" w:eastAsia="Arial" w:hAnsi="Arial"/>
          <w:sz w:val="18"/>
          <w:szCs w:val="18"/>
          <w:color w:val="auto"/>
        </w:rPr>
        <w:t>providing that a “virtual currency entity custodian” must: (1) separately account for and segregate customer assets from proprietary assets, (2) take possession of customer assets only for the limited purpose of carrying out custody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8" w:name="page59"/>
    <w:bookmarkEnd w:id="58"/>
    <w:p>
      <w:pPr>
        <w:jc w:val="both"/>
        <w:ind w:left="660"/>
        <w:spacing w:after="0" w:line="313" w:lineRule="auto"/>
        <w:rPr>
          <w:sz w:val="20"/>
          <w:szCs w:val="20"/>
          <w:color w:val="auto"/>
        </w:rPr>
      </w:pPr>
      <w:r>
        <w:rPr>
          <w:rFonts w:ascii="Arial" w:cs="Arial" w:eastAsia="Arial" w:hAnsi="Arial"/>
          <w:sz w:val="17"/>
          <w:szCs w:val="17"/>
          <w:color w:val="auto"/>
        </w:rPr>
        <w:t>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FinCEN has released guidance regarding how it considers its regulations to interact with crypto businesses.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IRS released guidance treating crypto as property that is not currency for U.S. federal income tax purposes.</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1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particular points. For instance, U.S. bankruptcy courts are now faced with a number of questions of first impression that may determine the status of crypto in bankruptcy, and the rights and obligations of platforms that custody crypto for their customers.</w:t>
      </w:r>
    </w:p>
    <w:p>
      <w:pPr>
        <w:spacing w:after="0" w:line="182"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See also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9" w:name="page60"/>
    <w:bookmarkEnd w:id="59"/>
    <w:p>
      <w:pPr>
        <w:jc w:val="both"/>
        <w:ind w:firstLine="648"/>
        <w:spacing w:after="0" w:line="329" w:lineRule="auto"/>
        <w:rPr>
          <w:sz w:val="20"/>
          <w:szCs w:val="20"/>
          <w:color w:val="auto"/>
        </w:rPr>
      </w:pPr>
      <w:r>
        <w:rPr>
          <w:rFonts w:ascii="Arial" w:cs="Arial" w:eastAsia="Arial" w:hAnsi="Arial"/>
          <w:sz w:val="16"/>
          <w:szCs w:val="16"/>
          <w:color w:val="auto"/>
        </w:rPr>
        <w:t>The SEC and its staff have taken the position that certain crypto assets fall within the definition of a “security” under the U.S. federal securities laws, and it is possible the SEC may take this position with respect to other assets that may be transacted on our platform. The legal test for determining whether any given asset is a security is a highly complex and, fact-driven analysis, and the outcome is difficult to predict. To date, public statements by senior officials at the SEC indicate that the SEC does not intend to take the position that bitcoin or ether are securities in their current form. However, such statements do not represent SEC rules or official policy statements by the SEC; they reflect only the speakers’ views and are not binding on the SEC or any</w:t>
      </w:r>
    </w:p>
    <w:p>
      <w:pPr>
        <w:spacing w:after="0" w:line="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other agency or court and cannot be generalized to any other crypto asset. The SEC, as well as other regulato</w:t>
      </w:r>
      <w:r>
        <w:rPr>
          <w:rFonts w:ascii="Arial" w:cs="Arial" w:eastAsia="Arial" w:hAnsi="Arial"/>
          <w:sz w:val="20"/>
          <w:szCs w:val="20"/>
          <w:color w:val="auto"/>
        </w:rPr>
        <w:t>rs,</w:t>
      </w:r>
      <w:r>
        <w:rPr>
          <w:rFonts w:ascii="Arial" w:cs="Arial" w:eastAsia="Arial" w:hAnsi="Arial"/>
          <w:sz w:val="17"/>
          <w:szCs w:val="17"/>
          <w:color w:val="auto"/>
        </w:rPr>
        <w:t xml:space="preserve">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and Binance.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backed by local currencies, known as “stablecoins,” will be deemed to be “securities.”</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9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out platform, is uncertain. We will only allow those crypto assets for which we determine there are reasonably strong arguments to conclude that the crypto asset is not a security.</w:t>
      </w:r>
    </w:p>
    <w:p>
      <w:pPr>
        <w:spacing w:after="0" w:line="16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0" w:name="page61"/>
    <w:bookmarkEnd w:id="60"/>
    <w:p>
      <w:pPr>
        <w:jc w:val="both"/>
        <w:spacing w:after="0" w:line="296" w:lineRule="auto"/>
        <w:rPr>
          <w:sz w:val="20"/>
          <w:szCs w:val="20"/>
          <w:color w:val="auto"/>
        </w:rPr>
      </w:pPr>
      <w:r>
        <w:rPr>
          <w:rFonts w:ascii="Arial" w:cs="Arial" w:eastAsia="Arial" w:hAnsi="Arial"/>
          <w:sz w:val="18"/>
          <w:szCs w:val="18"/>
          <w:color w:val="auto"/>
        </w:rPr>
        <w:t>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18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 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1" w:name="page62"/>
    <w:bookmarkEnd w:id="61"/>
    <w:p>
      <w:pPr>
        <w:jc w:val="both"/>
        <w:spacing w:after="0" w:line="335" w:lineRule="auto"/>
        <w:rPr>
          <w:sz w:val="20"/>
          <w:szCs w:val="20"/>
          <w:color w:val="auto"/>
        </w:rPr>
      </w:pPr>
      <w:r>
        <w:rPr>
          <w:rFonts w:ascii="Arial" w:cs="Arial" w:eastAsia="Arial" w:hAnsi="Arial"/>
          <w:sz w:val="16"/>
          <w:szCs w:val="16"/>
          <w:color w:val="auto"/>
        </w:rPr>
        <w:t>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15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63"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6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6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7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15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has excluded Bakkt Crypto. There is no assurance that we will not identify control deficiencies or material weaknesses when our assessment include Bakkt Crypto in future periods.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2" w:name="page63"/>
    <w:bookmarkEnd w:id="62"/>
    <w:p>
      <w:pPr>
        <w:jc w:val="both"/>
        <w:ind w:firstLine="648"/>
        <w:spacing w:after="0" w:line="323"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6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185"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August 9, 2023, the Company entered into an Amendment Agreement by and between the Company, AFS and PEAK6 Investments LLC, a Delaware limited liability company agreement (“PEAK6”) regarding that certain Stockholders’ Agreement, dated as of November 2, 2022, by and among the Company, AFS, and PEAK6 (the “Stockholders’ Agreement”) and that certain Registration Rights Agreement, dated as of April 1, 2023, by and among the Company, AFS, and the other Holders (as defined therein) from time to time party thereto (the “Registration Rights Agreement”), each of which were entered into in connection with the Company’s acquisition of Apex Crypto.</w:t>
      </w:r>
    </w:p>
    <w:p>
      <w:pPr>
        <w:spacing w:after="0" w:line="18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The Amendment Agreement, among other things, amends the Stockholder Agreement to shorten the lock-up expiration for the 2022 Contingent Shares (as defined in the Stockholders’ Agreement) such that, instead of two-thirds of the 2022 Contingent Shares being released at the eight-month anniversary of the issuance date and all remaining 2022 Contingent Shares being released at the one-year anniversary of the issuance date, two-thirds of the 2022 Contingent Shares will be released from the lock-up at the six-month anniversary of issuance and all remaining 2022 Contingent Shares will be released at the eight-month anniversary of the issuance date. The first one-third of the 2022 Contingent Shares continue to be released from the lock-up at the four-month anniversary of the issuance date. The Amendment Agreement also amends the Registration Rights Agreement to remove the deadline for obtaining effectiveness of the registration statement filed with the SEC by the Company to register the resale of, among others, the 2022 Contingent Shares (the “Resale Registration Statement), prior to the date that the Company is notified by the SEC that the Resale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3" w:name="page64"/>
    <w:bookmarkEnd w:id="63"/>
    <w:p>
      <w:pPr>
        <w:spacing w:after="0" w:line="324" w:lineRule="auto"/>
        <w:rPr>
          <w:sz w:val="20"/>
          <w:szCs w:val="20"/>
          <w:color w:val="auto"/>
        </w:rPr>
      </w:pPr>
      <w:r>
        <w:rPr>
          <w:rFonts w:ascii="Arial" w:cs="Arial" w:eastAsia="Arial" w:hAnsi="Arial"/>
          <w:sz w:val="18"/>
          <w:szCs w:val="18"/>
          <w:color w:val="auto"/>
        </w:rPr>
        <w:t>Registration Statement will not be subject to further review. Such amendments only become effective to the extent the Resale Registration Statement has not been declared effective by the SEC by August 18, 2023.</w:t>
      </w:r>
    </w:p>
    <w:p>
      <w:pPr>
        <w:spacing w:after="0" w:line="157"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description of the Amendment Agreement is qualified in its entirety by reference to the text of the Amendment Agreement, which is filed as Exhibit 4.2 to this Report and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33" w:lineRule="exact"/>
        <w:rPr>
          <w:sz w:val="20"/>
          <w:szCs w:val="20"/>
          <w:color w:val="auto"/>
        </w:rPr>
      </w:pPr>
    </w:p>
    <w:p>
      <w:pPr>
        <w:ind w:left="7880"/>
        <w:spacing w:after="0"/>
        <w:rPr>
          <w:sz w:val="20"/>
          <w:szCs w:val="20"/>
          <w:color w:val="auto"/>
        </w:rPr>
      </w:pPr>
      <w:r>
        <w:rPr>
          <w:rFonts w:ascii="Arial" w:cs="Arial" w:eastAsia="Arial" w:hAnsi="Arial"/>
          <w:sz w:val="22"/>
          <w:szCs w:val="22"/>
          <w:color w:val="auto"/>
        </w:rPr>
        <w:t>Incorporated by Reference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ind w:left="20"/>
              <w:spacing w:after="0" w:line="186" w:lineRule="exact"/>
              <w:rPr>
                <w:sz w:val="20"/>
                <w:szCs w:val="20"/>
                <w:color w:val="auto"/>
              </w:rPr>
            </w:pPr>
            <w:r>
              <w:rPr>
                <w:rFonts w:ascii="Arial" w:cs="Arial" w:eastAsia="Arial" w:hAnsi="Arial"/>
                <w:sz w:val="18"/>
                <w:szCs w:val="18"/>
                <w:b w:val="1"/>
                <w:bCs w:val="1"/>
                <w:color w:val="auto"/>
              </w:rPr>
              <w:t>Exhibit</w:t>
            </w:r>
          </w:p>
        </w:tc>
        <w:tc>
          <w:tcPr>
            <w:tcW w:w="5540" w:type="dxa"/>
            <w:vAlign w:val="bottom"/>
            <w:gridSpan w:val="3"/>
            <w:vMerge w:val="restart"/>
          </w:tcPr>
          <w:p>
            <w:pPr>
              <w:ind w:left="2320"/>
              <w:spacing w:after="0"/>
              <w:rPr>
                <w:sz w:val="20"/>
                <w:szCs w:val="20"/>
                <w:color w:val="auto"/>
              </w:rPr>
            </w:pPr>
            <w:r>
              <w:rPr>
                <w:rFonts w:ascii="Arial" w:cs="Arial" w:eastAsia="Arial" w:hAnsi="Arial"/>
                <w:sz w:val="18"/>
                <w:szCs w:val="18"/>
                <w:b w:val="1"/>
                <w:bCs w:val="1"/>
                <w:color w:val="auto"/>
              </w:rPr>
              <w:t>Description</w:t>
            </w: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Filing Date</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40" w:type="dxa"/>
            <w:vAlign w:val="bottom"/>
            <w:tcBorders>
              <w:bottom w:val="single" w:sz="8" w:color="auto"/>
            </w:tcBorders>
            <w:gridSpan w:val="3"/>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280" w:type="dxa"/>
            <w:vAlign w:val="bottom"/>
          </w:tcPr>
          <w:p>
            <w:pPr>
              <w:ind w:left="20"/>
              <w:spacing w:after="0"/>
              <w:rPr>
                <w:sz w:val="20"/>
                <w:szCs w:val="20"/>
                <w:color w:val="auto"/>
              </w:rPr>
            </w:pPr>
            <w:r>
              <w:rPr>
                <w:rFonts w:ascii="Arial" w:cs="Arial" w:eastAsia="Arial" w:hAnsi="Arial"/>
                <w:sz w:val="18"/>
                <w:szCs w:val="18"/>
                <w:color w:val="auto"/>
              </w:rPr>
              <w:t>2.1</w:t>
            </w:r>
          </w:p>
        </w:tc>
        <w:tc>
          <w:tcPr>
            <w:tcW w:w="5520" w:type="dxa"/>
            <w:vAlign w:val="bottom"/>
            <w:tcBorders>
              <w:bottom w:val="single" w:sz="8" w:color="0000FF"/>
            </w:tcBorders>
            <w:gridSpan w:val="2"/>
          </w:tcPr>
          <w:p>
            <w:pPr>
              <w:spacing w:after="0"/>
              <w:rPr>
                <w:rFonts w:ascii="Arial" w:cs="Arial" w:eastAsia="Arial" w:hAnsi="Arial"/>
                <w:sz w:val="18"/>
                <w:szCs w:val="18"/>
                <w:color w:val="0000FF"/>
                <w:w w:val="89"/>
              </w:rPr>
            </w:pPr>
            <w:hyperlink r:id="rId101">
              <w:r>
                <w:rPr>
                  <w:rFonts w:ascii="Arial" w:cs="Arial" w:eastAsia="Arial" w:hAnsi="Arial"/>
                  <w:sz w:val="18"/>
                  <w:szCs w:val="18"/>
                  <w:color w:val="0000FF"/>
                  <w:w w:val="89"/>
                </w:rPr>
                <w:t>Amendment No. 1 To Membership Interest Purchase Agreement, dated as of</w:t>
              </w:r>
            </w:hyperlink>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001-39544</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April 3, 2023</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520" w:type="dxa"/>
            <w:vAlign w:val="bottom"/>
            <w:tcBorders>
              <w:bottom w:val="single" w:sz="8" w:color="0000FF"/>
            </w:tcBorders>
            <w:gridSpan w:val="2"/>
          </w:tcPr>
          <w:p>
            <w:pPr>
              <w:spacing w:after="0" w:line="196"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March 30, 2023, by and among the Company, Bakkt Marketplace, Apex</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Fintech Solutions Inc. and Apex Crypto, LLC.</w:t>
              </w:r>
            </w:hyperlink>
          </w:p>
        </w:tc>
        <w:tc>
          <w:tcPr>
            <w:tcW w:w="22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1026"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Certificate of Incorporation of the Company, as currently in effect</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9"/>
              </w:rPr>
              <w:t>October 21, 2021</w:t>
            </w:r>
          </w:p>
        </w:tc>
      </w:tr>
      <w:tr>
        <w:trPr>
          <w:trHeight w:val="358"/>
        </w:trPr>
        <w:tc>
          <w:tcPr>
            <w:tcW w:w="4740" w:type="dxa"/>
            <w:vAlign w:val="bottom"/>
            <w:tcBorders>
              <w:top w:val="single" w:sz="8" w:color="0000FF"/>
            </w:tcBorders>
            <w:gridSpan w:val="2"/>
          </w:tcPr>
          <w:p>
            <w:pPr>
              <w:spacing w:after="0"/>
              <w:rPr>
                <w:rFonts w:ascii="Arial" w:cs="Arial" w:eastAsia="Arial" w:hAnsi="Arial"/>
                <w:sz w:val="18"/>
                <w:szCs w:val="18"/>
                <w:color w:val="0000FF"/>
              </w:rPr>
            </w:pPr>
            <w:hyperlink r:id="rId103">
              <w:r>
                <w:rPr>
                  <w:rFonts w:ascii="Arial" w:cs="Arial" w:eastAsia="Arial" w:hAnsi="Arial"/>
                  <w:sz w:val="18"/>
                  <w:szCs w:val="18"/>
                  <w:color w:val="0000FF"/>
                </w:rPr>
                <w:t>By-laws of the Company, as currently in effect</w:t>
              </w:r>
            </w:hyperlink>
          </w:p>
        </w:tc>
        <w:tc>
          <w:tcPr>
            <w:tcW w:w="9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89"/>
              </w:rPr>
              <w:t>October 21, 2021</w:t>
            </w:r>
          </w:p>
        </w:tc>
      </w:tr>
      <w:tr>
        <w:trPr>
          <w:trHeight w:val="20"/>
        </w:trPr>
        <w:tc>
          <w:tcPr>
            <w:tcW w:w="336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60"/>
        </w:trPr>
        <w:tc>
          <w:tcPr>
            <w:tcW w:w="5660" w:type="dxa"/>
            <w:vAlign w:val="bottom"/>
            <w:gridSpan w:val="3"/>
          </w:tcPr>
          <w:p>
            <w:pPr>
              <w:spacing w:after="0"/>
              <w:rPr>
                <w:rFonts w:ascii="Arial" w:cs="Arial" w:eastAsia="Arial" w:hAnsi="Arial"/>
                <w:sz w:val="18"/>
                <w:szCs w:val="18"/>
                <w:u w:val="single" w:color="auto"/>
                <w:color w:val="0000FF"/>
                <w:w w:val="96"/>
              </w:rPr>
            </w:pPr>
            <w:hyperlink r:id="rId104">
              <w:r>
                <w:rPr>
                  <w:rFonts w:ascii="Arial" w:cs="Arial" w:eastAsia="Arial" w:hAnsi="Arial"/>
                  <w:sz w:val="18"/>
                  <w:szCs w:val="18"/>
                  <w:u w:val="single" w:color="auto"/>
                  <w:color w:val="0000FF"/>
                  <w:w w:val="96"/>
                </w:rPr>
                <w:t>Registration Rights Agreement, dated as of April 1, 2023, by and between</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001-39544</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480" w:type="dxa"/>
            <w:vAlign w:val="bottom"/>
          </w:tcPr>
          <w:p>
            <w:pPr>
              <w:jc w:val="center"/>
              <w:ind w:left="150"/>
              <w:spacing w:after="0"/>
              <w:rPr>
                <w:sz w:val="20"/>
                <w:szCs w:val="20"/>
                <w:color w:val="auto"/>
              </w:rPr>
            </w:pPr>
            <w:r>
              <w:rPr>
                <w:rFonts w:ascii="Arial" w:cs="Arial" w:eastAsia="Arial" w:hAnsi="Arial"/>
                <w:sz w:val="18"/>
                <w:szCs w:val="18"/>
                <w:color w:val="auto"/>
                <w:w w:val="94"/>
              </w:rPr>
              <w:t>April 3, 2023</w:t>
            </w:r>
          </w:p>
        </w:tc>
      </w:tr>
    </w:tbl>
    <w:p>
      <w:pPr>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Bakkt Holdings, Inc. and Apex Fintech Solutions Inc.</w:t>
        </w:r>
      </w:hyperlink>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Amendment Agreement by and between Bakkt Holdings, Inc., Apex Fintech</w:t>
      </w:r>
    </w:p>
    <w:p>
      <w:pPr>
        <w:spacing w:after="0"/>
        <w:rPr>
          <w:sz w:val="20"/>
          <w:szCs w:val="20"/>
          <w:color w:val="auto"/>
        </w:rPr>
      </w:pPr>
      <w:r>
        <w:rPr>
          <w:rFonts w:ascii="Arial" w:cs="Arial" w:eastAsia="Arial" w:hAnsi="Arial"/>
          <w:sz w:val="18"/>
          <w:szCs w:val="18"/>
          <w:u w:val="single" w:color="auto"/>
          <w:color w:val="0000FF"/>
        </w:rPr>
        <w:t>Solutions Inc. and PEAK6 Investments LLC</w:t>
      </w:r>
    </w:p>
    <w:p>
      <w:pPr>
        <w:spacing w:after="0" w:line="115"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Executive Officer Pursuant to 18 U.S.C. Section 1350, as Adopted Pursuant to Section 906 of the Sarbanes-Oxley Act of 2002.</w:t>
      </w:r>
    </w:p>
    <w:p>
      <w:pPr>
        <w:spacing w:after="0" w:line="157"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143" w:lineRule="exact"/>
        <w:rPr>
          <w:sz w:val="20"/>
          <w:szCs w:val="20"/>
          <w:color w:val="auto"/>
        </w:rPr>
      </w:pPr>
    </w:p>
    <w:p>
      <w:pPr>
        <w:jc w:val="both"/>
        <w:ind w:right="4440"/>
        <w:spacing w:after="0" w:line="263"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5" w:lineRule="exact"/>
        <w:rPr>
          <w:sz w:val="20"/>
          <w:szCs w:val="20"/>
          <w:color w:val="auto"/>
        </w:rPr>
      </w:pPr>
    </w:p>
    <w:p>
      <w:pPr>
        <w:jc w:val="both"/>
        <w:ind w:right="4440"/>
        <w:spacing w:after="0" w:line="277"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80"/>
            <w:col w:w="9960"/>
          </w:cols>
          <w:pgMar w:left="320" w:top="10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65" w:name="page66"/>
    <w:bookmarkEnd w:id="65"/>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77" w:lineRule="exact"/>
        <w:rPr>
          <w:sz w:val="20"/>
          <w:szCs w:val="20"/>
          <w:color w:val="auto"/>
        </w:rPr>
      </w:pPr>
    </w:p>
    <w:p>
      <w:pPr>
        <w:jc w:val="right"/>
        <w:ind w:left="440" w:hanging="432"/>
        <w:spacing w:after="0" w:line="325" w:lineRule="auto"/>
        <w:tabs>
          <w:tab w:leader="none" w:pos="29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w:t>
      </w:r>
    </w:p>
    <w:p>
      <w:pPr>
        <w:spacing w:after="0" w:line="1" w:lineRule="exact"/>
        <w:rPr>
          <w:sz w:val="20"/>
          <w:szCs w:val="20"/>
          <w:color w:val="auto"/>
        </w:rPr>
      </w:pPr>
    </w:p>
    <w:p>
      <w:pPr>
        <w:jc w:val="center"/>
        <w:ind w:left="380" w:right="380"/>
        <w:spacing w:after="0" w:line="277" w:lineRule="auto"/>
        <w:rPr>
          <w:sz w:val="20"/>
          <w:szCs w:val="20"/>
          <w:color w:val="auto"/>
        </w:rPr>
      </w:pPr>
      <w:r>
        <w:rPr>
          <w:rFonts w:ascii="Arial" w:cs="Arial" w:eastAsia="Arial" w:hAnsi="Arial"/>
          <w:sz w:val="18"/>
          <w:szCs w:val="18"/>
          <w:color w:val="auto"/>
        </w:rPr>
        <w:t xml:space="preserve">1934, as amended, whether made before or after the date hereof and irrespective of any general incorporation language contained in such filings. </w:t>
      </w:r>
      <w:r>
        <w:rPr>
          <w:rFonts w:ascii="Arial" w:cs="Arial" w:eastAsia="Arial" w:hAnsi="Arial"/>
          <w:sz w:val="18"/>
          <w:szCs w:val="18"/>
          <w:b w:val="1"/>
          <w:bCs w:val="1"/>
          <w:color w:val="auto"/>
        </w:rPr>
        <w:t>SIGNATURES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3260" w:type="dxa"/>
            <w:vAlign w:val="bottom"/>
            <w:gridSpan w:val="2"/>
          </w:tcPr>
          <w:p>
            <w:pPr>
              <w:ind w:left="1740"/>
              <w:spacing w:after="0"/>
              <w:rPr>
                <w:sz w:val="20"/>
                <w:szCs w:val="20"/>
                <w:color w:val="auto"/>
              </w:rPr>
            </w:pPr>
            <w:r>
              <w:rPr>
                <w:rFonts w:ascii="Arial" w:cs="Arial" w:eastAsia="Arial" w:hAnsi="Arial"/>
                <w:sz w:val="18"/>
                <w:szCs w:val="18"/>
                <w:color w:val="auto"/>
                <w:w w:val="94"/>
              </w:rPr>
              <w:t>Bakkt Holdings, Inc.</w:t>
            </w:r>
          </w:p>
        </w:tc>
        <w:tc>
          <w:tcPr>
            <w:tcW w:w="4580" w:type="dxa"/>
            <w:vAlign w:val="bottom"/>
          </w:tcPr>
          <w:p>
            <w:pPr>
              <w:spacing w:after="0"/>
              <w:rPr>
                <w:sz w:val="20"/>
                <w:szCs w:val="20"/>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Date: August 10, 2023</w:t>
            </w:r>
          </w:p>
        </w:tc>
        <w:tc>
          <w:tcPr>
            <w:tcW w:w="32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2"/>
              </w:rPr>
              <w:t>/s/ Gavin Michael</w:t>
            </w:r>
          </w:p>
        </w:tc>
      </w:tr>
      <w:tr>
        <w:trPr>
          <w:trHeight w:val="224"/>
        </w:trPr>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center"/>
              <w:ind w:right="1010"/>
              <w:spacing w:after="0"/>
              <w:rPr>
                <w:sz w:val="20"/>
                <w:szCs w:val="20"/>
                <w:color w:val="auto"/>
              </w:rPr>
            </w:pPr>
            <w:r>
              <w:rPr>
                <w:rFonts w:ascii="Arial" w:cs="Arial" w:eastAsia="Arial" w:hAnsi="Arial"/>
                <w:sz w:val="18"/>
                <w:szCs w:val="18"/>
                <w:color w:val="auto"/>
                <w:w w:val="94"/>
              </w:rPr>
              <w:t>Gavin Michael</w:t>
            </w:r>
          </w:p>
        </w:tc>
      </w:tr>
      <w:tr>
        <w:trPr>
          <w:trHeight w:val="188"/>
        </w:trPr>
        <w:tc>
          <w:tcPr>
            <w:tcW w:w="3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jc w:val="center"/>
              <w:ind w:right="1010"/>
              <w:spacing w:after="0" w:line="189" w:lineRule="exact"/>
              <w:rPr>
                <w:sz w:val="20"/>
                <w:szCs w:val="20"/>
                <w:color w:val="auto"/>
              </w:rPr>
            </w:pPr>
            <w:r>
              <w:rPr>
                <w:rFonts w:ascii="Arial" w:cs="Arial" w:eastAsia="Arial" w:hAnsi="Arial"/>
                <w:sz w:val="18"/>
                <w:szCs w:val="18"/>
                <w:color w:val="auto"/>
                <w:w w:val="92"/>
              </w:rPr>
              <w:t>Chief Executive Officer, President and Director</w:t>
            </w:r>
          </w:p>
        </w:tc>
      </w:tr>
      <w:tr>
        <w:trPr>
          <w:trHeight w:val="230"/>
        </w:trPr>
        <w:tc>
          <w:tcPr>
            <w:tcW w:w="3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jc w:val="center"/>
              <w:ind w:right="990"/>
              <w:spacing w:after="0"/>
              <w:rPr>
                <w:sz w:val="20"/>
                <w:szCs w:val="20"/>
                <w:color w:val="auto"/>
              </w:rPr>
            </w:pPr>
            <w:r>
              <w:rPr>
                <w:rFonts w:ascii="Arial" w:cs="Arial" w:eastAsia="Arial" w:hAnsi="Arial"/>
                <w:sz w:val="18"/>
                <w:szCs w:val="18"/>
                <w:color w:val="auto"/>
                <w:w w:val="94"/>
              </w:rPr>
              <w:t>(Principal Executive Officer)</w:t>
            </w:r>
          </w:p>
        </w:tc>
      </w:tr>
      <w:tr>
        <w:trPr>
          <w:trHeight w:val="458"/>
        </w:trPr>
        <w:tc>
          <w:tcPr>
            <w:tcW w:w="3380" w:type="dxa"/>
            <w:vAlign w:val="bottom"/>
          </w:tcPr>
          <w:p>
            <w:pPr>
              <w:spacing w:after="0"/>
              <w:rPr>
                <w:sz w:val="20"/>
                <w:szCs w:val="20"/>
                <w:color w:val="auto"/>
              </w:rPr>
            </w:pPr>
            <w:r>
              <w:rPr>
                <w:rFonts w:ascii="Arial" w:cs="Arial" w:eastAsia="Arial" w:hAnsi="Arial"/>
                <w:sz w:val="18"/>
                <w:szCs w:val="18"/>
                <w:color w:val="auto"/>
              </w:rPr>
              <w:t>Date: August 10, 2023</w:t>
            </w:r>
          </w:p>
        </w:tc>
        <w:tc>
          <w:tcPr>
            <w:tcW w:w="32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1"/>
              </w:rPr>
              <w:t>/s/ Karen Alexander</w:t>
            </w:r>
          </w:p>
        </w:tc>
      </w:tr>
      <w:tr>
        <w:trPr>
          <w:trHeight w:val="222"/>
        </w:trPr>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0"/>
              </w:rPr>
              <w:t>Karen Alexander</w:t>
            </w:r>
          </w:p>
        </w:tc>
      </w:tr>
      <w:tr>
        <w:trPr>
          <w:trHeight w:val="176"/>
        </w:trPr>
        <w:tc>
          <w:tcPr>
            <w:tcW w:w="3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80" w:type="dxa"/>
            <w:vAlign w:val="bottom"/>
          </w:tcPr>
          <w:p>
            <w:pPr>
              <w:jc w:val="center"/>
              <w:ind w:right="1010"/>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4"/>
              </w:rPr>
              <w:t>(Principal Financial Officer)</w:t>
            </w:r>
          </w:p>
        </w:tc>
      </w:tr>
      <w:tr>
        <w:trPr>
          <w:trHeight w:val="512"/>
        </w:trPr>
        <w:tc>
          <w:tcPr>
            <w:tcW w:w="3380" w:type="dxa"/>
            <w:vAlign w:val="bottom"/>
          </w:tcPr>
          <w:p>
            <w:pPr>
              <w:spacing w:after="0"/>
              <w:rPr>
                <w:sz w:val="20"/>
                <w:szCs w:val="20"/>
                <w:color w:val="auto"/>
              </w:rPr>
            </w:pPr>
            <w:r>
              <w:rPr>
                <w:rFonts w:ascii="Arial" w:cs="Arial" w:eastAsia="Arial" w:hAnsi="Arial"/>
                <w:sz w:val="18"/>
                <w:szCs w:val="18"/>
                <w:color w:val="auto"/>
              </w:rPr>
              <w:t>Date: August 10, 2023</w:t>
            </w:r>
          </w:p>
        </w:tc>
        <w:tc>
          <w:tcPr>
            <w:tcW w:w="326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1"/>
              </w:rPr>
              <w:t>/s/ Chip Goodroe</w:t>
            </w:r>
          </w:p>
        </w:tc>
      </w:tr>
      <w:tr>
        <w:trPr>
          <w:trHeight w:val="222"/>
        </w:trPr>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0"/>
              </w:rPr>
              <w:t>Chip Goodroe</w:t>
            </w:r>
          </w:p>
        </w:tc>
      </w:tr>
      <w:tr>
        <w:trPr>
          <w:trHeight w:val="189"/>
        </w:trPr>
        <w:tc>
          <w:tcPr>
            <w:tcW w:w="33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jc w:val="center"/>
              <w:ind w:right="1010"/>
              <w:spacing w:after="0" w:line="189" w:lineRule="exact"/>
              <w:rPr>
                <w:sz w:val="20"/>
                <w:szCs w:val="20"/>
                <w:color w:val="auto"/>
              </w:rPr>
            </w:pPr>
            <w:r>
              <w:rPr>
                <w:rFonts w:ascii="Arial" w:cs="Arial" w:eastAsia="Arial" w:hAnsi="Arial"/>
                <w:sz w:val="18"/>
                <w:szCs w:val="18"/>
                <w:color w:val="auto"/>
                <w:w w:val="94"/>
              </w:rPr>
              <w:t>Chief Accounting Officer</w:t>
            </w:r>
          </w:p>
        </w:tc>
      </w:tr>
      <w:tr>
        <w:trPr>
          <w:trHeight w:val="230"/>
        </w:trPr>
        <w:tc>
          <w:tcPr>
            <w:tcW w:w="33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80" w:type="dxa"/>
            <w:vAlign w:val="bottom"/>
          </w:tcPr>
          <w:p>
            <w:pPr>
              <w:jc w:val="center"/>
              <w:ind w:right="1010"/>
              <w:spacing w:after="0"/>
              <w:rPr>
                <w:sz w:val="20"/>
                <w:szCs w:val="20"/>
                <w:color w:val="auto"/>
              </w:rPr>
            </w:pPr>
            <w:r>
              <w:rPr>
                <w:rFonts w:ascii="Arial" w:cs="Arial" w:eastAsia="Arial" w:hAnsi="Arial"/>
                <w:sz w:val="18"/>
                <w:szCs w:val="18"/>
                <w:color w:val="auto"/>
                <w:w w:val="94"/>
              </w:rPr>
              <w:t>(Principal Accounting Officer)</w:t>
            </w:r>
          </w:p>
        </w:tc>
      </w:tr>
      <w:tr>
        <w:trPr>
          <w:trHeight w:val="918"/>
        </w:trPr>
        <w:tc>
          <w:tcPr>
            <w:tcW w:w="3380" w:type="dxa"/>
            <w:vAlign w:val="bottom"/>
          </w:tcPr>
          <w:p>
            <w:pPr>
              <w:spacing w:after="0"/>
              <w:rPr>
                <w:sz w:val="24"/>
                <w:szCs w:val="24"/>
                <w:color w:val="auto"/>
              </w:rPr>
            </w:pPr>
          </w:p>
        </w:tc>
        <w:tc>
          <w:tcPr>
            <w:tcW w:w="3260" w:type="dxa"/>
            <w:vAlign w:val="bottom"/>
            <w:gridSpan w:val="2"/>
          </w:tcPr>
          <w:p>
            <w:pPr>
              <w:ind w:left="2140"/>
              <w:spacing w:after="0"/>
              <w:rPr>
                <w:sz w:val="20"/>
                <w:szCs w:val="20"/>
                <w:color w:val="auto"/>
              </w:rPr>
            </w:pPr>
            <w:r>
              <w:rPr>
                <w:rFonts w:ascii="Arial" w:cs="Arial" w:eastAsia="Arial" w:hAnsi="Arial"/>
                <w:sz w:val="18"/>
                <w:szCs w:val="18"/>
                <w:color w:val="auto"/>
              </w:rPr>
              <w:t>66</w:t>
            </w:r>
          </w:p>
        </w:tc>
        <w:tc>
          <w:tcPr>
            <w:tcW w:w="4580" w:type="dxa"/>
            <w:vAlign w:val="bottom"/>
          </w:tcPr>
          <w:p>
            <w:pPr>
              <w:spacing w:after="0"/>
              <w:rPr>
                <w:sz w:val="24"/>
                <w:szCs w:val="24"/>
                <w:color w:val="auto"/>
              </w:rPr>
            </w:pPr>
          </w:p>
        </w:tc>
      </w:tr>
    </w:tbl>
    <w:p>
      <w:pPr>
        <w:sectPr>
          <w:pgSz w:w="11900" w:h="16838" w:orient="portrait"/>
          <w:cols w:equalWidth="0" w:num="1">
            <w:col w:w="11240"/>
          </w:cols>
          <w:pgMar w:left="320" w:top="98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AGREEMENT</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This Amendment Agreement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regarding that certain Stockholders’ Agreement, dated as of November 2, 2022 (the “</w:t>
      </w:r>
      <w:r>
        <w:rPr>
          <w:rFonts w:ascii="Arial" w:cs="Arial" w:eastAsia="Arial" w:hAnsi="Arial"/>
          <w:sz w:val="18"/>
          <w:szCs w:val="18"/>
          <w:b w:val="1"/>
          <w:bCs w:val="1"/>
          <w:u w:val="single" w:color="auto"/>
          <w:color w:val="auto"/>
        </w:rPr>
        <w:t>Stockholders’ Agreement</w:t>
      </w:r>
      <w:r>
        <w:rPr>
          <w:rFonts w:ascii="Arial" w:cs="Arial" w:eastAsia="Arial" w:hAnsi="Arial"/>
          <w:sz w:val="18"/>
          <w:szCs w:val="18"/>
          <w:color w:val="auto"/>
        </w:rPr>
        <w:t>”), by and among Bakkt Holdings,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 Apex Fintech Solutions Inc., a Delaware corporation (“</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and PEAK6 Investments LLC, a Delaware limited liability company (“</w:t>
      </w:r>
      <w:r>
        <w:rPr>
          <w:rFonts w:ascii="Arial" w:cs="Arial" w:eastAsia="Arial" w:hAnsi="Arial"/>
          <w:sz w:val="18"/>
          <w:szCs w:val="18"/>
          <w:b w:val="1"/>
          <w:bCs w:val="1"/>
          <w:u w:val="single" w:color="auto"/>
          <w:color w:val="auto"/>
        </w:rPr>
        <w:t>PEAK6 Investments</w:t>
      </w:r>
      <w:r>
        <w:rPr>
          <w:rFonts w:ascii="Arial" w:cs="Arial" w:eastAsia="Arial" w:hAnsi="Arial"/>
          <w:sz w:val="18"/>
          <w:szCs w:val="18"/>
          <w:color w:val="auto"/>
        </w:rPr>
        <w:t>”), and that certain Registration Rights Agreement, dated as of April 1, 2023 (the “</w:t>
      </w: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color w:val="auto"/>
        </w:rPr>
        <w:t>” and, together with the Stockholders’ Agreement, the “</w:t>
      </w:r>
      <w:r>
        <w:rPr>
          <w:rFonts w:ascii="Arial" w:cs="Arial" w:eastAsia="Arial" w:hAnsi="Arial"/>
          <w:sz w:val="18"/>
          <w:szCs w:val="18"/>
          <w:b w:val="1"/>
          <w:bCs w:val="1"/>
          <w:u w:val="single" w:color="auto"/>
          <w:color w:val="auto"/>
        </w:rPr>
        <w:t>Agreements</w:t>
      </w:r>
      <w:r>
        <w:rPr>
          <w:rFonts w:ascii="Arial" w:cs="Arial" w:eastAsia="Arial" w:hAnsi="Arial"/>
          <w:sz w:val="18"/>
          <w:szCs w:val="18"/>
          <w:color w:val="auto"/>
        </w:rPr>
        <w:t>”), by and among the Company, Investor, and the other Holders (as defined therein) from time to time party thereto, is made and entered into as of August 9, 2023, by and among the Company, Investor and PEAK6 Investments.</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the Agreements were entered into in connection with the transactions contemplated by that certain Membership Interest Purchase Agreement, dated as of November 2, 2022, by and among Apex Crypto LLC, a Delaware limited liability company, the Company, Bakkt Marketplace, LLC, and Investor.</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WHEREAS, on April 26, 2023, the Company filed a Registration Statement on Form S-3 (File No. 333-271438) (the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covering the resale of the Contingent Shares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Rights Agreement), and the Registration Statement remains subject to the ongoing review of the Commission.</w:t>
      </w:r>
    </w:p>
    <w:p>
      <w:pPr>
        <w:spacing w:after="0" w:line="14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WHEREAS, the undersigned, which constitute all of the parties to each Agreement, wish to amend the Stockholders’ Agreement to modify the lock-up expiration for the 2022 Contingent Shares (as defined in the Stockholders’ Agreement) and, as consideration for such amendment to the Stockholders’ Agreement, the parties have agreed to make a technical amendment to the Registration Rights Agreement to remove the deadline for obtaining effectiveness of the Shelf Registration Statement, with such amendments only to become effective to the extent the Registration Statement has not been declared effective by the Commission by August 18, 2023 (such condition, the “</w:t>
      </w:r>
      <w:r>
        <w:rPr>
          <w:rFonts w:ascii="Arial" w:cs="Arial" w:eastAsia="Arial" w:hAnsi="Arial"/>
          <w:sz w:val="16"/>
          <w:szCs w:val="16"/>
          <w:b w:val="1"/>
          <w:bCs w:val="1"/>
          <w:u w:val="single" w:color="auto"/>
          <w:color w:val="auto"/>
        </w:rPr>
        <w:t>Condition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Precedent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pursuant to Section 6.10 of the Registration Rights Agreement, the Registration Rights Agreement may only be modified by a written instrument duly executed by the Company and Investor.</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pursuant to Section 5.9 of the Stockholders’ Agreement, the Stockholders’ Agreement may only be amended if such amendment is in writing and signed by each of the parties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hereby agree as follows:</w:t>
      </w:r>
    </w:p>
    <w:p>
      <w:pPr>
        <w:spacing w:after="0" w:line="196" w:lineRule="exact"/>
        <w:rPr>
          <w:sz w:val="20"/>
          <w:szCs w:val="20"/>
          <w:color w:val="auto"/>
        </w:rPr>
      </w:pPr>
    </w:p>
    <w:p>
      <w:pPr>
        <w:ind w:left="340" w:firstLine="316"/>
        <w:spacing w:after="0" w:line="267" w:lineRule="auto"/>
        <w:tabs>
          <w:tab w:leader="none" w:pos="1312"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Stockholders’ Agreement</w:t>
      </w:r>
      <w:r>
        <w:rPr>
          <w:rFonts w:ascii="Arial" w:cs="Arial" w:eastAsia="Arial" w:hAnsi="Arial"/>
          <w:sz w:val="20"/>
          <w:szCs w:val="20"/>
          <w:color w:val="auto"/>
        </w:rPr>
        <w:t>. Effective upon satisfaction of the Condition Precedent, Section 3.1(a) of the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hereby amended and restated in its entirety by the following:</w:t>
      </w:r>
    </w:p>
    <w:p>
      <w:pPr>
        <w:spacing w:after="0" w:line="150"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b w:val="1"/>
          <w:bCs w:val="1"/>
          <w:u w:val="single" w:color="auto"/>
          <w:color w:val="auto"/>
        </w:rPr>
        <w:t>Lock-up</w:t>
      </w:r>
      <w:r>
        <w:rPr>
          <w:rFonts w:ascii="Arial" w:cs="Arial" w:eastAsia="Arial" w:hAnsi="Arial"/>
          <w:sz w:val="20"/>
          <w:szCs w:val="20"/>
          <w:color w:val="auto"/>
        </w:rPr>
        <w:t>.</w:t>
      </w:r>
    </w:p>
    <w:p>
      <w:pPr>
        <w:spacing w:after="0" w:line="208" w:lineRule="exact"/>
        <w:rPr>
          <w:sz w:val="20"/>
          <w:szCs w:val="20"/>
          <w:color w:val="auto"/>
        </w:rPr>
      </w:pPr>
    </w:p>
    <w:p>
      <w:pPr>
        <w:ind w:left="1960" w:hanging="656"/>
        <w:spacing w:after="0"/>
        <w:tabs>
          <w:tab w:leader="none" w:pos="1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Investor shall not, directly or indirectly, alone or in conjunction with any member of the Investor Group,</w:t>
      </w:r>
    </w:p>
    <w:p>
      <w:pPr>
        <w:spacing w:after="0" w:line="16" w:lineRule="exact"/>
        <w:rPr>
          <w:sz w:val="20"/>
          <w:szCs w:val="20"/>
          <w:color w:val="auto"/>
        </w:rPr>
      </w:pPr>
    </w:p>
    <w:p>
      <w:pPr>
        <w:jc w:val="both"/>
        <w:ind w:left="1960" w:right="640"/>
        <w:spacing w:after="0" w:line="248" w:lineRule="auto"/>
        <w:rPr>
          <w:sz w:val="20"/>
          <w:szCs w:val="20"/>
          <w:color w:val="auto"/>
        </w:rPr>
      </w:pPr>
      <w:r>
        <w:rPr>
          <w:rFonts w:ascii="Arial" w:cs="Arial" w:eastAsia="Arial" w:hAnsi="Arial"/>
          <w:sz w:val="19"/>
          <w:szCs w:val="19"/>
          <w:color w:val="auto"/>
        </w:rPr>
        <w:t>without the prior written consent of the Company, during the period commencing on the date the 2022 Contingent Shares are issued, if at all, under the Purchase Agreement (such date, the “</w:t>
      </w:r>
      <w:r>
        <w:rPr>
          <w:rFonts w:ascii="Arial" w:cs="Arial" w:eastAsia="Arial" w:hAnsi="Arial"/>
          <w:sz w:val="19"/>
          <w:szCs w:val="19"/>
          <w:b w:val="1"/>
          <w:bCs w:val="1"/>
          <w:u w:val="single" w:color="auto"/>
          <w:color w:val="auto"/>
        </w:rPr>
        <w:t>2023 Lock-up Commencement Date</w:t>
      </w:r>
      <w:r>
        <w:rPr>
          <w:rFonts w:ascii="Arial" w:cs="Arial" w:eastAsia="Arial" w:hAnsi="Arial"/>
          <w:sz w:val="19"/>
          <w:szCs w:val="19"/>
          <w:color w:val="auto"/>
        </w:rPr>
        <w:t>”) and ending on the eight-month anniversary of the 2023 Lock-up Commencement Date (the “</w:t>
      </w:r>
      <w:r>
        <w:rPr>
          <w:rFonts w:ascii="Arial" w:cs="Arial" w:eastAsia="Arial" w:hAnsi="Arial"/>
          <w:sz w:val="19"/>
          <w:szCs w:val="19"/>
          <w:b w:val="1"/>
          <w:bCs w:val="1"/>
          <w:u w:val="single" w:color="auto"/>
          <w:color w:val="auto"/>
        </w:rPr>
        <w:t>2023 Lock-up Period</w:t>
      </w:r>
      <w:r>
        <w:rPr>
          <w:rFonts w:ascii="Arial" w:cs="Arial" w:eastAsia="Arial" w:hAnsi="Arial"/>
          <w:sz w:val="19"/>
          <w:szCs w:val="19"/>
          <w:color w:val="auto"/>
        </w:rPr>
        <w:t>”), (a) offer, pledge, sell, contract to sell,</w:t>
      </w:r>
    </w:p>
    <w:p>
      <w:pPr>
        <w:sectPr>
          <w:pgSz w:w="11900" w:h="16838" w:orient="portrait"/>
          <w:cols w:equalWidth="0" w:num="1">
            <w:col w:w="11240"/>
          </w:cols>
          <w:pgMar w:left="320" w:top="108" w:right="339" w:bottom="1440" w:gutter="0" w:footer="0" w:header="0"/>
        </w:sectPr>
      </w:pPr>
    </w:p>
    <w:bookmarkStart w:id="67" w:name="page68"/>
    <w:bookmarkEnd w:id="67"/>
    <w:p>
      <w:pPr>
        <w:jc w:val="both"/>
        <w:ind w:left="1620" w:right="640"/>
        <w:spacing w:after="0" w:line="248" w:lineRule="auto"/>
        <w:rPr>
          <w:sz w:val="20"/>
          <w:szCs w:val="20"/>
          <w:color w:val="auto"/>
        </w:rPr>
      </w:pPr>
      <w:r>
        <w:rPr>
          <w:rFonts w:ascii="Arial" w:cs="Arial" w:eastAsia="Arial" w:hAnsi="Arial"/>
          <w:sz w:val="19"/>
          <w:szCs w:val="19"/>
          <w:color w:val="auto"/>
        </w:rPr>
        <w:t>grant any option, right or warrant to purchase, give, assign, hypothecate, pledge, encumber, grant a security interest in, sell any option or contract to purchase, purchase any option or contract to sell, grant any option, right or warrant to purchase, lend or otherwise transfer or dispose of (including through any hedging or other similar transaction) any economic, voting or other rights in or to the 2022 Contingent Shares, or otherwise transfer or dispose of, directly or indirectly, or (b) enter into any swap or other agreement that transfers, in whole or in part, any of the economic consequences of ownership of Contingent Shares (any such transaction described in clause (a) or (b) above, a “</w:t>
      </w:r>
      <w:r>
        <w:rPr>
          <w:rFonts w:ascii="Arial" w:cs="Arial" w:eastAsia="Arial" w:hAnsi="Arial"/>
          <w:sz w:val="19"/>
          <w:szCs w:val="19"/>
          <w:b w:val="1"/>
          <w:bCs w:val="1"/>
          <w:u w:val="single" w:color="auto"/>
          <w:color w:val="auto"/>
        </w:rPr>
        <w:t>Transfer</w:t>
      </w:r>
      <w:r>
        <w:rPr>
          <w:rFonts w:ascii="Arial" w:cs="Arial" w:eastAsia="Arial" w:hAnsi="Arial"/>
          <w:sz w:val="19"/>
          <w:szCs w:val="19"/>
          <w:color w:val="auto"/>
        </w:rPr>
        <w:t>”). Notwithstanding the foregoing, the restrictions set forth in this Section 3.1(a) shall lapse as follows:</w:t>
      </w:r>
    </w:p>
    <w:p>
      <w:pPr>
        <w:spacing w:after="0" w:line="178" w:lineRule="exact"/>
        <w:rPr>
          <w:sz w:val="20"/>
          <w:szCs w:val="20"/>
          <w:color w:val="auto"/>
        </w:rPr>
      </w:pPr>
    </w:p>
    <w:p>
      <w:pPr>
        <w:ind w:left="2900" w:right="640" w:hanging="316"/>
        <w:spacing w:after="0" w:line="260" w:lineRule="auto"/>
        <w:tabs>
          <w:tab w:leader="none" w:pos="29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following the four-month anniversary of the 2023 Lock-up Commencement Date, one-third of the 2022 Contingent Shares may be Transferred;</w:t>
      </w:r>
    </w:p>
    <w:p>
      <w:pPr>
        <w:spacing w:after="0" w:line="163" w:lineRule="exact"/>
        <w:rPr>
          <w:rFonts w:ascii="Arial" w:cs="Arial" w:eastAsia="Arial" w:hAnsi="Arial"/>
          <w:sz w:val="20"/>
          <w:szCs w:val="20"/>
          <w:color w:val="auto"/>
        </w:rPr>
      </w:pPr>
    </w:p>
    <w:p>
      <w:pPr>
        <w:jc w:val="both"/>
        <w:ind w:left="2900" w:right="640" w:hanging="316"/>
        <w:spacing w:after="0" w:line="243" w:lineRule="auto"/>
        <w:tabs>
          <w:tab w:leader="none" w:pos="29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following the six-month anniversary of the 2023 Lock-up Commencement Date, an additional one-third of the 2022 Contingent Shares may be Transferred, which one-third shall be in addition to the Transfers permitted by clause (i) above, and</w:t>
      </w:r>
    </w:p>
    <w:p>
      <w:pPr>
        <w:spacing w:after="0" w:line="178" w:lineRule="exact"/>
        <w:rPr>
          <w:rFonts w:ascii="Arial" w:cs="Arial" w:eastAsia="Arial" w:hAnsi="Arial"/>
          <w:sz w:val="20"/>
          <w:szCs w:val="20"/>
          <w:color w:val="auto"/>
        </w:rPr>
      </w:pPr>
    </w:p>
    <w:p>
      <w:pPr>
        <w:ind w:left="2900" w:right="640" w:hanging="316"/>
        <w:spacing w:after="0" w:line="260" w:lineRule="auto"/>
        <w:tabs>
          <w:tab w:leader="none" w:pos="29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upon the eight-month anniversary of the 2023 Lock-up Commencement Date, all of the 2022 Contingent Shares may be Transferred.</w:t>
      </w:r>
    </w:p>
    <w:p>
      <w:pPr>
        <w:spacing w:after="0" w:line="285" w:lineRule="exact"/>
        <w:rPr>
          <w:sz w:val="20"/>
          <w:szCs w:val="20"/>
          <w:color w:val="auto"/>
        </w:rPr>
      </w:pPr>
    </w:p>
    <w:p>
      <w:pPr>
        <w:jc w:val="both"/>
        <w:ind w:left="1620" w:right="640"/>
        <w:spacing w:after="0" w:line="246" w:lineRule="auto"/>
        <w:rPr>
          <w:sz w:val="20"/>
          <w:szCs w:val="20"/>
          <w:color w:val="auto"/>
        </w:rPr>
      </w:pPr>
      <w:r>
        <w:rPr>
          <w:rFonts w:ascii="Arial" w:cs="Arial" w:eastAsia="Arial" w:hAnsi="Arial"/>
          <w:sz w:val="19"/>
          <w:szCs w:val="19"/>
          <w:color w:val="auto"/>
        </w:rPr>
        <w:t xml:space="preserve">The restrictions set forth in this Section 3.1(a) shall not apply to (1) Transfers to Permitted Transferees or Transfers by operation of law, including by virtue of the laws of the State of Delaware or Investor’s constituent documents upon dissolution of Investor, not undertaken for the purpose of avoiding the restrictions imposed by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transferee must agree in an executed written agreement (a copy of which will be delivered to the Company) for the benefit of the Company (A) to be bound by the terms and restrictions set forth in this Article III prior to such Transfer or distribution, as applicable, and (B) if such Permitted Transferee is an Affiliate of Investor and does not otherwise qualify as a Permitted Transferee, to Transfer such shares of Common Stock back to Investor if, during the 2023 Lock-Up Period, such Person ceases to be an Affiliate of Investor, or (2) any Transfers made in connection with any tender offer, exchange offer, merger, consolidation or other similar transaction approved or recommended by the Board or a committee thereof. Notwithstanding the foregoing, Investor shall not be entitled to distribute any of the 2022 Contingent Shares to its holders during the 2023 Lock-Up Period.”</w:t>
      </w:r>
    </w:p>
    <w:p>
      <w:pPr>
        <w:spacing w:after="0" w:line="309" w:lineRule="exact"/>
        <w:rPr>
          <w:sz w:val="20"/>
          <w:szCs w:val="20"/>
          <w:color w:val="auto"/>
        </w:rPr>
      </w:pPr>
    </w:p>
    <w:p>
      <w:pPr>
        <w:jc w:val="both"/>
        <w:ind w:firstLine="316"/>
        <w:spacing w:after="0" w:line="246" w:lineRule="auto"/>
        <w:tabs>
          <w:tab w:leader="none" w:pos="97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Registration Rights Agreement</w:t>
      </w:r>
      <w:r>
        <w:rPr>
          <w:rFonts w:ascii="Arial" w:cs="Arial" w:eastAsia="Arial" w:hAnsi="Arial"/>
          <w:sz w:val="20"/>
          <w:szCs w:val="20"/>
          <w:color w:val="auto"/>
        </w:rPr>
        <w:t>. In consideration for the above amendment to the Stockholders’ Agreement,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have agreed, effective upon satisfaction of the Condition Precedent, to amend to the Registration Rights Agreement to remove the deadline for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0"/>
          </w:cols>
          <w:pgMar w:left="660" w:top="1419" w:right="339" w:bottom="1440" w:gutter="0" w:footer="0" w:header="0"/>
        </w:sectPr>
      </w:pPr>
    </w:p>
    <w:bookmarkStart w:id="68" w:name="page69"/>
    <w:bookmarkEnd w:id="68"/>
    <w:p>
      <w:pPr>
        <w:ind w:left="340"/>
        <w:spacing w:after="0" w:line="246" w:lineRule="auto"/>
        <w:rPr>
          <w:sz w:val="20"/>
          <w:szCs w:val="20"/>
          <w:color w:val="auto"/>
        </w:rPr>
      </w:pPr>
      <w:r>
        <w:rPr>
          <w:rFonts w:ascii="Arial" w:cs="Arial" w:eastAsia="Arial" w:hAnsi="Arial"/>
          <w:sz w:val="20"/>
          <w:szCs w:val="20"/>
          <w:color w:val="auto"/>
        </w:rPr>
        <w:t>effectiveness of the Shelf Registration Statement, such that Section 2.1(a) of the Registration Rights Agreement is hereby amended and restated in its entirety by the following:</w:t>
      </w:r>
    </w:p>
    <w:p>
      <w:pPr>
        <w:spacing w:after="0" w:line="18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b w:val="1"/>
          <w:bCs w:val="1"/>
          <w:u w:val="single" w:color="auto"/>
          <w:color w:val="auto"/>
        </w:rPr>
        <w:t>Shelf Registration</w:t>
      </w:r>
      <w:r>
        <w:rPr>
          <w:rFonts w:ascii="Arial" w:cs="Arial" w:eastAsia="Arial" w:hAnsi="Arial"/>
          <w:sz w:val="20"/>
          <w:szCs w:val="20"/>
          <w:color w:val="auto"/>
        </w:rPr>
        <w:t>.</w:t>
      </w:r>
    </w:p>
    <w:p>
      <w:pPr>
        <w:spacing w:after="0" w:line="208" w:lineRule="exact"/>
        <w:rPr>
          <w:sz w:val="20"/>
          <w:szCs w:val="20"/>
          <w:color w:val="auto"/>
        </w:rPr>
      </w:pPr>
    </w:p>
    <w:p>
      <w:pPr>
        <w:jc w:val="both"/>
        <w:ind w:left="1960" w:right="640" w:hanging="575"/>
        <w:spacing w:after="0" w:line="253"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As soon as practicable, but in any event on or prior to the Required Shelf Filing Date, the Company shall prepare and file a “shelf” registration statement under the Securities Act to permit the resale of the Registrable Securities from time to time as permitted by Rule 415 under the Securities Act (or any successor or similar provision adopted by the Commission then in effect) (the “</w:t>
      </w: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on the terms and conditions specified in this Section 2.1. The Company shall use its commercially reasonable efforts to cause such Registration Statement to become or be declared effective as soon as practicable after the filing thereof, but in any event no later than the tenth (10th) Business Day after the date the Company is notified (orally or in writing, whichever is earlier) by the Commission that the Registration Statement will not be subject to further review (the “</w:t>
      </w:r>
      <w:r>
        <w:rPr>
          <w:rFonts w:ascii="Arial" w:cs="Arial" w:eastAsia="Arial" w:hAnsi="Arial"/>
          <w:sz w:val="18"/>
          <w:szCs w:val="18"/>
          <w:b w:val="1"/>
          <w:bCs w:val="1"/>
          <w:u w:val="single" w:color="auto"/>
          <w:color w:val="auto"/>
        </w:rPr>
        <w:t>SEC Notification Date</w:t>
      </w:r>
      <w:r>
        <w:rPr>
          <w:rFonts w:ascii="Arial" w:cs="Arial" w:eastAsia="Arial" w:hAnsi="Arial"/>
          <w:sz w:val="18"/>
          <w:szCs w:val="18"/>
          <w:color w:val="auto"/>
        </w:rPr>
        <w:t>”); provided that if the Company shall issue a certificate signed by the Company’s chief executive officer or chief legal officer stating that in the good faith judgment of such executive officer it would be materially detrimental to the Company and its stockholders for such registration statement to become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notwithstanding the SEC Notification Date, the Company shall have the right to defer taking action to have the filing declared effective for a period of not more than 60 days with respect to such filing and in any event within three Business Days after the considerations specified in clauses (i) – (iii) shall have been resolved; and provided further that any delays in effectiveness beyond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after the SEC Notification Date (whether as a result of Company initiated delays pursuant to the foregoing proviso, as a result of additional comments from the Commission after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after the SEC Notification Date, or otherwise) shall be aggregated with the permitted suspension periods in Section 2.2, such that the total amount of permitted delay and/or suspensions (whether before effectiveness of the Registration Statement, thereafter or a combination of the two) may not exceed 60 consecutive days or 90 days in any 12 month period. Following the effective date of the Shelf Registration Statement, the Company shall as promptly as practicable, but in any event within three Business Days of such date, notify the Holders of the effectiveness of such Registration Statement.”</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Provisions</w:t>
      </w:r>
      <w:r>
        <w:rPr>
          <w:rFonts w:ascii="Arial" w:cs="Arial" w:eastAsia="Arial" w:hAnsi="Arial"/>
          <w:sz w:val="20"/>
          <w:szCs w:val="20"/>
          <w:color w:val="auto"/>
        </w:rPr>
        <w:t>.</w:t>
      </w:r>
    </w:p>
    <w:p>
      <w:pPr>
        <w:spacing w:after="0" w:line="208" w:lineRule="exact"/>
        <w:rPr>
          <w:rFonts w:ascii="Arial" w:cs="Arial" w:eastAsia="Arial" w:hAnsi="Arial"/>
          <w:sz w:val="20"/>
          <w:szCs w:val="20"/>
          <w:b w:val="1"/>
          <w:bCs w:val="1"/>
          <w:color w:val="auto"/>
        </w:rPr>
      </w:pPr>
    </w:p>
    <w:p>
      <w:pPr>
        <w:ind w:firstLine="1304"/>
        <w:spacing w:after="0" w:line="260" w:lineRule="auto"/>
        <w:tabs>
          <w:tab w:leader="none" w:pos="1944"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Acknowledgement and Waiver</w:t>
      </w:r>
      <w:r>
        <w:rPr>
          <w:rFonts w:ascii="Arial" w:cs="Arial" w:eastAsia="Arial" w:hAnsi="Arial"/>
          <w:sz w:val="20"/>
          <w:szCs w:val="20"/>
          <w:color w:val="auto"/>
        </w:rPr>
        <w:t>. The parties irrevocably and expressly acknowledge and agree that (i) as of the date hereof, there has been no breach by the Company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Section 2.1(a) of the Registration Rights Agreement; (ii) Investor and PEAK6 Investments, on behalf of themselves and their respective affiliates, or anyone claiming by or through any of the foregoing, hereby irrevocably waive any right to assert any breach or to assert or seek damages with respect to any delay in the declaration of effectiveness of the Shelf Registration Statement prior to the date hereof under Section 2.1(a) of the Registration Rights Agreement as in effect prior to the effectiveness hereof; and (iii) this Amendment, and the amendment of the Stockholders’ Agreement provided herein, is entered into in lieu of any possible claim that Investor, PEAK6 Investments, or any of their affiliates, or anyone claiming by or through any of the foregoing may have, may have had or ever may have with respect to any delay in the timing of the declaration of the effectiveness of the Shelf Registration Statement prior to the date hereof under Section 2.1(a) of the Registration Rights Agreement as in effect prior to the effectiveness hereof.</w:t>
      </w:r>
    </w:p>
    <w:p>
      <w:pPr>
        <w:spacing w:after="0" w:line="163" w:lineRule="exact"/>
        <w:rPr>
          <w:sz w:val="20"/>
          <w:szCs w:val="20"/>
          <w:color w:val="auto"/>
        </w:rPr>
      </w:pPr>
    </w:p>
    <w:p>
      <w:pPr>
        <w:ind w:firstLine="1304"/>
        <w:spacing w:after="0" w:line="287"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Full Force and Effect</w:t>
      </w:r>
      <w:r>
        <w:rPr>
          <w:rFonts w:ascii="Arial" w:cs="Arial" w:eastAsia="Arial" w:hAnsi="Arial"/>
          <w:sz w:val="19"/>
          <w:szCs w:val="19"/>
          <w:color w:val="auto"/>
        </w:rPr>
        <w:t>. Except as expressly modified by this Amendment, the terms of the Agreements shall remain in full force and effect, and to the extent to the Condition Precedent is not satisfied, this Amendment shall have no effect.</w:t>
      </w:r>
    </w:p>
    <w:p>
      <w:pPr>
        <w:spacing w:after="0" w:line="138" w:lineRule="exact"/>
        <w:rPr>
          <w:rFonts w:ascii="Arial" w:cs="Arial" w:eastAsia="Arial" w:hAnsi="Arial"/>
          <w:sz w:val="19"/>
          <w:szCs w:val="19"/>
          <w:color w:val="auto"/>
        </w:rPr>
      </w:pPr>
    </w:p>
    <w:p>
      <w:pPr>
        <w:jc w:val="both"/>
        <w:ind w:firstLine="1304"/>
        <w:spacing w:after="0" w:line="283" w:lineRule="auto"/>
        <w:tabs>
          <w:tab w:leader="none" w:pos="194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xml:space="preserve">. With respect to the provisions of this Amendment applicable to the Stockholders’ Agreement, the provisions of Article V of the Stockholders’ Agreement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the provisions of this Amendment applicable to the Registration Rights Agreement, the provisions of Article VI of the Registration Rights Agreement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IN WITNESS WHEREOF, the parties hereto have executed this Amendment as of the date first written above.</w:t>
      </w:r>
    </w:p>
    <w:p>
      <w:pPr>
        <w:sectPr>
          <w:pgSz w:w="11900" w:h="16838" w:orient="portrait"/>
          <w:cols w:equalWidth="0" w:num="1">
            <w:col w:w="9479"/>
          </w:cols>
          <w:pgMar w:left="980" w:top="1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BAKKT HOLDINGS, INC.</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/s/ Gavin Michael</w:t>
      </w:r>
    </w:p>
    <w:p>
      <w:pPr>
        <w:ind w:left="3880"/>
        <w:spacing w:after="0" w:line="211" w:lineRule="auto"/>
        <w:rPr>
          <w:sz w:val="20"/>
          <w:szCs w:val="20"/>
          <w:color w:val="auto"/>
        </w:rPr>
      </w:pPr>
      <w:r>
        <w:rPr>
          <w:rFonts w:ascii="Arial" w:cs="Arial" w:eastAsia="Arial" w:hAnsi="Arial"/>
          <w:sz w:val="20"/>
          <w:szCs w:val="20"/>
          <w:color w:val="auto"/>
        </w:rPr>
        <w:t>Name: Gavin Michael</w:t>
      </w:r>
    </w:p>
    <w:p>
      <w:pPr>
        <w:ind w:left="38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APEX FINTECH SOLUTIONS INC.</w:t>
      </w:r>
    </w:p>
    <w:p>
      <w:pPr>
        <w:spacing w:after="0" w:line="183"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/s/ Rajeev Khurana</w:t>
      </w:r>
    </w:p>
    <w:p>
      <w:pPr>
        <w:ind w:left="3880"/>
        <w:spacing w:after="0" w:line="197" w:lineRule="auto"/>
        <w:rPr>
          <w:sz w:val="20"/>
          <w:szCs w:val="20"/>
          <w:color w:val="auto"/>
        </w:rPr>
      </w:pPr>
      <w:r>
        <w:rPr>
          <w:rFonts w:ascii="Arial" w:cs="Arial" w:eastAsia="Arial" w:hAnsi="Arial"/>
          <w:sz w:val="20"/>
          <w:szCs w:val="20"/>
          <w:color w:val="auto"/>
        </w:rPr>
        <w:t>Name: Rajeev Khurana</w:t>
      </w:r>
    </w:p>
    <w:p>
      <w:pPr>
        <w:ind w:left="3880"/>
        <w:spacing w:after="0"/>
        <w:rPr>
          <w:sz w:val="20"/>
          <w:szCs w:val="20"/>
          <w:color w:val="auto"/>
        </w:rPr>
      </w:pPr>
      <w:r>
        <w:rPr>
          <w:rFonts w:ascii="Arial" w:cs="Arial" w:eastAsia="Arial" w:hAnsi="Arial"/>
          <w:sz w:val="20"/>
          <w:szCs w:val="20"/>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PEAK6 INVESTMENTS LLC</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/s/ Jay Coppoletta</w:t>
      </w:r>
    </w:p>
    <w:p>
      <w:pPr>
        <w:ind w:left="3880"/>
        <w:spacing w:after="0" w:line="211" w:lineRule="auto"/>
        <w:rPr>
          <w:sz w:val="20"/>
          <w:szCs w:val="20"/>
          <w:color w:val="auto"/>
        </w:rPr>
      </w:pPr>
      <w:r>
        <w:rPr>
          <w:rFonts w:ascii="Arial" w:cs="Arial" w:eastAsia="Arial" w:hAnsi="Arial"/>
          <w:sz w:val="20"/>
          <w:szCs w:val="20"/>
          <w:color w:val="auto"/>
        </w:rPr>
        <w:t>Name: Jay Coppoletta</w:t>
      </w:r>
    </w:p>
    <w:p>
      <w:pPr>
        <w:ind w:left="3880"/>
        <w:spacing w:after="0"/>
        <w:rPr>
          <w:sz w:val="20"/>
          <w:szCs w:val="20"/>
          <w:color w:val="auto"/>
        </w:rPr>
      </w:pPr>
      <w:r>
        <w:rPr>
          <w:rFonts w:ascii="Arial" w:cs="Arial" w:eastAsia="Arial" w:hAnsi="Arial"/>
          <w:sz w:val="18"/>
          <w:szCs w:val="18"/>
          <w:color w:val="auto"/>
        </w:rPr>
        <w:t>Title: Chief Corporate Development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[Signature Page to Amendment Agreement]</w:t>
      </w:r>
    </w:p>
    <w:p>
      <w:pPr>
        <w:sectPr>
          <w:pgSz w:w="11900" w:h="16838" w:orient="portrait"/>
          <w:cols w:equalWidth="0" w:num="1">
            <w:col w:w="9479"/>
          </w:cols>
          <w:pgMar w:left="980" w:top="1405" w:right="1440" w:bottom="1440" w:gutter="0" w:footer="0" w:header="0"/>
          <w:type w:val="continuous"/>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31.1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5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260" w:val="left"/>
          <w:tab w:leader="none" w:pos="772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600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Chief Executive Officer</w:t>
      </w:r>
    </w:p>
    <w:p>
      <w:pPr>
        <w:ind w:left="7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5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260" w:val="left"/>
          <w:tab w:leader="none" w:pos="766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31750</wp:posOffset>
            </wp:positionV>
            <wp:extent cx="3600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5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Karen Alexander</w:t>
      </w:r>
    </w:p>
    <w:p>
      <w:pPr>
        <w:spacing w:after="0" w:line="48"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Chief Financial Officer</w:t>
      </w:r>
    </w:p>
    <w:p>
      <w:pPr>
        <w:ind w:left="73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04" w:right="339" w:bottom="1440" w:gutter="0" w:footer="0" w:header="0"/>
        </w:sectPr>
      </w:pPr>
    </w:p>
    <w:bookmarkStart w:id="73" w:name="page74"/>
    <w:bookmarkEnd w:id="73"/>
    <w:p>
      <w:pPr>
        <w:ind w:left="10320"/>
        <w:spacing w:after="0"/>
        <w:rPr>
          <w:sz w:val="20"/>
          <w:szCs w:val="20"/>
          <w:color w:val="auto"/>
        </w:rPr>
      </w:pPr>
      <w:r>
        <w:rPr>
          <w:rFonts w:ascii="Arial" w:cs="Arial" w:eastAsia="Arial" w:hAnsi="Arial"/>
          <w:sz w:val="16"/>
          <w:szCs w:val="16"/>
          <w:b w:val="1"/>
          <w:bCs w:val="1"/>
          <w:color w:val="auto"/>
        </w:rPr>
        <w:t>Exhibit 32.1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6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Quarterly Report of Bakkt Holdings, Inc. (the “Company”) on Form 10-Q for the period ending June 30, 2023 as filed with</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Securities and Exchange Commission on the date hereof (the “Report”), I, Gavin Michael, the Chief Executive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640" w:val="left"/>
          <w:tab w:leader="none" w:pos="80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40640</wp:posOffset>
            </wp:positionV>
            <wp:extent cx="32835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7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ind w:left="7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6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Quarterly Report of Bakkt Holdings, Inc. (the “Company”) on Form 10-Q for the period ending June 30, 2023 as filed with</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Securities and Exchange Commission on the date hereof (the “Report”), I, Karen Alexander, the Chief Financial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520" w:val="left"/>
          <w:tab w:leader="none" w:pos="786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40640</wp:posOffset>
            </wp:positionV>
            <wp:extent cx="33604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0"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Karen Alexander</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lvl w:ilvl="1">
      <w:lvlJc w:val="left"/>
      <w:lvlText w:val="•"/>
      <w:numFmt w:val="bullet"/>
      <w:start w:val="1"/>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2"/>
    </w:lvl>
  </w:abstractNum>
  <w:abstractNum w:abstractNumId="13">
    <w:nsid w:val="3A95F874"/>
    <w:multiLevelType w:val="hybridMultilevel"/>
    <w:lvl w:ilvl="0">
      <w:lvlJc w:val="left"/>
      <w:lvlText w:val="%1."/>
      <w:numFmt w:val="decimal"/>
      <w:start w:val="4"/>
    </w:lvl>
  </w:abstractNum>
  <w:abstractNum w:abstractNumId="14">
    <w:nsid w:val="8138641"/>
    <w:multiLevelType w:val="hybridMultilevel"/>
    <w:lvl w:ilvl="0">
      <w:lvlJc w:val="left"/>
      <w:lvlText w:val="%1."/>
      <w:numFmt w:val="decimal"/>
      <w:start w:val="5"/>
    </w:lvl>
  </w:abstractNum>
  <w:abstractNum w:abstractNumId="15">
    <w:nsid w:val="1E7FF521"/>
    <w:multiLevelType w:val="hybridMultilevel"/>
    <w:lvl w:ilvl="0">
      <w:lvlJc w:val="left"/>
      <w:lvlText w:val="%1."/>
      <w:numFmt w:val="decimal"/>
      <w:start w:val="7"/>
    </w:lvl>
  </w:abstractNum>
  <w:abstractNum w:abstractNumId="16">
    <w:nsid w:val="7C3DBD3D"/>
    <w:multiLevelType w:val="hybridMultilevel"/>
    <w:lvl w:ilvl="0">
      <w:lvlJc w:val="left"/>
      <w:lvlText w:val="%1."/>
      <w:numFmt w:val="decimal"/>
      <w:start w:val="8"/>
    </w:lvl>
  </w:abstractNum>
  <w:abstractNum w:abstractNumId="17">
    <w:nsid w:val="737B8DDC"/>
    <w:multiLevelType w:val="hybridMultilevel"/>
    <w:lvl w:ilvl="0">
      <w:lvlJc w:val="left"/>
      <w:lvlText w:val="%1."/>
      <w:numFmt w:val="decimal"/>
      <w:start w:val="9"/>
    </w:lvl>
  </w:abstractNum>
  <w:abstractNum w:abstractNumId="18">
    <w:nsid w:val="6CEAF087"/>
    <w:multiLevelType w:val="hybridMultilevel"/>
    <w:lvl w:ilvl="0">
      <w:lvlJc w:val="left"/>
      <w:lvlText w:val="%1."/>
      <w:numFmt w:val="decimal"/>
      <w:start w:val="10"/>
    </w:lvl>
  </w:abstractNum>
  <w:abstractNum w:abstractNumId="19">
    <w:nsid w:val="22221A70"/>
    <w:multiLevelType w:val="hybridMultilevel"/>
    <w:lvl w:ilvl="0">
      <w:lvlJc w:val="left"/>
      <w:lvlText w:val="%1."/>
      <w:numFmt w:val="decimal"/>
      <w:start w:val="11"/>
    </w:lvl>
  </w:abstractNum>
  <w:abstractNum w:abstractNumId="20">
    <w:nsid w:val="4516DDE9"/>
    <w:multiLevelType w:val="hybridMultilevel"/>
    <w:lvl w:ilvl="0">
      <w:lvlJc w:val="left"/>
      <w:lvlText w:val="%1."/>
      <w:numFmt w:val="decimal"/>
      <w:start w:val="11"/>
    </w:lvl>
    <w:lvl w:ilvl="1">
      <w:lvlJc w:val="left"/>
      <w:lvlText w:val="•"/>
      <w:numFmt w:val="bullet"/>
      <w:start w:val="1"/>
    </w:lvl>
  </w:abstractNum>
  <w:abstractNum w:abstractNumId="21">
    <w:nsid w:val="3006C83E"/>
    <w:multiLevelType w:val="hybridMultilevel"/>
    <w:lvl w:ilvl="0">
      <w:lvlJc w:val="left"/>
      <w:lvlText w:val="%1."/>
      <w:numFmt w:val="decimal"/>
      <w:start w:val="19"/>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endash "/>
      <w:numFmt w:val="bullet"/>
      <w:start w:val="1"/>
    </w:lvl>
  </w:abstractNum>
  <w:abstractNum w:abstractNumId="25">
    <w:nsid w:val="440BADFC"/>
    <w:multiLevelType w:val="hybridMultilevel"/>
    <w:lvl w:ilvl="0">
      <w:lvlJc w:val="left"/>
      <w:lvlText w:val="\endash "/>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endash "/>
      <w:numFmt w:val="bullet"/>
      <w:start w:val="1"/>
    </w:lvl>
  </w:abstractNum>
  <w:abstractNum w:abstractNumId="32">
    <w:nsid w:val="5E884ADC"/>
    <w:multiLevelType w:val="hybridMultilevel"/>
    <w:lvl w:ilvl="0">
      <w:lvlJc w:val="left"/>
      <w:lvlText w:val="\endash "/>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Roman"/>
      <w:start w:val="1"/>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6A2342E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0">
    <w:nsid w:val="2A487CB0"/>
    <w:multiLevelType w:val="hybridMultilevel"/>
    <w:lvl w:ilvl="0">
      <w:lvlJc w:val="left"/>
      <w:lvlText w:val="(%1)"/>
      <w:numFmt w:val="lowerLetter"/>
      <w:start w:val="2"/>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01" Type="http://schemas.openxmlformats.org/officeDocument/2006/relationships/hyperlink" Target="https://www.sec.gov/Archives/edgar/data/1820302/000119312523089016/d482123dex22.htm" TargetMode="External"/><Relationship Id="rId102" Type="http://schemas.openxmlformats.org/officeDocument/2006/relationships/hyperlink" Target="https://www.sec.gov/Archives/edgar/data/0001820302/000119312521303985/d219325dex31.htm" TargetMode="External"/><Relationship Id="rId103" Type="http://schemas.openxmlformats.org/officeDocument/2006/relationships/hyperlink" Target="https://www.sec.gov/Archives/edgar/data/0001820302/000119312521303985/d219325dex32.htm" TargetMode="External"/><Relationship Id="rId104" Type="http://schemas.openxmlformats.org/officeDocument/2006/relationships/hyperlink" Target="https://www.sec.gov/Archives/edgar/data/1820302/000119312523089016/d48212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2023-08-10T15:39:27Z</dcterms:created>
  <dcterms:modified xsi:type="dcterms:W3CDTF">2023-08-10T15:39:27Z</dcterms:modified>
</cp:coreProperties>
</file>