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8,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98-1550750</w:t>
      </w:r>
    </w:p>
    <w:p>
      <w:pPr>
        <w:spacing w:after="0" w:line="12" w:lineRule="exact"/>
        <w:rPr>
          <w:sz w:val="24"/>
          <w:szCs w:val="24"/>
          <w:color w:val="auto"/>
        </w:rPr>
      </w:pPr>
    </w:p>
    <w:p>
      <w:pPr>
        <w:sectPr>
          <w:pgSz w:w="11900" w:h="16838" w:orient="portrait"/>
          <w:cols w:equalWidth="0" w:num="2">
            <w:col w:w="7180" w:space="720"/>
            <w:col w:w="3060"/>
          </w:cols>
          <w:pgMar w:left="440" w:top="225"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5" w:right="499" w:bottom="1440" w:gutter="0" w:footer="0" w:header="0"/>
          <w:type w:val="continuous"/>
        </w:sectPr>
      </w:pP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Bakkt Holdings, Inc. 2021 Omnibus Incentive Plan</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ectPr>
          <w:pgSz w:w="11900" w:h="16838" w:orient="portrait"/>
          <w:cols w:equalWidth="0" w:num="1">
            <w:col w:w="10960"/>
          </w:cols>
          <w:pgMar w:left="440" w:top="225" w:right="499" w:bottom="1440" w:gutter="0" w:footer="0" w:header="0"/>
          <w:type w:val="continuous"/>
        </w:sectPr>
      </w:pP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Andrew Main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52"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438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J. Matthew Lyons</w:t>
            </w:r>
          </w:p>
        </w:tc>
        <w:tc>
          <w:tcPr>
            <w:tcW w:w="40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438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Austin D. March</w:t>
            </w:r>
          </w:p>
        </w:tc>
        <w:tc>
          <w:tcPr>
            <w:tcW w:w="40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438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Wilson Sonsini Goodrich &amp; Rosati, P.C.</w:t>
            </w:r>
          </w:p>
        </w:tc>
        <w:tc>
          <w:tcPr>
            <w:tcW w:w="40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r>
      <w:tr>
        <w:trPr>
          <w:trHeight w:val="216"/>
        </w:trPr>
        <w:tc>
          <w:tcPr>
            <w:tcW w:w="438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9"/>
              </w:rPr>
              <w:t>900 S. Capital of Texas Highway</w:t>
            </w:r>
          </w:p>
        </w:tc>
        <w:tc>
          <w:tcPr>
            <w:tcW w:w="40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Alpharetta, Georgia 30009</w:t>
            </w:r>
          </w:p>
        </w:tc>
      </w:tr>
      <w:tr>
        <w:trPr>
          <w:trHeight w:val="216"/>
        </w:trPr>
        <w:tc>
          <w:tcPr>
            <w:tcW w:w="438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Las Cimas IV, 5th Floor</w:t>
            </w:r>
          </w:p>
        </w:tc>
        <w:tc>
          <w:tcPr>
            <w:tcW w:w="40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438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Austin, TX 78746</w:t>
            </w:r>
          </w:p>
        </w:tc>
        <w:tc>
          <w:tcPr>
            <w:tcW w:w="4080" w:type="dxa"/>
            <w:vAlign w:val="bottom"/>
          </w:tcPr>
          <w:p>
            <w:pPr>
              <w:spacing w:after="0"/>
              <w:rPr>
                <w:sz w:val="18"/>
                <w:szCs w:val="18"/>
                <w:color w:val="auto"/>
              </w:rPr>
            </w:pPr>
          </w:p>
        </w:tc>
      </w:tr>
      <w:tr>
        <w:trPr>
          <w:trHeight w:val="238"/>
        </w:trPr>
        <w:tc>
          <w:tcPr>
            <w:tcW w:w="438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9"/>
              </w:rPr>
              <w:t>(512) 338-5400</w:t>
            </w:r>
          </w:p>
        </w:tc>
        <w:tc>
          <w:tcPr>
            <w:tcW w:w="40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Bakkt Holdings, Inc. (the “Registrant” or the “Company”) is filing this Registration Statement with the Securities and Exchange Commission (the “SEC”) to register 938,625 shares of Class A Common Stock to be issued under Bakkt Holdings, Inc.’s 2021 Omnibus Incentive Plan (the “Plan”). These 938,625 shares represent an increase in the number of shares of Class A Common Stock reserved for issuance under the Plan, which increase was approved by the stockholders on May 31, 2024. As a result of the foregoing, the total number of shares of common stock registered for offer and sale under the Plan is now 3,034,921.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incorporates by reference the following documents that the Registrant has previously filed with the SEC:</w:t>
      </w:r>
    </w:p>
    <w:p>
      <w:pPr>
        <w:spacing w:after="0" w:line="131" w:lineRule="exact"/>
        <w:rPr>
          <w:sz w:val="20"/>
          <w:szCs w:val="20"/>
          <w:color w:val="auto"/>
        </w:rPr>
      </w:pPr>
    </w:p>
    <w:p>
      <w:pPr>
        <w:ind w:left="960" w:right="2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25, 2024 (the “Annual Report”);</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Definitive Proxy Statement on </w:t>
      </w:r>
      <w:hyperlink r:id="rId1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the Annual Report, filed with the SEC on April 19, 2024;</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Commission on May 15, 2024;</w:t>
      </w:r>
    </w:p>
    <w:p>
      <w:pPr>
        <w:spacing w:after="0" w:line="130" w:lineRule="exact"/>
        <w:rPr>
          <w:rFonts w:ascii="Times New Roman" w:cs="Times New Roman" w:eastAsia="Times New Roman" w:hAnsi="Times New Roman"/>
          <w:sz w:val="18"/>
          <w:szCs w:val="18"/>
          <w:color w:val="auto"/>
        </w:rPr>
      </w:pPr>
    </w:p>
    <w:p>
      <w:pPr>
        <w:ind w:left="960" w:right="360" w:hanging="532"/>
        <w:spacing w:after="0" w:line="266" w:lineRule="auto"/>
        <w:tabs>
          <w:tab w:leader="none" w:pos="960" w:val="left"/>
        </w:tabs>
        <w:numPr>
          <w:ilvl w:val="0"/>
          <w:numId w:val="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Registrant’s Current Reports on Form 8-K filed with the Commission on </w:t>
      </w:r>
      <w:hyperlink r:id="rId21">
        <w:r>
          <w:rPr>
            <w:rFonts w:ascii="Times New Roman" w:cs="Times New Roman" w:eastAsia="Times New Roman" w:hAnsi="Times New Roman"/>
            <w:sz w:val="18"/>
            <w:szCs w:val="18"/>
            <w:u w:val="single" w:color="auto"/>
            <w:color w:val="0000EE"/>
          </w:rPr>
          <w:t>February 29, 2024</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March 4,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April 25,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May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u w:val="single" w:color="auto"/>
            <w:color w:val="0000EE"/>
          </w:rPr>
          <w:t xml:space="preserve">June 6,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u w:val="single" w:color="auto"/>
            <w:color w:val="0000EE"/>
          </w:rPr>
          <w:t xml:space="preserve">June 7,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Current Report on Form 8-K/A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with the Commission on </w:t>
      </w:r>
      <w:hyperlink r:id="rId30">
        <w:r>
          <w:rPr>
            <w:rFonts w:ascii="Times New Roman" w:cs="Times New Roman" w:eastAsia="Times New Roman" w:hAnsi="Times New Roman"/>
            <w:sz w:val="18"/>
            <w:szCs w:val="18"/>
            <w:u w:val="single" w:color="auto"/>
            <w:color w:val="0000EE"/>
          </w:rPr>
          <w:t>February 14,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000000"/>
        </w:rPr>
      </w:pPr>
    </w:p>
    <w:p>
      <w:pPr>
        <w:ind w:left="960" w:right="1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3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001-39544) filed with the SEC on October 15, 2021, pursuant to Section 12(b) of the Exchange Act, including any amendment or report filed for the purpose of updating such description, including </w:t>
      </w:r>
      <w:hyperlink r:id="rId32">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w:t>
      </w:r>
    </w:p>
    <w:p>
      <w:pPr>
        <w:spacing w:after="0" w:line="176"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All documents filed by the Registrant with the SEC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SEC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187" w:lineRule="exact"/>
        <w:rPr>
          <w:rFonts w:ascii="Times New Roman" w:cs="Times New Roman" w:eastAsia="Times New Roman" w:hAnsi="Times New Roman"/>
          <w:sz w:val="18"/>
          <w:szCs w:val="18"/>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66" w:right="45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information contained in any Current Report on Form 8-K, or any exhibit thereto, is or was furnished to, rather than filed with, the SEC, such information or exhibit is specifically not incorporated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8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In addition, the Company’s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ectPr>
          <w:pgSz w:w="11900" w:h="16838" w:orient="portrait"/>
          <w:cols w:equalWidth="0" w:num="1">
            <w:col w:w="11000"/>
          </w:cols>
          <w:pgMar w:left="440" w:top="270" w:right="459" w:bottom="1440" w:gutter="0" w:footer="0" w:header="0"/>
        </w:sectPr>
      </w:pPr>
    </w:p>
    <w:bookmarkStart w:id="3" w:name="page4"/>
    <w:bookmarkEnd w:id="3"/>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of the Company’s non-employee directors may, through their relationships with their employers, be insured and/or indemnified against certain liabilities incurred in their capacity as members of the board of directors.</w:t>
      </w:r>
    </w:p>
    <w:p>
      <w:pPr>
        <w:spacing w:after="0" w:line="162"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60" w:type="dxa"/>
            <w:vAlign w:val="bottom"/>
            <w:gridSpan w:val="15"/>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60" w:type="dxa"/>
            <w:vAlign w:val="bottom"/>
            <w:gridSpan w:val="15"/>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101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Certificate of Incorporation of the Registrant, as amended, as currently in effect.</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00" w:type="dxa"/>
            <w:vAlign w:val="bottom"/>
            <w:gridSpan w:val="23"/>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By-Laws of the Registrant, as currently in effect (incorporated by reference to Exhibit 3.2 to the Registrant’s Form 8-K filed with the SEC</w:t>
              </w:r>
            </w:hyperlink>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on October 21, 2021).</w:t>
              </w:r>
            </w:hyperlink>
          </w:p>
        </w:tc>
        <w:tc>
          <w:tcPr>
            <w:tcW w:w="8360" w:type="dxa"/>
            <w:vAlign w:val="bottom"/>
            <w:tcBorders>
              <w:top w:val="single" w:sz="8" w:color="0000EE"/>
            </w:tcBorders>
            <w:gridSpan w:val="17"/>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0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Specimen Class A Common Stock Certificate of the Registrant (incorporated by reference to Exhibit 4.1 to the Registrant’s Form 8-K filed</w:t>
              </w:r>
            </w:hyperlink>
          </w:p>
        </w:tc>
        <w:tc>
          <w:tcPr>
            <w:tcW w:w="10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with the SEC on October 21, 2021).</w:t>
              </w:r>
            </w:hyperlink>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Bakkt Holdings, Inc. 2021 Omnibus Incentive Plan (incorporated by reference to Exhibit 10.9 to the Registrant’s Form 8-K filed with the</w:t>
              </w:r>
            </w:hyperlink>
          </w:p>
        </w:tc>
        <w:tc>
          <w:tcPr>
            <w:tcW w:w="220" w:type="dxa"/>
            <w:vAlign w:val="bottom"/>
            <w:gridSpan w:val="6"/>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SEC on October 21, 2021).</w:t>
              </w:r>
            </w:hyperlink>
          </w:p>
        </w:tc>
        <w:tc>
          <w:tcPr>
            <w:tcW w:w="8140" w:type="dxa"/>
            <w:vAlign w:val="bottom"/>
            <w:gridSpan w:val="19"/>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Amendment No. 1 to Bakkt Holdings, Inc. 2021 Omnibus Incentive Plan (incorporated by reference to Exhibit 10.11 to the Registrant’s</w:t>
              </w:r>
            </w:hyperlink>
          </w:p>
        </w:tc>
        <w:tc>
          <w:tcPr>
            <w:tcW w:w="340" w:type="dxa"/>
            <w:vAlign w:val="bottom"/>
            <w:gridSpan w:val="8"/>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Form 10-K filed with the SEC on March 25, 2024).</w:t>
              </w:r>
            </w:hyperlink>
          </w:p>
        </w:tc>
        <w:tc>
          <w:tcPr>
            <w:tcW w:w="6400" w:type="dxa"/>
            <w:vAlign w:val="bottom"/>
            <w:gridSpan w:val="16"/>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24"/>
                <w:szCs w:val="24"/>
                <w:color w:val="auto"/>
              </w:rPr>
            </w:pPr>
          </w:p>
        </w:tc>
        <w:tc>
          <w:tcPr>
            <w:tcW w:w="53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Amendment No. 2 to Bakkt Holdings, Inc. 2021 Omnibus Incentive Plan.</w:t>
            </w:r>
          </w:p>
        </w:tc>
        <w:tc>
          <w:tcPr>
            <w:tcW w:w="4800" w:type="dxa"/>
            <w:vAlign w:val="bottom"/>
            <w:gridSpan w:val="13"/>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24"/>
                <w:szCs w:val="24"/>
                <w:color w:val="auto"/>
              </w:rPr>
            </w:pPr>
          </w:p>
        </w:tc>
        <w:tc>
          <w:tcPr>
            <w:tcW w:w="10100" w:type="dxa"/>
            <w:vAlign w:val="bottom"/>
            <w:gridSpan w:val="2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Director Restricted Stock Unit Agreement under the Bakkt Holdings, Inc. 2021 Omnibus Incentive Plan (incorporated by reference</w:t>
              </w:r>
            </w:hyperlink>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to Exhibit 10.11 to the Registrant’s Form 10-K filed with the SEC on March 31, 2022).</w:t>
              </w:r>
            </w:hyperlink>
          </w:p>
        </w:tc>
        <w:tc>
          <w:tcPr>
            <w:tcW w:w="3800" w:type="dxa"/>
            <w:vAlign w:val="bottom"/>
            <w:tcBorders>
              <w:top w:val="single" w:sz="8" w:color="0000EE"/>
            </w:tcBorders>
            <w:gridSpan w:val="9"/>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24"/>
                <w:szCs w:val="24"/>
                <w:color w:val="auto"/>
              </w:rPr>
            </w:pPr>
          </w:p>
        </w:tc>
        <w:tc>
          <w:tcPr>
            <w:tcW w:w="100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 of Executive Officer Restricted Stock Unit Agreement under the Bakkt Holdings, Inc. 2021 Omnibus Incentive Plan (incorporated by</w:t>
              </w:r>
            </w:hyperlink>
          </w:p>
        </w:tc>
        <w:tc>
          <w:tcPr>
            <w:tcW w:w="6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7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reference to Exhibit 10.2 to the Registrant’s Form 10-Q filed with the SEC on May 11, 2023).</w:t>
              </w:r>
            </w:hyperlink>
          </w:p>
        </w:tc>
        <w:tc>
          <w:tcPr>
            <w:tcW w:w="3360" w:type="dxa"/>
            <w:vAlign w:val="bottom"/>
            <w:gridSpan w:val="9"/>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Form of Performance Unit Agreement under the Bakkt Holdings, Inc. 2021 Omnibus Incentive Plan (incorporated by reference to Exhibit</w:t>
              </w:r>
            </w:hyperlink>
          </w:p>
        </w:tc>
        <w:tc>
          <w:tcPr>
            <w:tcW w:w="180" w:type="dxa"/>
            <w:vAlign w:val="bottom"/>
            <w:gridSpan w:val="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Form 10-Q filed with the SEC on May 11, 2023).</w:t>
              </w:r>
            </w:hyperlink>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tcPr>
          <w:p>
            <w:pPr>
              <w:spacing w:after="0"/>
              <w:rPr>
                <w:sz w:val="24"/>
                <w:szCs w:val="24"/>
                <w:color w:val="auto"/>
              </w:rPr>
            </w:pPr>
          </w:p>
        </w:tc>
        <w:tc>
          <w:tcPr>
            <w:tcW w:w="101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Form of Restricted Stock Unit Award Agreement (incorporated by reference to Exhibit 10.1 to the Registrant’s Form 8-K filed with the SEC</w:t>
              </w:r>
            </w:hyperlink>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on September 12, 2022).</w:t>
              </w:r>
            </w:hyperlink>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tcPr>
          <w:p>
            <w:pPr>
              <w:spacing w:after="0"/>
              <w:rPr>
                <w:sz w:val="24"/>
                <w:szCs w:val="24"/>
                <w:color w:val="auto"/>
              </w:rPr>
            </w:pPr>
          </w:p>
        </w:tc>
        <w:tc>
          <w:tcPr>
            <w:tcW w:w="10100" w:type="dxa"/>
            <w:vAlign w:val="bottom"/>
            <w:gridSpan w:val="23"/>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Performance-Based Restricted Stock Unit Award Agreement (incorporated by reference to Exhibit 10.2 to the Registrant’s Form</w:t>
              </w:r>
            </w:hyperlink>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8-K filed with the SEC on September 12, 2022).</w:t>
              </w:r>
            </w:hyperlink>
          </w:p>
        </w:tc>
        <w:tc>
          <w:tcPr>
            <w:tcW w:w="6380" w:type="dxa"/>
            <w:vAlign w:val="bottom"/>
            <w:tcBorders>
              <w:top w:val="single" w:sz="8" w:color="0000EE"/>
            </w:tcBorders>
            <w:gridSpan w:val="10"/>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38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Opinion of Wilson Sonsini Goodrich and Rosati, P.C.</w:t>
            </w:r>
          </w:p>
        </w:tc>
        <w:tc>
          <w:tcPr>
            <w:tcW w:w="6260" w:type="dxa"/>
            <w:vAlign w:val="bottom"/>
            <w:gridSpan w:val="15"/>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57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w:t>
            </w:r>
          </w:p>
        </w:tc>
        <w:tc>
          <w:tcPr>
            <w:tcW w:w="4340" w:type="dxa"/>
            <w:vAlign w:val="bottom"/>
            <w:gridSpan w:val="11"/>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420" w:type="dxa"/>
            <w:vAlign w:val="bottom"/>
          </w:tcPr>
          <w:p>
            <w:pPr>
              <w:spacing w:after="0"/>
              <w:rPr>
                <w:sz w:val="24"/>
                <w:szCs w:val="24"/>
                <w:color w:val="auto"/>
              </w:rPr>
            </w:pPr>
          </w:p>
        </w:tc>
        <w:tc>
          <w:tcPr>
            <w:tcW w:w="57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Wilson Sonsini Goodrich and Rosati, P.C. (included in Exhibit 5.1).</w:t>
            </w:r>
          </w:p>
        </w:tc>
        <w:tc>
          <w:tcPr>
            <w:tcW w:w="4400" w:type="dxa"/>
            <w:vAlign w:val="bottom"/>
            <w:gridSpan w:val="12"/>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3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6620" w:type="dxa"/>
            <w:vAlign w:val="bottom"/>
            <w:gridSpan w:val="17"/>
          </w:tcPr>
          <w:p>
            <w:pPr>
              <w:spacing w:after="0"/>
              <w:rPr>
                <w:sz w:val="24"/>
                <w:szCs w:val="24"/>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920" w:type="dxa"/>
            <w:vAlign w:val="bottom"/>
            <w:gridSpan w:val="22"/>
          </w:tcPr>
          <w:p>
            <w:pPr>
              <w:spacing w:after="0"/>
              <w:rPr>
                <w:sz w:val="24"/>
                <w:szCs w:val="24"/>
                <w:color w:val="auto"/>
              </w:rPr>
            </w:pPr>
          </w:p>
        </w:tc>
      </w:tr>
    </w:tbl>
    <w:p>
      <w:pPr>
        <w:spacing w:after="0" w:line="252"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984"/>
          </w:cols>
          <w:pgMar w:left="436" w:top="270"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the 8th day of July,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Andrew Main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Andrew Main,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ectPr>
          <w:pgSz w:w="11900" w:h="16838" w:orient="portrait"/>
          <w:cols w:equalWidth="0" w:num="1">
            <w:col w:w="11020"/>
          </w:cols>
          <w:pgMar w:left="440" w:top="266" w:right="439" w:bottom="1440" w:gutter="0" w:footer="0" w:header="0"/>
        </w:sectPr>
      </w:pPr>
    </w:p>
    <w:p>
      <w:pPr>
        <w:spacing w:after="0" w:line="18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160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60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Andrew Main</w:t>
      </w:r>
    </w:p>
    <w:p>
      <w:pPr>
        <w:spacing w:after="0" w:line="23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60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23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David C.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60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David C. Clifton</w:t>
      </w:r>
    </w:p>
    <w:p>
      <w:pPr>
        <w:spacing w:after="0" w:line="23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60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Sean Collins</w:t>
      </w:r>
    </w:p>
    <w:p>
      <w:pPr>
        <w:spacing w:after="0" w:line="23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De’Ana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60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De’Ana Dow</w:t>
      </w:r>
    </w:p>
    <w:p>
      <w:pPr>
        <w:spacing w:after="0" w:line="23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color w:val="auto"/>
        </w:rPr>
        <w:t>/s/ Michelle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2160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Michelle Goldberg</w:t>
      </w:r>
    </w:p>
    <w:p>
      <w:pPr>
        <w:spacing w:after="0" w:line="23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60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Richard Lumb</w:t>
      </w:r>
    </w:p>
    <w:p>
      <w:pPr>
        <w:spacing w:after="0" w:line="23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Jill Simeone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60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Jill Simeone</w:t>
      </w:r>
    </w:p>
    <w:p>
      <w:pPr>
        <w:spacing w:after="0" w:line="23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160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Gordon Watson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9"/>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spacing w:after="0"/>
              <w:rPr>
                <w:sz w:val="24"/>
                <w:szCs w:val="24"/>
                <w:color w:val="auto"/>
              </w:rPr>
            </w:pPr>
          </w:p>
        </w:tc>
      </w:tr>
      <w:tr>
        <w:trPr>
          <w:trHeight w:val="236"/>
        </w:trPr>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439"/>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spacing w:after="0"/>
              <w:rPr>
                <w:sz w:val="24"/>
                <w:szCs w:val="24"/>
                <w:color w:val="auto"/>
              </w:rPr>
            </w:pPr>
          </w:p>
        </w:tc>
      </w:tr>
      <w:tr>
        <w:trPr>
          <w:trHeight w:val="236"/>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 Accounting Officer</w:t>
            </w:r>
            <w:r>
              <w:rPr>
                <w:rFonts w:ascii="Times New Roman" w:cs="Times New Roman" w:eastAsia="Times New Roman" w:hAnsi="Times New Roman"/>
                <w:sz w:val="18"/>
                <w:szCs w:val="18"/>
                <w:color w:val="auto"/>
                <w:w w:val="99"/>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675"/>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675"/>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675"/>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675"/>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675"/>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r>
      <w:tr>
        <w:trPr>
          <w:trHeight w:val="675"/>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r>
        <w:trPr>
          <w:trHeight w:val="675"/>
        </w:trPr>
        <w:tc>
          <w:tcPr>
            <w:tcW w:w="5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8, 2024</w:t>
            </w:r>
          </w:p>
        </w:tc>
      </w:tr>
    </w:tbl>
    <w:p>
      <w:pPr>
        <w:sectPr>
          <w:pgSz w:w="11900" w:h="16838" w:orient="portrait"/>
          <w:cols w:equalWidth="0" w:num="2">
            <w:col w:w="2820" w:space="720"/>
            <w:col w:w="7480"/>
          </w:cols>
          <w:pgMar w:left="440" w:top="266" w:right="4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undersigned, for the purposes of incorporating and organizing a corporation under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does execute this Certificate of Incorporation and does hereby certify as 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Bakkt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The address of the registered office of the Corporation in the State of Delaware is 251 Little Falls Drive, City of Wilmington, County of New Castle, Delaware 19808; and the name of the Corporation’s registered agent at such address is Corporation Service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Corporation is to engage in any lawful act or activity for which corporations may now or hereafter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Corporation is being incorporated in connection with the domestication of VPC Impact Acquisition Holdings, a Cayman Islands exempted company limited by shares (“</w:t>
      </w:r>
      <w:r>
        <w:rPr>
          <w:rFonts w:ascii="Times New Roman" w:cs="Times New Roman" w:eastAsia="Times New Roman" w:hAnsi="Times New Roman"/>
          <w:sz w:val="18"/>
          <w:szCs w:val="18"/>
          <w:u w:val="single" w:color="auto"/>
          <w:color w:val="auto"/>
        </w:rPr>
        <w:t>VIH Cayman</w:t>
      </w:r>
      <w:r>
        <w:rPr>
          <w:rFonts w:ascii="Times New Roman" w:cs="Times New Roman" w:eastAsia="Times New Roman" w:hAnsi="Times New Roman"/>
          <w:sz w:val="18"/>
          <w:szCs w:val="18"/>
          <w:color w:val="auto"/>
        </w:rPr>
        <w:t>”), as a Delaware corporation, and this Certificate of Incorporation is being filed simultaneously with the Certificate of Corporate Domestication of VIH Cayman (the “</w:t>
      </w:r>
      <w:r>
        <w:rPr>
          <w:rFonts w:ascii="Times New Roman" w:cs="Times New Roman" w:eastAsia="Times New Roman" w:hAnsi="Times New Roman"/>
          <w:sz w:val="18"/>
          <w:szCs w:val="18"/>
          <w:u w:val="single" w:color="auto"/>
          <w:color w:val="auto"/>
        </w:rPr>
        <w:t>Certificate of Domestication</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total number of shares of all classes of capital stock that the Corporation is authorized to issue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1,001,000,000 shares, consisting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1,000,000,000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750,000,000 shares of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(B) 250,000,000 shares of Class V common stock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 The number of authorized shares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Common Stock, Class A Common Stock, Class V Common Stock or Preferred Stock may be increased or decreased (but not below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thereof then outstanding) by the affirmative vote of the holders of a majority in voting power of the stock of the Corporation entitled to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irrespective of the provisions of Section 242(b)(2) of the DGCL (or any successor provision thereto), and no vote of the holders of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Class A Common Stock, Class V Common Stock or Preferred Stock voting separately as a class shall be required therefor, unless a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holder is required pursuant to this Certificate of Incorporation (including any certificate of designation relating to any series of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Upon the filing of the Certificate of Domestication and this Certificate of Incorporation, which is occurring on the closing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contemplated by that certain Merger Agreement, dated as of January 11, 2021, by and among VIH Cayman, Pylon Merger Company LLC,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 and Bakkt Holdings, LLC, a Delaware limited liability company (“</w:t>
      </w:r>
      <w:r>
        <w:rPr>
          <w:rFonts w:ascii="Times New Roman" w:cs="Times New Roman" w:eastAsia="Times New Roman" w:hAnsi="Times New Roman"/>
          <w:sz w:val="18"/>
          <w:szCs w:val="18"/>
          <w:u w:val="single" w:color="auto"/>
          <w:color w:val="auto"/>
        </w:rPr>
        <w:t>Bakkt LLC</w:t>
      </w:r>
      <w:r>
        <w:rPr>
          <w:rFonts w:ascii="Times New Roman" w:cs="Times New Roman" w:eastAsia="Times New Roman" w:hAnsi="Times New Roman"/>
          <w:sz w:val="18"/>
          <w:szCs w:val="18"/>
          <w:color w:val="auto"/>
        </w:rPr>
        <w:t>”) (as may be amended, restated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each share of capital stock of VIH Cayman issued and outstanding immediately prior to the Closing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will be converted into one issued and outstanding, fully paid and nonassessable share of Class A Common Stock, without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required on the part of the Corporation or the holders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full or limited, or no voting powers,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91" w:lineRule="exact"/>
        <w:rPr>
          <w:rFonts w:ascii="Times New Roman" w:cs="Times New Roman" w:eastAsia="Times New Roman" w:hAnsi="Times New Roman"/>
          <w:sz w:val="18"/>
          <w:szCs w:val="18"/>
          <w:color w:val="auto"/>
        </w:rPr>
      </w:pPr>
    </w:p>
    <w:p>
      <w:pPr>
        <w:ind w:right="100" w:firstLine="987"/>
        <w:spacing w:after="0" w:line="282" w:lineRule="auto"/>
        <w:tabs>
          <w:tab w:leader="none" w:pos="1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holders of a series of Preferred Stock, as such, shall be entitled only to such voting rights, if any, as shall expressly be granted thereto by this Certificate of Incorporation (including any certificate of designations relating to such series).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hanging="293"/>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as required by law, each holder of Class A Common Stock, as such, shall be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the Corporation’s capital stock).</w:t>
      </w:r>
    </w:p>
    <w:p>
      <w:pPr>
        <w:spacing w:after="0" w:line="71"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as required by law, each holder of Class V Common Stock, as such, shall be entitled to one vote for each share of Class V Common Stock held of record by such holder on all matters on which stockholders generally or holders of Class V Common Stock as a separate class are entitled to vote, including the election or removal of directors (whether voting separately as a class or together with one or more classes of the Corporation’s capital stock).</w:t>
      </w:r>
    </w:p>
    <w:p>
      <w:pPr>
        <w:spacing w:after="0" w:line="71" w:lineRule="exact"/>
        <w:rPr>
          <w:rFonts w:ascii="Times New Roman" w:cs="Times New Roman" w:eastAsia="Times New Roman" w:hAnsi="Times New Roman"/>
          <w:sz w:val="18"/>
          <w:szCs w:val="18"/>
          <w:color w:val="auto"/>
        </w:rPr>
      </w:pPr>
    </w:p>
    <w:p>
      <w:pPr>
        <w:ind w:left="440" w:right="80" w:firstLine="948"/>
        <w:spacing w:after="0" w:line="256" w:lineRule="auto"/>
        <w:tabs>
          <w:tab w:leader="none" w:pos="1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Certificate of Incorporation or required by applicable law and without limiting the rights of any party to the Stockholders Agreement, dated as of October 15, 2021, by and among the Corporation and the other parties thereto (as amended from time to time,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the holders of Common Stock having the right to vote in respect of such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having voting rights generally.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left="1280" w:hanging="293"/>
        <w:spacing w:after="0"/>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Subject to applicable law and the rights, if any, of the holders of any outstanding shares of Preferred Stock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or series of stock having a preference over or the right to participate with the Class A Common Stock with respect to the payment of dividends, dividends may be declared and paid on the Class A Common Stock out of the assets of the Corporation that are by law available therefor at such times and in such amounts as the Board in its discretion shall determine.</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V Common Stock</w:t>
      </w:r>
      <w:r>
        <w:rPr>
          <w:rFonts w:ascii="Times New Roman" w:cs="Times New Roman" w:eastAsia="Times New Roman" w:hAnsi="Times New Roman"/>
          <w:sz w:val="18"/>
          <w:szCs w:val="18"/>
          <w:color w:val="auto"/>
        </w:rPr>
        <w:t>. Dividends shall not be declared or paid on the Class V Common Stock.</w:t>
      </w:r>
    </w:p>
    <w:p>
      <w:pPr>
        <w:spacing w:after="0" w:line="227" w:lineRule="exact"/>
        <w:rPr>
          <w:rFonts w:ascii="Times New Roman" w:cs="Times New Roman" w:eastAsia="Times New Roman" w:hAnsi="Times New Roman"/>
          <w:sz w:val="18"/>
          <w:szCs w:val="18"/>
          <w:color w:val="auto"/>
        </w:rPr>
      </w:pPr>
    </w:p>
    <w:p>
      <w:pPr>
        <w:ind w:right="20" w:firstLine="987"/>
        <w:spacing w:after="0" w:line="273" w:lineRule="auto"/>
        <w:tabs>
          <w:tab w:leader="none" w:pos="127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 Up</w:t>
      </w:r>
      <w:r>
        <w:rPr>
          <w:rFonts w:ascii="Times New Roman" w:cs="Times New Roman" w:eastAsia="Times New Roman" w:hAnsi="Times New Roman"/>
          <w:sz w:val="17"/>
          <w:szCs w:val="17"/>
          <w:color w:val="auto"/>
        </w:rPr>
        <w:t>. Subject to applicable law, and of the preferential and other amounts, if any, to which the holders of Preferred Stock or any class or series of stock having a preference over the Class A Common Stock as to distributions upon dissolution or liquidation or winding up of the affairs of the Corporation shall be entitled, in the event of any voluntary or involuntary liquidation, dissolution or winding up of the affairs of the Corporation, after payment or provision for payment of the debts and other liabilities of the Corporation, the holders of all outstanding shares of Class A Common Stock shall be entitled to receive the remaining assets of the Corporation available for distribution ratably in proportion to the number of shares held by each such stockholder. The holders of shares of Class V Common Stock, as such, shall not be entitled to receive any assets of the Corporation in the event of any voluntary or involuntary liquidation, dissolution or winding up of the affairs of the Corporation.</w:t>
      </w:r>
    </w:p>
    <w:p>
      <w:pPr>
        <w:spacing w:after="0" w:line="171" w:lineRule="exact"/>
        <w:rPr>
          <w:rFonts w:ascii="Times New Roman" w:cs="Times New Roman" w:eastAsia="Times New Roman" w:hAnsi="Times New Roman"/>
          <w:sz w:val="17"/>
          <w:szCs w:val="17"/>
          <w:color w:val="auto"/>
        </w:rPr>
      </w:pPr>
    </w:p>
    <w:p>
      <w:pPr>
        <w:ind w:right="20" w:firstLine="987"/>
        <w:spacing w:after="0" w:line="252" w:lineRule="auto"/>
        <w:tabs>
          <w:tab w:leader="none" w:pos="12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of Class V Common Stock</w:t>
      </w:r>
      <w:r>
        <w:rPr>
          <w:rFonts w:ascii="Times New Roman" w:cs="Times New Roman" w:eastAsia="Times New Roman" w:hAnsi="Times New Roman"/>
          <w:sz w:val="18"/>
          <w:szCs w:val="18"/>
          <w:color w:val="auto"/>
        </w:rPr>
        <w:t>. In the event that any outstanding share of Class V Common Stock shall cease to be held directly or indirectly by a holder of a unit of Bakkt LLC (the “</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as set forth in the books and records of Bakkt LLC, such share shall automatically and without further action on the part of the Corporation or any holder of Class V Common Stock be transferred to the Corporation for no consideration, and any purported transfer of Class V Common Stock which does not include the simultaneous transfer of a corresponding number of such holder’s LLC Units to such transferee or is otherwise not in accordance with the Third Amended and Restated LLC Agreement of Bakkt LLC (as amended from time to time,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the Exchange Agreement, dated as of October 15, 2021, by and among the Corporation and the other parties thereto (as amended from time to time,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and the Stockholders Agreement (collectively, the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shall be null and void and such transferee shall not obtain any rights in and to such shares of Class V Common Stock (the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nor shall such transfer be recognized by the Corporation’s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Corporation shall not issue additional shares of Class V Common Stock after the effectiveness of this Certificate of Incorporation other than in connection with the valid issuance or transfer of LLC Units in accordance with the LLC Agreement. Upon a determination by the Board that a person has attempted or may attempt to transfer or to acquire Restricted Shares in violation of the Restrictions, the Corporation shall refuse to give effect to such transfer or acquisition on the books and records of the Corporation. In furtherance of the foregoing, the Corporation shall cause the Transfer Agent to refuse to record the proposed transferee as the record owner of the Restricted Shares and shall institute proceedings necessary to enjoin or rescind any such transfer or acquisition. The Board may, to the extent permitted by law, from time to time establish, modify, amend or rescind, by by-law or otherwise, regulations and procedures that are consistent with the provisions of this Section 4.3(D) for determining whether any transfer or acquisition of shares of Class V Common Stock would violate the Restrictions and for the orderly application, administration and implementation of the provisions of this Section 4.3(D). Any such procedures and regulations shall be kept on file with the Secretary of the Corporation and with the Transfer Agent and shall be made available for inspection by any prospective transferee and, upon written request, shall be mailed to holders of shares of Class V Common Stock. For the avoidance of doubt, nothing herein restricts the ability of the holders of LLC Units from surrendering shares of Class V Common Stock to the Corporation or Bakkt LLC pursuant to the terms of the Exchange Agreement and in accordance with the Restrictions.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right="140" w:firstLine="987"/>
        <w:spacing w:after="0" w:line="254" w:lineRule="auto"/>
        <w:tabs>
          <w:tab w:leader="none" w:pos="12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Reservation of Stock; Transfer Restrictions</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an amount equal to at least the number of then-outstanding LLC Units subject to exchange pursuant to the Exchange Agreement. No shares of Class V Common Stock may be issued except to a holder of LLC Units (other than the Corporation or any subsidiary of the Corporation that is a holder of LLC Units), such that after such issuance of Class V Common Stock such holder holds an identical number of LLC Units and shares of Class V Common Stock in accordance with the Exchange Agreement. The Corporation shall take all actions necessary so that, for so long as the Class V Common Stock is outstanding, the number of shares of Class V Common Stock outstanding (plus any shares of Class V Common Stock which have been transferred to the Corporation pursuant to Section 4.3(D), if the corresponding LLC Units have not also been removed from issuance) shall equal the number of LLC Units outstanding pursuant to the Exchange Agreement.</w:t>
      </w:r>
    </w:p>
    <w:p>
      <w:pPr>
        <w:spacing w:after="0" w:line="191" w:lineRule="exact"/>
        <w:rPr>
          <w:rFonts w:ascii="Times New Roman" w:cs="Times New Roman" w:eastAsia="Times New Roman" w:hAnsi="Times New Roman"/>
          <w:sz w:val="18"/>
          <w:szCs w:val="18"/>
          <w:color w:val="auto"/>
        </w:rPr>
      </w:pPr>
    </w:p>
    <w:p>
      <w:pPr>
        <w:ind w:right="20" w:firstLine="987"/>
        <w:spacing w:after="0" w:line="266" w:lineRule="auto"/>
        <w:tabs>
          <w:tab w:leader="none" w:pos="1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All certificates or book entries representing shares of Class V Common Stock, as the case may be, shall include a legend in a form determined by the Board referencing the transfer restrictions set forth herein, and in the LLC Agreement, the Exchange Agreement and the Stockholders Agreement.</w:t>
      </w:r>
    </w:p>
    <w:p>
      <w:pPr>
        <w:spacing w:after="0" w:line="175" w:lineRule="exact"/>
        <w:rPr>
          <w:rFonts w:ascii="Times New Roman" w:cs="Times New Roman" w:eastAsia="Times New Roman" w:hAnsi="Times New Roman"/>
          <w:sz w:val="18"/>
          <w:szCs w:val="18"/>
          <w:color w:val="auto"/>
        </w:rPr>
      </w:pPr>
    </w:p>
    <w:p>
      <w:pPr>
        <w:ind w:right="100" w:firstLine="987"/>
        <w:spacing w:after="0" w:line="256" w:lineRule="auto"/>
        <w:tabs>
          <w:tab w:leader="none" w:pos="12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and Cancellation of Class V Common Stock</w:t>
      </w:r>
      <w:r>
        <w:rPr>
          <w:rFonts w:ascii="Times New Roman" w:cs="Times New Roman" w:eastAsia="Times New Roman" w:hAnsi="Times New Roman"/>
          <w:sz w:val="18"/>
          <w:szCs w:val="18"/>
          <w:color w:val="auto"/>
        </w:rPr>
        <w:t>. To the extent that any holder of Class V Common Stock exercises its right pursuant to the Exchange Agreement to exchange some or all of such holder’s LLC Units for Class A Common Stock in accordance with the Exchange Agreement, then, concurrently with such exchange under the Exchange Agreement, a number of shares of Class V Common Stock registered in the name of such holder equal to the number of LLC Units that are exchanged by such holder in such transaction (subject to equitable adjustment for any event described in Section 4.3(H) below, as applicable) shall upon transfer to the Corporation in accordance with the Exchange Agreement be retired and cancelled for no consideration and such shares shall not be reissued by the Corporation.</w:t>
      </w:r>
    </w:p>
    <w:p>
      <w:pPr>
        <w:spacing w:after="0" w:line="187" w:lineRule="exact"/>
        <w:rPr>
          <w:rFonts w:ascii="Times New Roman" w:cs="Times New Roman" w:eastAsia="Times New Roman" w:hAnsi="Times New Roman"/>
          <w:sz w:val="18"/>
          <w:szCs w:val="18"/>
          <w:color w:val="auto"/>
        </w:rPr>
      </w:pPr>
    </w:p>
    <w:p>
      <w:pPr>
        <w:ind w:right="80" w:firstLine="987"/>
        <w:spacing w:after="0" w:line="254" w:lineRule="auto"/>
        <w:tabs>
          <w:tab w:leader="none" w:pos="12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the Corporation at any time combines or subdivides (by any stock split, stock dividend, recapitalization, reorganization, merger, amendment of this Certificate of Incorporation, scheme, arrangement or otherwise) the number of shares of Class A Common Stock into a greater or lesser number of shares, the shares of Class V Common Stock outstanding immediately prior to such combination or subdivision shall be proportionately similarly combined or subdivided such that the ratio of shares of outstanding Class V Common Stock to shares of outstanding Class A Common Stock immediately prior to such combination or subdivision shall be maintained immediately after such combination or subdivision. Any adjustment described in this Section 4.3(H) shall become effective at the close of business on the date the combination or subdivision becomes effective. In no event shall the shares of Class V Common Stock be combined or subdivided (including by way of any stock split, stock dividend, recapitalization, reorganization, merger, amendment of this Certificate of Incorporation, scheme, arrangement or otherwise) unless the outstanding shares of Class A Common Stock shall be proportionately similarly combined or subdivided.</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Rights and Options</w:t>
      </w:r>
      <w:r>
        <w:rPr>
          <w:rFonts w:ascii="Times New Roman" w:cs="Times New Roman" w:eastAsia="Times New Roman" w:hAnsi="Times New Roman"/>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consideration to be received for shares of capital stock issuable upon exercise thereof may not be less than the par value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In furtherance and not in limitation of the powers conferred by the DGCL, the Board is expressly authorized to make, amend, alter, change, add to or repeal the by-laws of the Corporation (as the same may be amended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without the consent or vote of the stockholders in any manner not inconsistent with the laws of the State of Delaware or this Certificate of Incorporation and without limiting the rights of any party pursuant to the Stockholders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amendment, alteration, change, addition to or repeal of Article V (</w:t>
      </w:r>
      <w:r>
        <w:rPr>
          <w:rFonts w:ascii="Times New Roman" w:cs="Times New Roman" w:eastAsia="Times New Roman" w:hAnsi="Times New Roman"/>
          <w:sz w:val="18"/>
          <w:szCs w:val="18"/>
          <w:i w:val="1"/>
          <w:iCs w:val="1"/>
          <w:color w:val="auto"/>
        </w:rPr>
        <w:t>Indemnification and Advancement of Expenses</w:t>
      </w:r>
      <w:r>
        <w:rPr>
          <w:rFonts w:ascii="Times New Roman" w:cs="Times New Roman" w:eastAsia="Times New Roman" w:hAnsi="Times New Roman"/>
          <w:sz w:val="18"/>
          <w:szCs w:val="18"/>
          <w:color w:val="auto"/>
        </w:rPr>
        <w:t>) of the By-Laws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(regardless of when such Proceeding is first threatened, commenced or completed) arising out of, or related to, any act or omission occurring prior to such repeal or amendment or adoption of such inconsistent provision.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987"/>
        <w:spacing w:after="0" w:line="252" w:lineRule="auto"/>
        <w:tabs>
          <w:tab w:leader="none" w:pos="12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Powers; Number; Election; Term</w:t>
      </w:r>
      <w:r>
        <w:rPr>
          <w:rFonts w:ascii="Times New Roman" w:cs="Times New Roman" w:eastAsia="Times New Roman" w:hAnsi="Times New Roman"/>
          <w:sz w:val="18"/>
          <w:szCs w:val="18"/>
          <w:color w:val="auto"/>
        </w:rPr>
        <w:t>. Except as otherwise provided in this Certificate of Incorporation or the DGCL,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affairs of the Corporation shall be managed by or under the direction of the Board. The total number of directors constituting the whole Board shall be determined from time to time exclusively by resolution adopted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w:t>
      </w:r>
      <w:r>
        <w:rPr>
          <w:rFonts w:ascii="Times New Roman" w:cs="Times New Roman" w:eastAsia="Times New Roman" w:hAnsi="Times New Roman"/>
          <w:sz w:val="18"/>
          <w:szCs w:val="18"/>
          <w:u w:val="single" w:color="auto"/>
          <w:color w:val="auto"/>
        </w:rPr>
        <w:t>Class I Directors</w:t>
      </w:r>
      <w:r>
        <w:rPr>
          <w:rFonts w:ascii="Times New Roman" w:cs="Times New Roman" w:eastAsia="Times New Roman" w:hAnsi="Times New Roman"/>
          <w:sz w:val="18"/>
          <w:szCs w:val="18"/>
          <w:color w:val="auto"/>
        </w:rPr>
        <w:t>”) shall initially serve for a term expiring at the first annual meeting of stockholders following the effectiveness of this Certificate of Incorporation, Class II directors (“</w:t>
      </w:r>
      <w:r>
        <w:rPr>
          <w:rFonts w:ascii="Times New Roman" w:cs="Times New Roman" w:eastAsia="Times New Roman" w:hAnsi="Times New Roman"/>
          <w:sz w:val="18"/>
          <w:szCs w:val="18"/>
          <w:u w:val="single" w:color="auto"/>
          <w:color w:val="auto"/>
        </w:rPr>
        <w:t>Class II Directors</w:t>
      </w:r>
      <w:r>
        <w:rPr>
          <w:rFonts w:ascii="Times New Roman" w:cs="Times New Roman" w:eastAsia="Times New Roman" w:hAnsi="Times New Roman"/>
          <w:sz w:val="18"/>
          <w:szCs w:val="18"/>
          <w:color w:val="auto"/>
        </w:rPr>
        <w:t>”) shall initially serve for a term expiring at the second annual meeting of stockholders following the effectiveness of this Certificate of Incorporation and Class III directors (“</w:t>
      </w:r>
      <w:r>
        <w:rPr>
          <w:rFonts w:ascii="Times New Roman" w:cs="Times New Roman" w:eastAsia="Times New Roman" w:hAnsi="Times New Roman"/>
          <w:sz w:val="18"/>
          <w:szCs w:val="18"/>
          <w:u w:val="single" w:color="auto"/>
          <w:color w:val="auto"/>
        </w:rPr>
        <w:t>Class III Directors</w:t>
      </w:r>
      <w:r>
        <w:rPr>
          <w:rFonts w:ascii="Times New Roman" w:cs="Times New Roman" w:eastAsia="Times New Roman" w:hAnsi="Times New Roman"/>
          <w:sz w:val="18"/>
          <w:szCs w:val="18"/>
          <w:color w:val="auto"/>
        </w:rPr>
        <w:t>”) shall initially serve for a term expiring at the third annual meeting of stockholders following the effectiveness of this Certificate of Incorporation.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but in no case shall a decrease in the number of directors remove or shorten the term of any incumbent director. Subject to the rights granted to the holders of any one or more series of Preferred Stock then outstanding and without limiting the rights of any party pursuant to the Stockholders Agreement, the election of directors shall be determined by a plurality of the votes cast by the stockholders present in person or represented by proxy at the meeting and entitled to vote thereon. Any such director shall hold office until the annual meeting at which his or her term expires and until his or her successor shall be elected and qualified, or his or her earlier death, resignation, retirement or removal from office. The Board is authorized to assign members of the Board already in office to their respective class at the time such classification becomes effective.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0" w:name="page11"/>
    <w:bookmarkEnd w:id="10"/>
    <w:p>
      <w:pPr>
        <w:ind w:right="20" w:firstLine="987"/>
        <w:spacing w:after="0" w:line="256" w:lineRule="auto"/>
        <w:tabs>
          <w:tab w:leader="none" w:pos="12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Newly Created Directorships and Vacancies</w:t>
      </w:r>
      <w:r>
        <w:rPr>
          <w:rFonts w:ascii="Times New Roman" w:cs="Times New Roman" w:eastAsia="Times New Roman" w:hAnsi="Times New Roman"/>
          <w:sz w:val="18"/>
          <w:szCs w:val="18"/>
          <w:color w:val="auto"/>
        </w:rPr>
        <w:t>. Subject to the rights granted to the holders of any one or more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outstanding or the rights granted pursuant to the Stockholders Agreement, any newly created directorship on the Board that results from an increase in the number of directors or any vacancy occurring in the Board (whether by death, resignation, retirement, removal or other cause) shall be filled by the affirmative vote of a majority of the directors then in office, although less than a quorum, or by a sole remaining director (and not by the stockholders of the 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or removal.</w:t>
      </w:r>
    </w:p>
    <w:p>
      <w:pPr>
        <w:spacing w:after="0" w:line="182" w:lineRule="exact"/>
        <w:rPr>
          <w:rFonts w:ascii="Times New Roman" w:cs="Times New Roman" w:eastAsia="Times New Roman" w:hAnsi="Times New Roman"/>
          <w:sz w:val="18"/>
          <w:szCs w:val="18"/>
          <w:color w:val="auto"/>
        </w:rPr>
      </w:pPr>
    </w:p>
    <w:p>
      <w:pPr>
        <w:jc w:val="both"/>
        <w:ind w:firstLine="987"/>
        <w:spacing w:after="0" w:line="258" w:lineRule="auto"/>
        <w:tabs>
          <w:tab w:leader="none" w:pos="12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and Removal</w:t>
      </w:r>
      <w:r>
        <w:rPr>
          <w:rFonts w:ascii="Times New Roman" w:cs="Times New Roman" w:eastAsia="Times New Roman" w:hAnsi="Times New Roman"/>
          <w:sz w:val="18"/>
          <w:szCs w:val="18"/>
          <w:color w:val="auto"/>
        </w:rPr>
        <w:t>. Any director may resign at any time upon notice to the Corporation given in writing or by any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as permitted by the By-Laws. Any or all of the directors (other than the directors elected by the holders of any series of Preferred Stock, voting separately as a series or together with one or more other such series, as the case may be) may be removed only for cause and upon the affirmative vote of the holders of at least 66 2/3% of the total voting power of all the then-outstanding shares of stock of the Corporation entitled to vote generally in the election of directors, voting together as a single class.</w:t>
      </w:r>
    </w:p>
    <w:p>
      <w:pPr>
        <w:spacing w:after="0" w:line="183" w:lineRule="exact"/>
        <w:rPr>
          <w:rFonts w:ascii="Times New Roman" w:cs="Times New Roman" w:eastAsia="Times New Roman" w:hAnsi="Times New Roman"/>
          <w:sz w:val="18"/>
          <w:szCs w:val="18"/>
          <w:color w:val="auto"/>
        </w:rPr>
      </w:pPr>
    </w:p>
    <w:p>
      <w:pPr>
        <w:ind w:right="40" w:firstLine="987"/>
        <w:spacing w:after="0" w:line="257" w:lineRule="auto"/>
        <w:tabs>
          <w:tab w:leader="none" w:pos="12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Preferred Stock Directors</w:t>
      </w:r>
      <w:r>
        <w:rPr>
          <w:rFonts w:ascii="Times New Roman" w:cs="Times New Roman" w:eastAsia="Times New Roman" w:hAnsi="Times New Roman"/>
          <w:sz w:val="18"/>
          <w:szCs w:val="18"/>
          <w:color w:val="auto"/>
        </w:rPr>
        <w:t>. Whenever the holders of any one or more series of Preferred Stock issued by the Corporation shall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Section 6.1(A), the number of directors that may be elected by the holders of any such series of Preferred Stock shall be in addition to the number fixed pursuant to Section 6.1(A) hereof, and the total number of directors constituting the whole Board shall be automatically adjusted accordingly.</w:t>
      </w:r>
    </w:p>
    <w:p>
      <w:pPr>
        <w:spacing w:after="0" w:line="182"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Election by Written Ballot</w:t>
      </w:r>
      <w:r>
        <w:rPr>
          <w:rFonts w:ascii="Times New Roman" w:cs="Times New Roman" w:eastAsia="Times New Roman" w:hAnsi="Times New Roman"/>
          <w:sz w:val="18"/>
          <w:szCs w:val="18"/>
          <w:color w:val="auto"/>
        </w:rPr>
        <w:t>. Directors of the Corporation need not be elected by written ballot unless the By-Laws shall so provide.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holders of shares of Common Stock shall not have cumulative voting rights.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 xml:space="preserve">. Any action required or permitted to be taken by the holders of stock of the Corporation must be effected at a duly called annual or special meeting of such holders in accordance with the By-Laws and may not be effected by any consent by such 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action required or permitted to be taken by the holders of Class V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 the manner forth in Section 228 of the DGCL. Subject to the rights of the holders of any series of Preferred Stock, special meetings of the stockholders of the Corporation for any purpose or purposes may be called only by or at the direction of the Board, the Chairman of the Board or the Chief Executive Officer of the Corporation.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Limited Liability of Directors</w:t>
      </w:r>
      <w:r>
        <w:rPr>
          <w:rFonts w:ascii="Times New Roman" w:cs="Times New Roman" w:eastAsia="Times New Roman" w:hAnsi="Times New Roman"/>
          <w:sz w:val="18"/>
          <w:szCs w:val="18"/>
          <w:color w:val="auto"/>
        </w:rPr>
        <w:t>.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Article VIII shall eliminate or reduce the effect thereof in respect of any state of facts existing or act or omission occurring, or any cause of action, suit or claim that, but for this Article VIII, would accrue or arise, or otherwise adversely affect any limitation on the personal liability of a director of the Corporation existing prior to such amendment or repeal.</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Indemnification and Advancement of Expenses</w:t>
      </w:r>
      <w:r>
        <w:rPr>
          <w:rFonts w:ascii="Times New Roman" w:cs="Times New Roman" w:eastAsia="Times New Roman" w:hAnsi="Times New Roman"/>
          <w:sz w:val="18"/>
          <w:szCs w:val="18"/>
          <w:color w:val="auto"/>
        </w:rPr>
        <w:t>. To the fullest extent permitted by applicable law, as the same exists or may hereafter be amended, the Corporation shall indemnify and hold harmless each person who is or was made a party or is threatened to be made a party to or is otherwise involved in a Proceeding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9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advancement of expenses conferred on any Indemnitee by this</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Section 8.2 shall not be exclusive of any other rights that any Indemnitee may have or hereafter acquire under law, this Certificate of Incorporation, the By-Laws, an agreement, vote of stockholders or disinterested directors, or otherwise.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2" w:name="page13"/>
    <w:bookmarkEnd w:id="12"/>
    <w:p>
      <w:pPr>
        <w:ind w:right="100" w:firstLine="987"/>
        <w:spacing w:after="0" w:line="255" w:lineRule="auto"/>
        <w:tabs>
          <w:tab w:leader="none" w:pos="1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Times New Roman" w:cs="Times New Roman" w:eastAsia="Times New Roman" w:hAnsi="Times New Roman"/>
          <w:sz w:val="18"/>
          <w:szCs w:val="18"/>
          <w:color w:val="auto"/>
        </w:rPr>
        <w:t>. Any repeal or amendment of this Section 8.2 by the stockholders of the Corporation or by changes in law, or the adoption of any other provision of this Certificate of Incorporation inconsistent with this Section 8.2,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88" w:lineRule="exact"/>
        <w:rPr>
          <w:rFonts w:ascii="Times New Roman" w:cs="Times New Roman" w:eastAsia="Times New Roman" w:hAnsi="Times New Roman"/>
          <w:sz w:val="18"/>
          <w:szCs w:val="18"/>
          <w:color w:val="auto"/>
        </w:rPr>
      </w:pPr>
    </w:p>
    <w:p>
      <w:pPr>
        <w:ind w:right="40" w:firstLine="987"/>
        <w:spacing w:after="0" w:line="258" w:lineRule="auto"/>
        <w:tabs>
          <w:tab w:leader="none" w:pos="12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advancement of expenses and other rights contained in this Section 8.2 in entering into or continuing such service. The rights to indemnification and to the advancement of expenses conferred in this Section 8.2 shall apply to claims made against an Indemnitee arising out of acts or omissions which occurred or occur both prior and subsequent to the adoption hereof.</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other than Indemnitees</w:t>
      </w:r>
      <w:r>
        <w:rPr>
          <w:rFonts w:ascii="Times New Roman" w:cs="Times New Roman" w:eastAsia="Times New Roman" w:hAnsi="Times New Roman"/>
          <w:sz w:val="18"/>
          <w:szCs w:val="18"/>
          <w:color w:val="auto"/>
        </w:rPr>
        <w:t>. This Section 8.2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DGCL Section 203 and Business Combinations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hanging="293"/>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expressly elects not to be governed by Section 203 of the DGCL.</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Corporation shall not engage in any business combination (as defined below), at any point in time at which the Corporation’s Common Stock is registered under Section 12(b) or 12(g) of the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any interested stockholder (as defined below) for a period of three years following the time that such stockholder became an interested stockholder, unless:</w:t>
      </w:r>
    </w:p>
    <w:p>
      <w:pPr>
        <w:spacing w:after="0" w:line="71"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the stockholder becoming an interested stockholder, or</w:t>
      </w:r>
    </w:p>
    <w:p>
      <w:pPr>
        <w:spacing w:after="0" w:line="53" w:lineRule="exact"/>
        <w:rPr>
          <w:rFonts w:ascii="Times New Roman" w:cs="Times New Roman" w:eastAsia="Times New Roman" w:hAnsi="Times New Roman"/>
          <w:sz w:val="18"/>
          <w:szCs w:val="18"/>
          <w:color w:val="auto"/>
        </w:rPr>
      </w:pPr>
    </w:p>
    <w:p>
      <w:pPr>
        <w:ind w:left="440" w:firstLine="948"/>
        <w:spacing w:after="0" w:line="258" w:lineRule="auto"/>
        <w:tabs>
          <w:tab w:leader="none" w:pos="16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5"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left="840" w:hanging="29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Article IX, references to:</w:t>
      </w:r>
    </w:p>
    <w:p>
      <w:pPr>
        <w:spacing w:after="0" w:line="117" w:lineRule="exact"/>
        <w:rPr>
          <w:rFonts w:ascii="Times New Roman" w:cs="Times New Roman" w:eastAsia="Times New Roman" w:hAnsi="Times New Roman"/>
          <w:sz w:val="18"/>
          <w:szCs w:val="18"/>
          <w:color w:val="auto"/>
        </w:rPr>
      </w:pPr>
    </w:p>
    <w:p>
      <w:pPr>
        <w:ind w:right="60" w:firstLine="948"/>
        <w:spacing w:after="0" w:line="282" w:lineRule="auto"/>
        <w:tabs>
          <w:tab w:leader="none" w:pos="12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53" w:lineRule="exact"/>
        <w:rPr>
          <w:rFonts w:ascii="Times New Roman" w:cs="Times New Roman" w:eastAsia="Times New Roman" w:hAnsi="Times New Roman"/>
          <w:sz w:val="18"/>
          <w:szCs w:val="18"/>
          <w:color w:val="auto"/>
        </w:rPr>
      </w:pPr>
    </w:p>
    <w:p>
      <w:pPr>
        <w:ind w:right="40" w:firstLine="948"/>
        <w:spacing w:after="0" w:line="258" w:lineRule="auto"/>
        <w:tabs>
          <w:tab w:leader="none" w:pos="12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5"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 means:</w:t>
      </w:r>
    </w:p>
    <w:p>
      <w:pPr>
        <w:spacing w:after="0" w:line="131" w:lineRule="exact"/>
        <w:rPr>
          <w:sz w:val="20"/>
          <w:szCs w:val="20"/>
          <w:color w:val="auto"/>
        </w:rPr>
      </w:pPr>
    </w:p>
    <w:p>
      <w:pPr>
        <w:ind w:left="1520" w:hanging="533"/>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Corporation or any direct or indirect majority-owned subsidiary of the Corporation</w:t>
      </w:r>
    </w:p>
    <w:p>
      <w:pPr>
        <w:spacing w:after="0" w:line="27" w:lineRule="exact"/>
        <w:rPr>
          <w:rFonts w:ascii="Times New Roman" w:cs="Times New Roman" w:eastAsia="Times New Roman" w:hAnsi="Times New Roman"/>
          <w:sz w:val="18"/>
          <w:szCs w:val="18"/>
          <w:color w:val="auto"/>
        </w:rPr>
      </w:pPr>
    </w:p>
    <w:p>
      <w:pPr>
        <w:ind w:left="1520" w:firstLine="7"/>
        <w:spacing w:after="0" w:line="250" w:lineRule="auto"/>
        <w:tabs>
          <w:tab w:leader="none" w:pos="17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interested stockholder, or (ii) with any other corporation, partnership, unincorporated association or other entity if the merger or consolidation is caused by the interested stockholder and as a result of such merger or consolidation Section</w:t>
      </w: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this Article IX is not applicable to the surviving entity;</w:t>
      </w:r>
    </w:p>
    <w:p>
      <w:pPr>
        <w:spacing w:after="0" w:line="112" w:lineRule="exact"/>
        <w:rPr>
          <w:rFonts w:ascii="Times New Roman" w:cs="Times New Roman" w:eastAsia="Times New Roman" w:hAnsi="Times New Roman"/>
          <w:sz w:val="18"/>
          <w:szCs w:val="18"/>
          <w:color w:val="auto"/>
        </w:rPr>
      </w:pPr>
    </w:p>
    <w:p>
      <w:pPr>
        <w:ind w:left="1520" w:right="40" w:hanging="533"/>
        <w:spacing w:after="0" w:line="256"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92" w:lineRule="exact"/>
        <w:rPr>
          <w:rFonts w:ascii="Times New Roman" w:cs="Times New Roman" w:eastAsia="Times New Roman" w:hAnsi="Times New Roman"/>
          <w:sz w:val="18"/>
          <w:szCs w:val="18"/>
          <w:color w:val="auto"/>
        </w:rPr>
      </w:pPr>
    </w:p>
    <w:p>
      <w:pPr>
        <w:ind w:left="1520" w:right="400" w:hanging="533"/>
        <w:spacing w:after="0" w:line="276" w:lineRule="auto"/>
        <w:tabs>
          <w:tab w:leader="none" w:pos="1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except:</w:t>
      </w:r>
    </w:p>
    <w:p>
      <w:pPr>
        <w:ind w:left="1520" w:right="60" w:firstLine="7"/>
        <w:spacing w:after="0" w:line="251" w:lineRule="auto"/>
        <w:tabs>
          <w:tab w:leader="none" w:pos="17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4" w:name="page15"/>
    <w:bookmarkEnd w:id="14"/>
    <w:p>
      <w:pPr>
        <w:ind w:left="1520" w:right="160" w:hanging="533"/>
        <w:spacing w:after="0" w:line="258" w:lineRule="auto"/>
        <w:tabs>
          <w:tab w:leader="none" w:pos="1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88" w:lineRule="exact"/>
        <w:rPr>
          <w:rFonts w:ascii="Times New Roman" w:cs="Times New Roman" w:eastAsia="Times New Roman" w:hAnsi="Times New Roman"/>
          <w:sz w:val="18"/>
          <w:szCs w:val="18"/>
          <w:color w:val="auto"/>
        </w:rPr>
      </w:pPr>
    </w:p>
    <w:p>
      <w:pPr>
        <w:ind w:left="1520" w:right="40" w:hanging="533"/>
        <w:spacing w:after="0" w:line="261" w:lineRule="auto"/>
        <w:tabs>
          <w:tab w:leader="none" w:pos="1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71" w:lineRule="exact"/>
        <w:rPr>
          <w:rFonts w:ascii="Times New Roman" w:cs="Times New Roman" w:eastAsia="Times New Roman" w:hAnsi="Times New Roman"/>
          <w:sz w:val="18"/>
          <w:szCs w:val="18"/>
          <w:color w:val="auto"/>
        </w:rPr>
      </w:pPr>
    </w:p>
    <w:p>
      <w:pPr>
        <w:ind w:right="40" w:firstLine="948"/>
        <w:spacing w:after="0" w:line="255" w:lineRule="auto"/>
        <w:tabs>
          <w:tab w:leader="none" w:pos="12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(C) of Article IX, as an agent, bank, broker, nominee, custodian or trustee for one or more owners who do not individually or as a group have control of such entity.</w:t>
      </w:r>
    </w:p>
    <w:p>
      <w:pPr>
        <w:spacing w:after="0" w:line="80" w:lineRule="exact"/>
        <w:rPr>
          <w:rFonts w:ascii="Times New Roman" w:cs="Times New Roman" w:eastAsia="Times New Roman" w:hAnsi="Times New Roman"/>
          <w:sz w:val="18"/>
          <w:szCs w:val="18"/>
          <w:color w:val="auto"/>
        </w:rPr>
      </w:pPr>
    </w:p>
    <w:p>
      <w:pPr>
        <w:ind w:firstLine="948"/>
        <w:spacing w:after="0" w:line="253" w:lineRule="auto"/>
        <w:tabs>
          <w:tab w:leader="none" w:pos="12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but “interested stockholder” shall not include (I) any Stockholder Party, any Stockholder Party Direct Transferee, any Stockholder Party Indirect Transferee or any of their respective Affiliates or associates or successors or any “group,” or any member of any such group, to which such persons are a party under Rule 13d-5 of the Exchange Act, or (II) any person whose ownership of shares in excess of the 15% limitation set forth herein is the result of any action taken solely by the Corporation;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5" w:name="page16"/>
    <w:bookmarkEnd w:id="15"/>
    <w:p>
      <w:pPr>
        <w:ind w:right="80" w:firstLine="948"/>
        <w:spacing w:after="0" w:line="282" w:lineRule="auto"/>
        <w:tabs>
          <w:tab w:leader="none" w:pos="12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67" w:lineRule="exact"/>
        <w:rPr>
          <w:sz w:val="20"/>
          <w:szCs w:val="20"/>
          <w:color w:val="auto"/>
        </w:rPr>
      </w:pPr>
    </w:p>
    <w:p>
      <w:pPr>
        <w:ind w:left="1520" w:hanging="533"/>
        <w:spacing w:after="0"/>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130" w:lineRule="exact"/>
        <w:rPr>
          <w:rFonts w:ascii="Times New Roman" w:cs="Times New Roman" w:eastAsia="Times New Roman" w:hAnsi="Times New Roman"/>
          <w:sz w:val="18"/>
          <w:szCs w:val="18"/>
          <w:color w:val="auto"/>
        </w:rPr>
      </w:pPr>
    </w:p>
    <w:p>
      <w:pPr>
        <w:ind w:left="1520" w:hanging="533"/>
        <w:spacing w:after="0" w:line="254" w:lineRule="auto"/>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97" w:lineRule="exact"/>
        <w:rPr>
          <w:rFonts w:ascii="Times New Roman" w:cs="Times New Roman" w:eastAsia="Times New Roman" w:hAnsi="Times New Roman"/>
          <w:sz w:val="18"/>
          <w:szCs w:val="18"/>
          <w:color w:val="auto"/>
        </w:rPr>
      </w:pPr>
    </w:p>
    <w:p>
      <w:pPr>
        <w:ind w:left="1520" w:right="140" w:hanging="533"/>
        <w:spacing w:after="0" w:line="266" w:lineRule="auto"/>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117" w:lineRule="exact"/>
        <w:rPr>
          <w:rFonts w:ascii="Times New Roman" w:cs="Times New Roman" w:eastAsia="Times New Roman" w:hAnsi="Times New Roman"/>
          <w:sz w:val="18"/>
          <w:szCs w:val="18"/>
          <w:color w:val="auto"/>
        </w:rPr>
      </w:pPr>
    </w:p>
    <w:p>
      <w:pPr>
        <w:ind w:right="240" w:firstLine="948"/>
        <w:spacing w:after="0" w:line="282" w:lineRule="auto"/>
        <w:tabs>
          <w:tab w:leader="none" w:pos="12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Parties</w:t>
      </w:r>
      <w:r>
        <w:rPr>
          <w:rFonts w:ascii="Times New Roman" w:cs="Times New Roman" w:eastAsia="Times New Roman" w:hAnsi="Times New Roman"/>
          <w:sz w:val="18"/>
          <w:szCs w:val="18"/>
          <w:color w:val="auto"/>
        </w:rPr>
        <w:t>” means the Stockholders (as defined in the Stockholders Agreement). The term “</w:t>
      </w:r>
      <w:r>
        <w:rPr>
          <w:rFonts w:ascii="Times New Roman" w:cs="Times New Roman" w:eastAsia="Times New Roman" w:hAnsi="Times New Roman"/>
          <w:sz w:val="18"/>
          <w:szCs w:val="18"/>
          <w:u w:val="single" w:color="auto"/>
          <w:color w:val="auto"/>
        </w:rPr>
        <w:t>Stockholder Party</w:t>
      </w:r>
      <w:r>
        <w:rPr>
          <w:rFonts w:ascii="Times New Roman" w:cs="Times New Roman" w:eastAsia="Times New Roman" w:hAnsi="Times New Roman"/>
          <w:sz w:val="18"/>
          <w:szCs w:val="18"/>
          <w:color w:val="auto"/>
        </w:rPr>
        <w:t>” shall have a correlative meaning to “Stockholder Parties.”</w:t>
      </w:r>
    </w:p>
    <w:p>
      <w:pPr>
        <w:spacing w:after="0" w:line="53" w:lineRule="exact"/>
        <w:rPr>
          <w:rFonts w:ascii="Times New Roman" w:cs="Times New Roman" w:eastAsia="Times New Roman" w:hAnsi="Times New Roman"/>
          <w:sz w:val="18"/>
          <w:szCs w:val="18"/>
          <w:color w:val="auto"/>
        </w:rPr>
      </w:pPr>
    </w:p>
    <w:p>
      <w:pPr>
        <w:ind w:right="160" w:firstLine="948"/>
        <w:spacing w:after="0" w:line="266" w:lineRule="auto"/>
        <w:tabs>
          <w:tab w:leader="none" w:pos="12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 Direct Transferee</w:t>
      </w:r>
      <w:r>
        <w:rPr>
          <w:rFonts w:ascii="Times New Roman" w:cs="Times New Roman" w:eastAsia="Times New Roman" w:hAnsi="Times New Roman"/>
          <w:sz w:val="18"/>
          <w:szCs w:val="18"/>
          <w:color w:val="auto"/>
        </w:rPr>
        <w:t>”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then-outstanding voting stock of the Corporation.</w:t>
      </w:r>
    </w:p>
    <w:p>
      <w:pPr>
        <w:spacing w:after="0" w:line="67" w:lineRule="exact"/>
        <w:rPr>
          <w:rFonts w:ascii="Times New Roman" w:cs="Times New Roman" w:eastAsia="Times New Roman" w:hAnsi="Times New Roman"/>
          <w:sz w:val="18"/>
          <w:szCs w:val="18"/>
          <w:color w:val="auto"/>
        </w:rPr>
      </w:pPr>
    </w:p>
    <w:p>
      <w:pPr>
        <w:ind w:right="60" w:firstLine="948"/>
        <w:spacing w:after="0" w:line="266" w:lineRule="auto"/>
        <w:tabs>
          <w:tab w:leader="none" w:pos="12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 Indirect Transferee</w:t>
      </w:r>
      <w:r>
        <w:rPr>
          <w:rFonts w:ascii="Times New Roman" w:cs="Times New Roman" w:eastAsia="Times New Roman" w:hAnsi="Times New Roman"/>
          <w:sz w:val="18"/>
          <w:szCs w:val="18"/>
          <w:color w:val="auto"/>
        </w:rPr>
        <w:t>” means any person that acquires (other than in a registered public offering) directly from any Stockholder Party Direct Transferee or any other Stockholder Party Indirect Transferee beneficial ownership of 15% or more of the then-outstanding voting stock of the Corporation.</w:t>
      </w:r>
    </w:p>
    <w:p>
      <w:pPr>
        <w:spacing w:after="0" w:line="67" w:lineRule="exact"/>
        <w:rPr>
          <w:rFonts w:ascii="Times New Roman" w:cs="Times New Roman" w:eastAsia="Times New Roman" w:hAnsi="Times New Roman"/>
          <w:sz w:val="18"/>
          <w:szCs w:val="18"/>
          <w:color w:val="auto"/>
        </w:rPr>
      </w:pPr>
    </w:p>
    <w:p>
      <w:pPr>
        <w:ind w:firstLine="948"/>
        <w:spacing w:after="0" w:line="266" w:lineRule="auto"/>
        <w:tabs>
          <w:tab w:leader="none" w:pos="12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Competition and Corporate Opportunities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and anticipation that (i) certain directors, principals, officers, employees, equityholders and/or other representatives of VPC Impact Acquisition Holdings Sponsor, LLC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its Affiliates and Affiliated Entities (each, as defined below) may serve as directors, officers or agents of the Corporation, (ii) the Sponsor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(iii) certain directors, principals, officers, employees, equityholders and/or other representatives of Intercontinental Exchange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its Affiliates and Affiliated Entities may serve as directors, officers or agents of the Corporation, (iv) Holdings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and (v) members of the Board who are not employees of the Corporation (“</w:t>
      </w: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 and their respective Affiliates and Affiliated Entities including (I) any company in which they or any of their respective Affiliates or Affiliated Entities have made a debt or equity investment (and vice versa) or (II) any of their respective direct or indirect investors, may now engage and may continue to engage in (a) the same or similar activities or related lines of business as those in which the Corporation, directly or indirectly, may engage and/or (b) other business activities that overlap with or compete with those in which the Corporation, directly or indirectly, may engage, the provisions of this Article X are set forth to regulate and define the conduct of certain affairs of the Corporation with respect to certain classes or categories of business opportunities as they may involve the Sponsor, Holdings, any of the Non-Employee Directors or their respective Affiliates or Affiliated Entities and the powers, rights, duties and liabilities of the Corporation and its directors, officers and stockholders in connection therewith.</w:t>
      </w:r>
    </w:p>
    <w:p>
      <w:pPr>
        <w:spacing w:after="0" w:line="189" w:lineRule="exact"/>
        <w:rPr>
          <w:rFonts w:ascii="Times New Roman" w:cs="Times New Roman" w:eastAsia="Times New Roman" w:hAnsi="Times New Roman"/>
          <w:sz w:val="18"/>
          <w:szCs w:val="18"/>
          <w:color w:val="auto"/>
        </w:rPr>
      </w:pPr>
    </w:p>
    <w:p>
      <w:pPr>
        <w:ind w:right="100" w:firstLine="987"/>
        <w:spacing w:after="0" w:line="254" w:lineRule="auto"/>
        <w:tabs>
          <w:tab w:leader="none" w:pos="12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Sponsor, (ii) Holdings or (iii) any Non-Employee Director or his, her or its respective Affiliates or Affiliated Entities (the Persons (as defined below) above being referred to, collectively, as “</w:t>
      </w:r>
      <w:r>
        <w:rPr>
          <w:rFonts w:ascii="Times New Roman" w:cs="Times New Roman" w:eastAsia="Times New Roman" w:hAnsi="Times New Roman"/>
          <w:sz w:val="18"/>
          <w:szCs w:val="18"/>
          <w:u w:val="single" w:color="auto"/>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shall, to the fullest extent permitted by law, have any duty to refrain from directly or indirectly (1) engaging in and possessing interests in other business ventures of every type and description, including those engaged in the same or similar business activities or lines of business in which the Corporation or any of its Affiliates now engages or proposes to engage or (2) otherwise competing with the Corporation or any of its Affiliates, on its own account, or in partnership with, or as an employee, officer, director or shareholder of any other Person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expectancy in, or right to be offered an opportunity to participate in, any business opportunity which may be a corporate opportunity for an Identified Person and the Corporation or any of its Affiliates, except as provided in Section 10.1(C) of this Article X. Subject to said Section 10.1(C) of this Article 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(fiduciary, contractual or otherwise) to communicate, present or offer such transaction or other business opportunity or matter to the Corporation or any of its Affiliates or stockholders and, to the fullest extent permitted by law, shall not be liable to the Corporation or its stockholders or to any Affiliate of the Corporation for breach of any duty (fiduciary, contractual or otherwise) as a stockholder, director or officer of the Corporation solely by reason of the fact that such Identified Person pursues or acquires such corporate opportunity for itself, herself or himself, or offers or directs such corporate opportunity to another Person or does not present such opportunity to the Corporation or any of its Affiliates or stockholders.</w:t>
      </w:r>
    </w:p>
    <w:p>
      <w:pPr>
        <w:spacing w:after="0" w:line="188" w:lineRule="exact"/>
        <w:rPr>
          <w:sz w:val="20"/>
          <w:szCs w:val="20"/>
          <w:color w:val="auto"/>
        </w:rPr>
      </w:pPr>
    </w:p>
    <w:p>
      <w:pPr>
        <w:ind w:right="40" w:firstLine="987"/>
        <w:spacing w:after="0" w:line="266" w:lineRule="auto"/>
        <w:tabs>
          <w:tab w:leader="none" w:pos="12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renounce its interest in any corporate opportunity offered to any Non-Employee Director if such opportunity is expressly offered to such person solely in his or her capacity as a director of the Corporation, and the provisions of Section 10.1(B) of this Article X shall not apply to any such corporate opportunity.</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notwithstanding the foregoing provisions of this Article 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79" w:lineRule="exact"/>
        <w:rPr>
          <w:rFonts w:ascii="Times New Roman" w:cs="Times New Roman" w:eastAsia="Times New Roman" w:hAnsi="Times New Roman"/>
          <w:sz w:val="18"/>
          <w:szCs w:val="18"/>
          <w:color w:val="auto"/>
        </w:rPr>
      </w:pPr>
    </w:p>
    <w:p>
      <w:pPr>
        <w:ind w:right="20" w:firstLine="987"/>
        <w:spacing w:after="0" w:line="252" w:lineRule="auto"/>
        <w:tabs>
          <w:tab w:leader="none" w:pos="1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X, (i)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in respect of the Sponsor, any Person that, directly or indirectly, is controlled by the Sponsor (as applicable), controls the Sponsor (as applicable) or is under common control with the Sponsor (as applicable) and shall include any principal, member, director, manager, investment manager, investor, partner, stockholder, officer, employee, predecessor, successor, agent or other representative of any of the foregoing (other than the Corporation and any entity that is controlled by the Corporation), including, without limitation, funds, accounts and/or other investment vehicles managed by Victory Park Capital Advisors, LLC, (B) in respect of Holdings, any Person that, directly or indirectly, is controlled by Holdings (as applicable), controls Holdings (as applicable) or is under common control with Holdings (as applicable) and shall include any principal, member, director, investor, partner, stockholder, officer, employee, predecessor, successor, agent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 (ii) “</w:t>
      </w:r>
      <w:r>
        <w:rPr>
          <w:rFonts w:ascii="Times New Roman" w:cs="Times New Roman" w:eastAsia="Times New Roman" w:hAnsi="Times New Roman"/>
          <w:sz w:val="18"/>
          <w:szCs w:val="18"/>
          <w:u w:val="single" w:color="auto"/>
          <w:color w:val="auto"/>
        </w:rPr>
        <w:t>Affiliated Entity</w:t>
      </w:r>
      <w:r>
        <w:rPr>
          <w:rFonts w:ascii="Times New Roman" w:cs="Times New Roman" w:eastAsia="Times New Roman" w:hAnsi="Times New Roman"/>
          <w:sz w:val="18"/>
          <w:szCs w:val="18"/>
          <w:color w:val="auto"/>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97" w:lineRule="exact"/>
        <w:rPr>
          <w:rFonts w:ascii="Times New Roman" w:cs="Times New Roman" w:eastAsia="Times New Roman" w:hAnsi="Times New Roman"/>
          <w:sz w:val="18"/>
          <w:szCs w:val="18"/>
          <w:color w:val="auto"/>
        </w:rPr>
      </w:pPr>
    </w:p>
    <w:p>
      <w:pPr>
        <w:ind w:right="220" w:firstLine="987"/>
        <w:spacing w:after="0" w:line="282" w:lineRule="auto"/>
        <w:tabs>
          <w:tab w:leader="none" w:pos="1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X.</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left="4" w:right="80" w:firstLine="987"/>
        <w:spacing w:after="0" w:line="256" w:lineRule="auto"/>
        <w:tabs>
          <w:tab w:leader="none" w:pos="12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alteration, amendment, addition to or repeal of this Article X, nor the adoption of any provision of this Certificate of Incorporation (including any Preferred Stock designation) inconsistent with this Article X, shall eliminate or reduce the effect of this Article X upon Sponsor, Holdings or any of their respective Affiliates or Affiliated Entities in respect of any business opportunity or any other matter occurring, or any cause of action, suit or claim that would accrue or arise, prior to, upon or following such alteration, amendment, addition, repeal or adoption. This Article X shall not limit any protections or defenses available to, or indemnification or advancement rights of, any director or officer of the Corporation under this Certificate of Incorporation, the By-Laws or applicable law.</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left="4" w:right="2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Certificate of Incorporation shall be held to be invalid, illegal or unenforceable as applied to any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39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left="4"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Forum</w:t>
      </w:r>
      <w:r>
        <w:rPr>
          <w:rFonts w:ascii="Times New Roman" w:cs="Times New Roman" w:eastAsia="Times New Roman" w:hAnsi="Times New Roman"/>
          <w:sz w:val="18"/>
          <w:szCs w:val="18"/>
          <w:color w:val="auto"/>
        </w:rPr>
        <w:t>. Unless the Corporation consents in writing to the selection of an alternative forum, (i) any derivative action or proceeding brought or purportedly brought on behalf of the Corporation, (ii) any action or proceeding asserting a claim of breach of a fiduciary duty owed by any current or former director, officer, employee, stockholder or agent of the Corporation to the Corporation or the Corporation’s stockholders, or any claim for aiding and abetting such alleged breach, (iii) any action or proceeding asserting a claim (a) arising pursuant to, or seeking to enforce any right, obligation or remedy under, any provision of the DGCL, the Certificate of Incorporation or the By-Laws (in each case, as they may be amended from time to time) or (b) as to which the DGCL confers jurisdiction on the Court of Chancery of the State of Delaware, (iv) any action or proceeding to interpret, apply, enforce or determine the validity of the Certificate of Incorporation or the By-Laws (in each case, as they may be amended from time to time) or any provision thereof, (v) any action or proceeding asserting a claim against the Corporation or any current or former director, officer, employee, stockholder or agent of the Corporation governed by the internal affairs doctrine of the law of the State of Delaware, or</w:t>
      </w:r>
    </w:p>
    <w:p>
      <w:pPr>
        <w:spacing w:after="0" w:line="6" w:lineRule="exact"/>
        <w:rPr>
          <w:sz w:val="20"/>
          <w:szCs w:val="20"/>
          <w:color w:val="auto"/>
        </w:rPr>
      </w:pPr>
    </w:p>
    <w:p>
      <w:pPr>
        <w:ind w:left="4" w:hanging="4"/>
        <w:spacing w:after="0" w:line="251" w:lineRule="auto"/>
        <w:tabs>
          <w:tab w:leader="none" w:pos="3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an “internal corporate claim” as defined in Section 115 of the DGCL shall, to the fullest extent permitted by law and subject to the court’s having personal jurisdiction over the indispensable parties named as defendants, be solely and exclusively brought in the Court of Chancery of the State of Delaware or, if and only if such court does not have subject matter jurisdiction thereof, any other court located in the State of Delaware with subject matter jurisdiction.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Failure to enforce the foregoing provisions would cause the Corporation irreparable harm and the Corporation shall be entitled to equitable relief, including injunctive relief and specific performance.</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Notwithstanding anything contained in this Certificate of Incorporation to the contrary,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 Article XII and this Article XIII. Except as expressly provided in the foregoing sentence and the remainder of this Certificate of Incorporation (including any certificate of designation relating to any series of Preferred Stock), this Certificate of Incorporation may be amended by the affirmative vote of the holders of a majority of the total voting power of all the then-outstanding shares of stock of the Corporation entitled to vote generally in the election of directors, voting together as a single class.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9"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who makes a request therefor.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15.1 </w:t>
      </w:r>
      <w:r>
        <w:rPr>
          <w:rFonts w:ascii="Times New Roman" w:cs="Times New Roman" w:eastAsia="Times New Roman" w:hAnsi="Times New Roman"/>
          <w:sz w:val="18"/>
          <w:szCs w:val="18"/>
          <w:u w:val="single" w:color="auto"/>
          <w:color w:val="auto"/>
        </w:rPr>
        <w:t>Sole Incorporator and Directors</w:t>
      </w:r>
      <w:r>
        <w:rPr>
          <w:rFonts w:ascii="Times New Roman" w:cs="Times New Roman" w:eastAsia="Times New Roman" w:hAnsi="Times New Roman"/>
          <w:sz w:val="18"/>
          <w:szCs w:val="18"/>
          <w:color w:val="auto"/>
        </w:rPr>
        <w:t>. The name and mailing address of the sole incorporator is as follows:</w:t>
      </w:r>
    </w:p>
    <w:p>
      <w:pPr>
        <w:sectPr>
          <w:pgSz w:w="11900" w:h="16838" w:orient="portrait"/>
          <w:cols w:equalWidth="0" w:num="1">
            <w:col w:w="11000"/>
          </w:cols>
          <w:pgMar w:left="440" w:top="266" w:right="45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Gordon Watson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200" w:lineRule="exact"/>
        <w:rPr>
          <w:sz w:val="20"/>
          <w:szCs w:val="20"/>
          <w:color w:val="auto"/>
        </w:rPr>
      </w:pPr>
    </w:p>
    <w:p>
      <w:pPr>
        <w:sectPr>
          <w:pgSz w:w="11900" w:h="16838" w:orient="portrait"/>
          <w:cols w:equalWidth="0" w:num="4">
            <w:col w:w="40" w:space="140"/>
            <w:col w:w="40" w:space="340"/>
            <w:col w:w="4560" w:space="720"/>
            <w:col w:w="5160"/>
          </w:cols>
          <w:pgMar w:left="440" w:top="266" w:right="459" w:bottom="1440" w:gutter="0" w:footer="0" w:header="0"/>
          <w:type w:val="continuous"/>
        </w:sectPr>
      </w:pPr>
    </w:p>
    <w:p>
      <w:pPr>
        <w:spacing w:after="0" w:line="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powers of the incorporator are to terminate upon the filing of this Certificate of Incorporation with the Secretary of State of the State of Delaware. The names and mailing addresses of the persons who are to serve as the directors of the Corporation until the first annual meeting of stockholders of the Corporation, until their successors are duly elected and qualified, or until their earlier death, resignation, retirement, or removal from office, are as follows:</w:t>
      </w:r>
    </w:p>
    <w:p>
      <w:pPr>
        <w:sectPr>
          <w:pgSz w:w="11900" w:h="16838" w:orient="portrait"/>
          <w:cols w:equalWidth="0" w:num="1">
            <w:col w:w="11000"/>
          </w:cols>
          <w:pgMar w:left="440" w:top="266" w:right="45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99" w:lineRule="exact"/>
        <w:rPr>
          <w:sz w:val="20"/>
          <w:szCs w:val="20"/>
          <w:color w:val="auto"/>
        </w:rPr>
      </w:pPr>
    </w:p>
    <w:p>
      <w:pPr>
        <w:sectPr>
          <w:pgSz w:w="11900" w:h="16838" w:orient="portrait"/>
          <w:cols w:equalWidth="0" w:num="4">
            <w:col w:w="40" w:space="140"/>
            <w:col w:w="40" w:space="340"/>
            <w:col w:w="4660" w:space="720"/>
            <w:col w:w="5060"/>
          </w:cols>
          <w:pgMar w:left="440" w:top="266" w:right="4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Michelle Goldberg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99" w:lineRule="exact"/>
        <w:rPr>
          <w:sz w:val="20"/>
          <w:szCs w:val="20"/>
          <w:color w:val="auto"/>
        </w:rPr>
      </w:pPr>
    </w:p>
    <w:p>
      <w:pPr>
        <w:sectPr>
          <w:pgSz w:w="11900" w:h="16838" w:orient="portrait"/>
          <w:cols w:equalWidth="0" w:num="2">
            <w:col w:w="5220" w:space="720"/>
            <w:col w:w="5060"/>
          </w:cols>
          <w:pgMar w:left="440" w:top="266" w:right="4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David C. Clifton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99" w:lineRule="exact"/>
        <w:rPr>
          <w:sz w:val="20"/>
          <w:szCs w:val="20"/>
          <w:color w:val="auto"/>
        </w:rPr>
      </w:pPr>
    </w:p>
    <w:p>
      <w:pPr>
        <w:sectPr>
          <w:pgSz w:w="11900" w:h="16838" w:orient="portrait"/>
          <w:cols w:equalWidth="0" w:num="2">
            <w:col w:w="5220" w:space="720"/>
            <w:col w:w="5060"/>
          </w:cols>
          <w:pgMar w:left="440" w:top="266" w:right="4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Kristyn Cook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99" w:lineRule="exact"/>
        <w:rPr>
          <w:sz w:val="20"/>
          <w:szCs w:val="20"/>
          <w:color w:val="auto"/>
        </w:rPr>
      </w:pPr>
    </w:p>
    <w:p>
      <w:pPr>
        <w:sectPr>
          <w:pgSz w:w="11900" w:h="16838" w:orient="portrait"/>
          <w:cols w:equalWidth="0" w:num="2">
            <w:col w:w="5220" w:space="720"/>
            <w:col w:w="5060"/>
          </w:cols>
          <w:pgMar w:left="440" w:top="266" w:right="4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Gordon Watson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99" w:lineRule="exact"/>
        <w:rPr>
          <w:sz w:val="20"/>
          <w:szCs w:val="20"/>
          <w:color w:val="auto"/>
        </w:rPr>
      </w:pPr>
    </w:p>
    <w:p>
      <w:pPr>
        <w:sectPr>
          <w:pgSz w:w="11900" w:h="16838" w:orient="portrait"/>
          <w:cols w:equalWidth="0" w:num="2">
            <w:col w:w="5220" w:space="720"/>
            <w:col w:w="5060"/>
          </w:cols>
          <w:pgMar w:left="440" w:top="266" w:right="4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Sean Collins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139" w:lineRule="exact"/>
        <w:rPr>
          <w:sz w:val="20"/>
          <w:szCs w:val="20"/>
          <w:color w:val="auto"/>
        </w:rPr>
      </w:pPr>
    </w:p>
    <w:p>
      <w:pPr>
        <w:sectPr>
          <w:pgSz w:w="11900" w:h="16838" w:orient="portrait"/>
          <w:cols w:equalWidth="0" w:num="2">
            <w:col w:w="5220" w:space="720"/>
            <w:col w:w="5060"/>
          </w:cols>
          <w:pgMar w:left="440" w:top="266"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Richard Lumb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-274955</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99" w:lineRule="exact"/>
        <w:rPr>
          <w:sz w:val="20"/>
          <w:szCs w:val="20"/>
          <w:color w:val="auto"/>
        </w:rPr>
      </w:pPr>
    </w:p>
    <w:p>
      <w:pPr>
        <w:sectPr>
          <w:pgSz w:w="11900" w:h="16838" w:orient="portrait"/>
          <w:cols w:equalWidth="0" w:num="3">
            <w:col w:w="220" w:space="340"/>
            <w:col w:w="4660" w:space="720"/>
            <w:col w:w="4079"/>
          </w:cols>
          <w:pgMar w:left="440" w:top="378" w:right="1440" w:bottom="1440" w:gutter="0" w:footer="0" w:header="0"/>
        </w:sectPr>
      </w:pPr>
    </w:p>
    <w:p>
      <w:pPr>
        <w:ind w:left="560"/>
        <w:spacing w:after="0"/>
        <w:rPr>
          <w:sz w:val="20"/>
          <w:szCs w:val="20"/>
          <w:color w:val="auto"/>
        </w:rPr>
      </w:pPr>
      <w:r>
        <w:rPr>
          <w:rFonts w:ascii="Times New Roman" w:cs="Times New Roman" w:eastAsia="Times New Roman" w:hAnsi="Times New Roman"/>
          <w:sz w:val="17"/>
          <w:szCs w:val="17"/>
          <w:color w:val="auto"/>
        </w:rPr>
        <w:t>Andrew A. Main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5900 Windward Parkway, Suite 450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200" w:lineRule="exact"/>
        <w:rPr>
          <w:sz w:val="20"/>
          <w:szCs w:val="20"/>
          <w:color w:val="auto"/>
        </w:rPr>
      </w:pPr>
    </w:p>
    <w:p>
      <w:pPr>
        <w:sectPr>
          <w:pgSz w:w="11900" w:h="16838" w:orient="portrait"/>
          <w:cols w:equalWidth="0" w:num="2">
            <w:col w:w="5220" w:space="720"/>
            <w:col w:w="4079"/>
          </w:cols>
          <w:pgMar w:left="440" w:top="378" w:right="1440" w:bottom="1440" w:gutter="0" w:footer="0" w:header="0"/>
          <w:type w:val="continuous"/>
        </w:sectPr>
      </w:pPr>
    </w:p>
    <w:p>
      <w:pPr>
        <w:spacing w:after="0" w:line="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 * *</w:t>
      </w:r>
    </w:p>
    <w:p>
      <w:pPr>
        <w:spacing w:after="0" w:line="16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19"/>
          </w:cols>
          <w:pgMar w:left="440" w:top="378"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Sole Incorporator has caused this Certificate of Incorporation to be signed on October 15, 2021.</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Sole Incorporator</w:t>
      </w: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color w:val="auto"/>
        </w:rPr>
        <w:t>[Signature Page to Certificate of Incorporation]</w:t>
      </w:r>
    </w:p>
    <w:p>
      <w:pPr>
        <w:sectPr>
          <w:pgSz w:w="11900" w:h="16838" w:orient="portrait"/>
          <w:cols w:equalWidth="0" w:num="1">
            <w:col w:w="9579"/>
          </w:cols>
          <w:pgMar w:left="880" w:top="270" w:right="1440" w:bottom="1440" w:gutter="0" w:footer="0" w:header="0"/>
        </w:sectPr>
      </w:pPr>
    </w:p>
    <w:bookmarkStart w:id="22" w:name="page23"/>
    <w:bookmarkEnd w:id="22"/>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Bakkt Holdings,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w:t>
      </w:r>
    </w:p>
    <w:p>
      <w:pPr>
        <w:spacing w:after="0" w:line="121" w:lineRule="exact"/>
        <w:rPr>
          <w:sz w:val="20"/>
          <w:szCs w:val="20"/>
          <w:color w:val="auto"/>
        </w:rPr>
      </w:pPr>
    </w:p>
    <w:p>
      <w:pPr>
        <w:ind w:left="4" w:right="180" w:hanging="4"/>
        <w:spacing w:after="0" w:line="282"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Bakkt Holdings, Inc. The Corporation’s original Certificate of Incorporation was filed with the Secretary of State of the State of Delaware on October 15, 2021.</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is hereby amended as follows:</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Article IV, Section 4.1 of the Corporation’s Certificate of Incorporation is hereby amended and restated in its entirety as follows:</w:t>
      </w:r>
    </w:p>
    <w:p>
      <w:pPr>
        <w:spacing w:after="0" w:line="53" w:lineRule="exact"/>
        <w:rPr>
          <w:rFonts w:ascii="Times New Roman" w:cs="Times New Roman" w:eastAsia="Times New Roman" w:hAnsi="Times New Roman"/>
          <w:sz w:val="18"/>
          <w:szCs w:val="18"/>
          <w:color w:val="auto"/>
        </w:rPr>
      </w:pPr>
    </w:p>
    <w:p>
      <w:pPr>
        <w:ind w:left="98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all classes of capital stock that the Corporation is authorized to issue is 41,000,000 shares, consisting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40,000,000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30,000,000 shares of Class A common stock (“</w:t>
      </w:r>
      <w:r>
        <w:rPr>
          <w:rFonts w:ascii="Times New Roman" w:cs="Times New Roman" w:eastAsia="Times New Roman" w:hAnsi="Times New Roman"/>
          <w:sz w:val="18"/>
          <w:szCs w:val="18"/>
          <w:u w:val="single" w:color="auto"/>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(B) 10,000,000 shares of Class V common stock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IV, Section 4.1 of the Corporation’s Certificate of Incorporation is hereby amended to add the following paragraph at the end of Article IV, Section 4.1:</w:t>
      </w:r>
    </w:p>
    <w:p>
      <w:pPr>
        <w:spacing w:after="0" w:line="53" w:lineRule="exact"/>
        <w:rPr>
          <w:rFonts w:ascii="Times New Roman" w:cs="Times New Roman" w:eastAsia="Times New Roman" w:hAnsi="Times New Roman"/>
          <w:sz w:val="18"/>
          <w:szCs w:val="18"/>
          <w:color w:val="auto"/>
        </w:rPr>
      </w:pPr>
    </w:p>
    <w:p>
      <w:pPr>
        <w:ind w:left="98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the filing of the Certificate of Amendment to the Certificate of Incorporation adding this paragraph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twenty-five (25) shares of (i) Class A Common Stock issued immediately prior to the Effective Time shall automatically be combined into one (1) validly issued, fully paid and non-assessable share of Class A Common Stock, and (ii) Class V Common Stock issued immediately prior to the Effective Time shall automatically be combined into one (1) validly issued, fully paid and non-assessable share of Class V Common Stock, in each case without any further action by the Corporation or any holder thereof, subject to the treatment of fractional share interests as described below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No fractional shares of Class A Common Stock or Class V Common Stock shall be issued in connection with the Reverse Stock Split. Each certificate that immediately prior to the Effective Time represented shares of Class A Common Stock or Class V Common Stock, as applicable (the “</w:t>
      </w:r>
      <w:r>
        <w:rPr>
          <w:rFonts w:ascii="Times New Roman" w:cs="Times New Roman" w:eastAsia="Times New Roman" w:hAnsi="Times New Roman"/>
          <w:sz w:val="18"/>
          <w:szCs w:val="18"/>
          <w:u w:val="single" w:color="auto"/>
          <w:color w:val="auto"/>
        </w:rPr>
        <w:t>Old Certificates</w:t>
      </w:r>
      <w:r>
        <w:rPr>
          <w:rFonts w:ascii="Times New Roman" w:cs="Times New Roman" w:eastAsia="Times New Roman" w:hAnsi="Times New Roman"/>
          <w:sz w:val="18"/>
          <w:szCs w:val="18"/>
          <w:color w:val="auto"/>
        </w:rPr>
        <w:t>”), shall, until surrendered to the Corporation in exchange for a certificate representing such new number of shares of Class A Common Stock or Class V Common Stock, respectively, automatically represent that number of shares of Class A Common Stock or Class V Common Stock, as applicable, into which the shares of Class A Common Stock or Class V Common Stock, as applicable, represented by the Old Certificate shall have been combined, subject to the elimination of fractional share interests as described above.”</w:t>
      </w:r>
    </w:p>
    <w:p>
      <w:pPr>
        <w:spacing w:after="0" w:line="18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Section 242 of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become effective on April 29, 2024 at 12:01 a.m. Eastern Time.</w:t>
      </w:r>
    </w:p>
    <w:p>
      <w:pPr>
        <w:spacing w:after="0" w:line="2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66"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this Certificate of Amendment is duly executed by the undersigned officer of the Corporation on April 26, 2024.</w:t>
      </w:r>
    </w:p>
    <w:p>
      <w:pPr>
        <w:spacing w:after="0" w:line="26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Main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220"/>
          </w:cols>
          <w:pgMar w:left="880" w:top="266" w:right="79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OMNIBUS INCENTIVE PLAN</w:t>
      </w:r>
    </w:p>
    <w:p>
      <w:pPr>
        <w:spacing w:after="0" w:line="20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This Amendment No. 2 dated May 31, 2024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the 2021 Omnibus Incentive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of Bakkt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Except as otherwise explicitly set forth herein, all provisions of the Plan shall remain in full force and effect. Capitalized terms used in the Amendment without definition shall have meanings set forth in the Plan.</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amend the Plan as hereinafter provided in order to increase the number of shares of Common Stock issuable under the Plan from 2,096,296 to 3,034,921; and</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approved the substance of this Amendment as of April 15, 2024, and accordingly, the Company desires to amend the Plan as hereinafter provided.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Plan is hereby amended as follows:</w:t>
      </w:r>
    </w:p>
    <w:p>
      <w:pPr>
        <w:spacing w:after="0" w:line="131"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in Number of Shares Subject to the Plan</w:t>
      </w:r>
      <w:r>
        <w:rPr>
          <w:rFonts w:ascii="Times New Roman" w:cs="Times New Roman" w:eastAsia="Times New Roman" w:hAnsi="Times New Roman"/>
          <w:sz w:val="18"/>
          <w:szCs w:val="18"/>
          <w:color w:val="auto"/>
        </w:rPr>
        <w:t>. Section 1.3.1 of the Plan is amended to read in its entirety as follows:</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total number of Shares that may be granted under the Plan will be 3,034,921 (the</w:t>
      </w:r>
    </w:p>
    <w:p>
      <w:pPr>
        <w:spacing w:after="0" w:line="27" w:lineRule="exact"/>
        <w:rPr>
          <w:rFonts w:ascii="Times New Roman" w:cs="Times New Roman" w:eastAsia="Times New Roman" w:hAnsi="Times New Roman"/>
          <w:sz w:val="18"/>
          <w:szCs w:val="18"/>
          <w:color w:val="auto"/>
        </w:rPr>
      </w:pPr>
    </w:p>
    <w:p>
      <w:pPr>
        <w:ind w:left="9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 Limit</w:t>
      </w:r>
      <w:r>
        <w:rPr>
          <w:rFonts w:ascii="Times New Roman" w:cs="Times New Roman" w:eastAsia="Times New Roman" w:hAnsi="Times New Roman"/>
          <w:sz w:val="18"/>
          <w:szCs w:val="18"/>
          <w:color w:val="auto"/>
        </w:rPr>
        <w:t>”).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w:t>
      </w:r>
      <w:r>
        <w:rPr>
          <w:rFonts w:ascii="Times New Roman" w:cs="Times New Roman" w:eastAsia="Times New Roman" w:hAnsi="Times New Roman"/>
          <w:sz w:val="18"/>
          <w:szCs w:val="18"/>
          <w:b w:val="1"/>
          <w:bCs w:val="1"/>
          <w:u w:val="single" w:color="auto"/>
          <w:color w:val="auto"/>
        </w:rPr>
        <w:t>Acquisition Awards</w:t>
      </w:r>
      <w:r>
        <w:rPr>
          <w:rFonts w:ascii="Times New Roman" w:cs="Times New Roman" w:eastAsia="Times New Roman" w:hAnsi="Times New Roman"/>
          <w:sz w:val="18"/>
          <w:szCs w:val="18"/>
          <w:color w:val="auto"/>
        </w:rPr>
        <w:t xml:space="preserve">”) will not count against the number of Shares that may be granted under the Plan or be subject to the minimum vesting provisions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may be delivered through Incentive Stock Options.</w:t>
      </w:r>
    </w:p>
    <w:p>
      <w:pPr>
        <w:sectPr>
          <w:pgSz w:w="11900" w:h="16838" w:orient="portrait"/>
          <w:cols w:equalWidth="0" w:num="1">
            <w:col w:w="11020"/>
          </w:cols>
          <w:pgMar w:left="440" w:top="117" w:right="439" w:bottom="1440" w:gutter="0" w:footer="0" w:header="0"/>
        </w:sectPr>
      </w:pPr>
    </w:p>
    <w:bookmarkStart w:id="25" w:name="page26"/>
    <w:bookmarkEnd w:id="25"/>
    <w:p>
      <w:pPr>
        <w:ind w:left="532" w:hanging="532"/>
        <w:spacing w:after="0" w:line="282" w:lineRule="auto"/>
        <w:tabs>
          <w:tab w:leader="none" w:pos="5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Date</w:t>
      </w:r>
      <w:r>
        <w:rPr>
          <w:rFonts w:ascii="Times New Roman" w:cs="Times New Roman" w:eastAsia="Times New Roman" w:hAnsi="Times New Roman"/>
          <w:sz w:val="18"/>
          <w:szCs w:val="18"/>
          <w:color w:val="auto"/>
        </w:rPr>
        <w:t>. The amendments to the Plan pursuant to Section 1 of this Amendment shall be effective upon receipt of approval of such amendments by the Company’s stockholders, and shall be subject to and contingent upon receipt of such approval.</w:t>
      </w:r>
    </w:p>
    <w:p>
      <w:pPr>
        <w:sectPr>
          <w:pgSz w:w="11900" w:h="16838" w:orient="portrait"/>
          <w:cols w:equalWidth="0" w:num="1">
            <w:col w:w="10372"/>
          </w:cols>
          <w:pgMar w:left="868" w:top="270" w:right="659" w:bottom="1440" w:gutter="0" w:footer="0" w:header="0"/>
        </w:sectPr>
      </w:pPr>
    </w:p>
    <w:bookmarkStart w:id="26" w:name="page27"/>
    <w:bookmarkEnd w:id="26"/>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74115" cy="557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1174115" cy="557530"/>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900 South Capital of Texas Highway</w:t>
      </w:r>
    </w:p>
    <w:p>
      <w:pPr>
        <w:spacing w:after="0" w:line="2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Las Cimas IV, Fifth Floor</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Austin, Texas 78746-5546</w:t>
      </w:r>
    </w:p>
    <w:p>
      <w:pPr>
        <w:spacing w:after="0" w:line="1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O: 512.338.5400</w:t>
      </w:r>
    </w:p>
    <w:p>
      <w:pPr>
        <w:spacing w:after="0" w:line="2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F: 512.338.5499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Avalon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This opinion is furnished to you in connection with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in connection with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938,625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Class A common stock, par value $0.0001 per share, reserved for future issuance under the Bakkt Holdings, Inc. 2021 Omnibus Employee Incentive Plan, as amended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We are of the opinion that the Shares, when issued pursuant to the terms of the 2021 Plan and pursuant to the agreements that accompany the 2021 Plan and in accordance with the Registration Statement, will have been duly authorized and validly issued, fully paid and nonassessable.</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Securities Act or the rules and regulations of the Commission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AUSTIN            BEIJING </w:t>
            </w: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3"/>
              </w:rPr>
              <w:t>         BOULDER 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      BOSTON    </w:t>
            </w:r>
          </w:p>
        </w:tc>
        <w:tc>
          <w:tcPr>
            <w:tcW w:w="25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      BRUSSELS            HONG KONG 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LONDON            LOS ANGELES            NEW</w:t>
            </w:r>
          </w:p>
        </w:tc>
        <w:tc>
          <w:tcPr>
            <w:tcW w:w="0" w:type="dxa"/>
            <w:vAlign w:val="bottom"/>
          </w:tcPr>
          <w:p>
            <w:pPr>
              <w:spacing w:after="0"/>
              <w:rPr>
                <w:sz w:val="1"/>
                <w:szCs w:val="1"/>
                <w:color w:val="auto"/>
              </w:rPr>
            </w:pPr>
          </w:p>
        </w:tc>
      </w:tr>
      <w:tr>
        <w:trPr>
          <w:trHeight w:val="149"/>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xml:space="preserve">SALT LAKE CITY          </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SAN DIEGO 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SAN FRANCISCO </w:t>
            </w:r>
          </w:p>
        </w:tc>
        <w:tc>
          <w:tcPr>
            <w:tcW w:w="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YORK </w:t>
            </w:r>
          </w:p>
        </w:tc>
        <w:tc>
          <w:tcPr>
            <w:tcW w:w="20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         PALO ALTO</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WASHINGTON, DC            WILMINGTON, DE</w:t>
            </w:r>
          </w:p>
        </w:tc>
        <w:tc>
          <w:tcPr>
            <w:tcW w:w="0" w:type="dxa"/>
            <w:vAlign w:val="bottom"/>
          </w:tcPr>
          <w:p>
            <w:pPr>
              <w:spacing w:after="0"/>
              <w:rPr>
                <w:sz w:val="1"/>
                <w:szCs w:val="1"/>
                <w:color w:val="auto"/>
              </w:rPr>
            </w:pPr>
          </w:p>
        </w:tc>
      </w:tr>
      <w:tr>
        <w:trPr>
          <w:trHeight w:val="188"/>
        </w:trPr>
        <w:tc>
          <w:tcPr>
            <w:tcW w:w="17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SEATTLE            SHANGHAI </w:t>
            </w:r>
          </w:p>
        </w:tc>
        <w:tc>
          <w:tcPr>
            <w:tcW w:w="1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left="440" w:right="2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2021 Omnibus Incentive Plan of Bakkt Holdings, Inc. of our report dated March 25, 2024, with respect to the consolidated financial statements of Bakkt Holdings, Inc. included in its Annual Report (Form 10-K) for the year ended December 31, 2023, filed with the Securities and Exchange Commission.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ectPr>
          <w:pgSz w:w="11900" w:h="16838" w:orient="portrait"/>
          <w:cols w:equalWidth="0" w:num="1">
            <w:col w:w="11020"/>
          </w:cols>
          <w:pgMar w:left="440" w:top="117"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1460" w:type="dxa"/>
            <w:vAlign w:val="bottom"/>
            <w:tcBorders>
              <w:top w:val="single" w:sz="8" w:color="auto"/>
              <w:left w:val="single" w:sz="8" w:color="auto"/>
            </w:tcBorders>
          </w:tcPr>
          <w:p>
            <w:pPr>
              <w:spacing w:after="0"/>
              <w:rPr>
                <w:sz w:val="12"/>
                <w:szCs w:val="12"/>
                <w:color w:val="auto"/>
              </w:rPr>
            </w:pPr>
          </w:p>
        </w:tc>
        <w:tc>
          <w:tcPr>
            <w:tcW w:w="3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0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60" w:type="dxa"/>
            <w:vAlign w:val="bottom"/>
            <w:tcBorders>
              <w:lef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920" w:type="dxa"/>
            <w:vAlign w:val="bottom"/>
            <w:tcBorders>
              <w:right w:val="single" w:sz="8" w:color="auto"/>
            </w:tcBorders>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bottom w:val="single" w:sz="8" w:color="auto"/>
            </w:tcBorders>
          </w:tcPr>
          <w:p>
            <w:pPr>
              <w:jc w:val="center"/>
              <w:ind w:left="399"/>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32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Registered(1)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06"/>
        </w:trPr>
        <w:tc>
          <w:tcPr>
            <w:tcW w:w="1460" w:type="dxa"/>
            <w:vAlign w:val="bottom"/>
            <w:tcBorders>
              <w:left w:val="single" w:sz="8" w:color="auto"/>
            </w:tcBorders>
          </w:tcPr>
          <w:p>
            <w:pPr>
              <w:jc w:val="center"/>
              <w:ind w:left="379"/>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3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Class A</w:t>
            </w:r>
          </w:p>
        </w:tc>
        <w:tc>
          <w:tcPr>
            <w:tcW w:w="6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 par</w:t>
            </w:r>
          </w:p>
        </w:tc>
        <w:tc>
          <w:tcPr>
            <w:tcW w:w="60" w:type="dxa"/>
            <w:vAlign w:val="bottom"/>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60" w:type="dxa"/>
            <w:vAlign w:val="bottom"/>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60" w:type="dxa"/>
            <w:vAlign w:val="bottom"/>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9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w:t>
            </w: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938,625</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$17.49(2)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$16,411,858.13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$ 2,422.39</w:t>
            </w: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bottom w:val="single" w:sz="8" w:color="auto"/>
            </w:tcBorders>
            <w:gridSpan w:val="5"/>
          </w:tcPr>
          <w:p>
            <w:pPr>
              <w:jc w:val="center"/>
              <w:ind w:left="959"/>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$16,411,858.13</w:t>
            </w: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2,422.39</w:t>
            </w:r>
          </w:p>
        </w:tc>
        <w:tc>
          <w:tcPr>
            <w:tcW w:w="0" w:type="dxa"/>
            <w:vAlign w:val="bottom"/>
          </w:tcPr>
          <w:p>
            <w:pPr>
              <w:spacing w:after="0"/>
              <w:rPr>
                <w:sz w:val="1"/>
                <w:szCs w:val="1"/>
                <w:color w:val="auto"/>
              </w:rPr>
            </w:pPr>
          </w:p>
        </w:tc>
      </w:tr>
      <w:tr>
        <w:trPr>
          <w:trHeight w:val="236"/>
        </w:trPr>
        <w:tc>
          <w:tcPr>
            <w:tcW w:w="1460" w:type="dxa"/>
            <w:vAlign w:val="bottom"/>
            <w:tcBorders>
              <w:left w:val="single" w:sz="8" w:color="auto"/>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$ 2,422.39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00" w:hanging="424"/>
        <w:spacing w:after="0" w:line="253"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shares of Class A common stock, $0.0001 par value per share, of Bakkt Holdings, Inc., or the Registrant, authorized for issuance pursuant to the Registrant’s 2021 Omnibus Incentive Plan, as amended (the “Plan”). Pursuant to Rule 416(a) of the Securities Act of 1933, as amended (the “Securities Act”), this Registration Statement also covers any additional shares that may become issuable under the Plan by reason of any substitutions or adjustments to shares to account for any change in corporate capitalization, such as a merger, consolidation, reorganization, recapitalization, separation, partial or complete liquidation, stock dividend, stock split, reverse stock split, split up, spin-off or other distribution of stock or property of the Registrant, combination or exchange of shares, dividend in kind or other like change in capital structure.</w:t>
      </w:r>
    </w:p>
    <w:p>
      <w:pPr>
        <w:spacing w:after="0" w:line="2" w:lineRule="exact"/>
        <w:rPr>
          <w:rFonts w:ascii="Times New Roman" w:cs="Times New Roman" w:eastAsia="Times New Roman" w:hAnsi="Times New Roman"/>
          <w:sz w:val="18"/>
          <w:szCs w:val="18"/>
          <w:color w:val="auto"/>
        </w:rPr>
      </w:pPr>
    </w:p>
    <w:p>
      <w:pPr>
        <w:jc w:val="both"/>
        <w:ind w:left="424" w:right="80" w:hanging="424"/>
        <w:spacing w:after="0" w:line="255"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(h) under the Securities Act, based on the average of the high ($18.17) and low ($16.80) prices of the Registrant’s Class A common stock as reporting on the New York Stock Exchange, which was $17.49 on July 5,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Letter"/>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upperLetter"/>
      <w:start w:val="1"/>
    </w:lvl>
  </w:abstractNum>
  <w:abstractNum w:abstractNumId="4">
    <w:nsid w:val="4E6AFB66"/>
    <w:multiLevelType w:val="hybridMultilevel"/>
    <w:lvl w:ilvl="0">
      <w:lvlJc w:val="left"/>
      <w:lvlText w:val="(%1)"/>
      <w:numFmt w:val="upperLetter"/>
      <w:start w:val="1"/>
    </w:lvl>
    <w:lvl w:ilvl="1">
      <w:lvlJc w:val="left"/>
      <w:lvlText w:val="(%2)"/>
      <w:numFmt w:val="decimal"/>
      <w:start w:val="1"/>
    </w:lvl>
  </w:abstractNum>
  <w:abstractNum w:abstractNumId="5">
    <w:nsid w:val="25E45D32"/>
    <w:multiLevelType w:val="hybridMultilevel"/>
    <w:lvl w:ilvl="0">
      <w:lvlJc w:val="left"/>
      <w:lvlText w:val="%1"/>
      <w:numFmt w:val="lowerRoman"/>
      <w:start w:val="1"/>
    </w:lvl>
    <w:lvl w:ilvl="1">
      <w:lvlJc w:val="left"/>
      <w:lvlText w:val="(%2)"/>
      <w:numFmt w:val="upperLetter"/>
      <w:start w:val="2"/>
    </w:lvl>
  </w:abstractNum>
  <w:abstractNum w:abstractNumId="6">
    <w:nsid w:val="519B500D"/>
    <w:multiLevelType w:val="hybridMultilevel"/>
    <w:lvl w:ilvl="0">
      <w:lvlJc w:val="left"/>
      <w:lvlText w:val="(%1)"/>
      <w:numFmt w:val="lowerRoman"/>
      <w:start w:val="1"/>
    </w:lvl>
    <w:lvl w:ilvl="1">
      <w:lvlJc w:val="left"/>
      <w:lvlText w:val="(%2)"/>
      <w:numFmt w:val="upperLetter"/>
      <w:start w:val="3"/>
    </w:lvl>
  </w:abstractNum>
  <w:abstractNum w:abstractNumId="7">
    <w:nsid w:val="431BD7B7"/>
    <w:multiLevelType w:val="hybridMultilevel"/>
    <w:lvl w:ilvl="0">
      <w:lvlJc w:val="left"/>
      <w:lvlText w:val="(%1)"/>
      <w:numFmt w:val="upperLetter"/>
      <w:start w:val="5"/>
    </w:lvl>
  </w:abstractNum>
  <w:abstractNum w:abstractNumId="8">
    <w:nsid w:val="3F2DBA31"/>
    <w:multiLevelType w:val="hybridMultilevel"/>
    <w:lvl w:ilvl="0">
      <w:lvlJc w:val="left"/>
      <w:lvlText w:val="(%1)"/>
      <w:numFmt w:val="upperLetter"/>
      <w:start w:val="1"/>
    </w:lvl>
  </w:abstractNum>
  <w:abstractNum w:abstractNumId="9">
    <w:nsid w:val="7C83E458"/>
    <w:multiLevelType w:val="hybridMultilevel"/>
    <w:lvl w:ilvl="0">
      <w:lvlJc w:val="left"/>
      <w:lvlText w:val="(%1)"/>
      <w:numFmt w:val="upperLetter"/>
      <w:start w:val="2"/>
    </w:lvl>
  </w:abstractNum>
  <w:abstractNum w:abstractNumId="10">
    <w:nsid w:val="257130A3"/>
    <w:multiLevelType w:val="hybridMultilevel"/>
    <w:lvl w:ilvl="0">
      <w:lvlJc w:val="left"/>
      <w:lvlText w:val="(%1)"/>
      <w:numFmt w:val="upperLetter"/>
      <w:start w:val="1"/>
    </w:lvl>
  </w:abstractNum>
  <w:abstractNum w:abstractNumId="11">
    <w:nsid w:val="62BBD95A"/>
    <w:multiLevelType w:val="hybridMultilevel"/>
    <w:lvl w:ilvl="0">
      <w:lvlJc w:val="left"/>
      <w:lvlText w:val="(%1)"/>
      <w:numFmt w:val="upperLetter"/>
      <w:start w:val="3"/>
    </w:lvl>
  </w:abstractNum>
  <w:abstractNum w:abstractNumId="12">
    <w:nsid w:val="436C6125"/>
    <w:multiLevelType w:val="hybridMultilevel"/>
    <w:lvl w:ilvl="0">
      <w:lvlJc w:val="left"/>
      <w:lvlText w:val="(%1)"/>
      <w:numFmt w:val="upperLetter"/>
      <w:start w:val="1"/>
    </w:lvl>
    <w:lvl w:ilvl="1">
      <w:lvlJc w:val="left"/>
      <w:lvlText w:val="(%2)"/>
      <w:numFmt w:val="decimal"/>
      <w:start w:val="1"/>
    </w:lvl>
  </w:abstractNum>
  <w:abstractNum w:abstractNumId="13">
    <w:nsid w:val="628C895D"/>
    <w:multiLevelType w:val="hybridMultilevel"/>
    <w:lvl w:ilvl="0">
      <w:lvlJc w:val="left"/>
      <w:lvlText w:val="(%1)"/>
      <w:numFmt w:val="upperLetter"/>
      <w:start w:val="3"/>
    </w:lvl>
    <w:lvl w:ilvl="1">
      <w:lvlJc w:val="left"/>
      <w:lvlText w:val="(%2)"/>
      <w:numFmt w:val="decimal"/>
      <w:start w:val="1"/>
    </w:lvl>
  </w:abstractNum>
  <w:abstractNum w:abstractNumId="14">
    <w:nsid w:val="333AB105"/>
    <w:multiLevelType w:val="hybridMultilevel"/>
    <w:lvl w:ilvl="0">
      <w:lvlJc w:val="left"/>
      <w:lvlText w:val="%1."/>
      <w:numFmt w:val="lowerLetter"/>
      <w:start w:val="1"/>
    </w:lvl>
    <w:lvl w:ilvl="1">
      <w:lvlJc w:val="left"/>
      <w:lvlText w:val="(%2)"/>
      <w:numFmt w:val="lowerRoman"/>
      <w:start w:val="1"/>
    </w:lvl>
  </w:abstractNum>
  <w:abstractNum w:abstractNumId="15">
    <w:nsid w:val="721DA317"/>
    <w:multiLevelType w:val="hybridMultilevel"/>
    <w:lvl w:ilvl="0">
      <w:lvlJc w:val="left"/>
      <w:lvlText w:val="%1"/>
      <w:numFmt w:val="decimal"/>
      <w:start w:val="1"/>
    </w:lvl>
    <w:lvl w:ilvl="1">
      <w:lvlJc w:val="left"/>
      <w:lvlText w:val="%2."/>
      <w:numFmt w:val="lowerLetter"/>
      <w:start w:val="4"/>
    </w:lvl>
  </w:abstractNum>
  <w:abstractNum w:abstractNumId="16">
    <w:nsid w:val="2443A858"/>
    <w:multiLevelType w:val="hybridMultilevel"/>
    <w:lvl w:ilvl="0">
      <w:lvlJc w:val="left"/>
      <w:lvlText w:val="(%1)"/>
      <w:numFmt w:val="decimal"/>
      <w:start w:val="4"/>
    </w:lvl>
    <w:lvl w:ilvl="1">
      <w:lvlJc w:val="left"/>
      <w:lvlText w:val="%2"/>
      <w:numFmt w:val="lowerLetter"/>
      <w:start w:val="1"/>
    </w:lvl>
  </w:abstractNum>
  <w:abstractNum w:abstractNumId="17">
    <w:nsid w:val="2D1D5AE9"/>
    <w:multiLevelType w:val="hybridMultilevel"/>
    <w:lvl w:ilvl="0">
      <w:lvlJc w:val="left"/>
      <w:lvlText w:val="(%1)"/>
      <w:numFmt w:val="decimal"/>
      <w:start w:val="6"/>
    </w:lvl>
  </w:abstractNum>
  <w:abstractNum w:abstractNumId="18">
    <w:nsid w:val="6763845E"/>
    <w:multiLevelType w:val="hybridMultilevel"/>
    <w:lvl w:ilvl="0">
      <w:lvlJc w:val="left"/>
      <w:lvlText w:val="%1"/>
      <w:numFmt w:val="decimal"/>
      <w:start w:val="1"/>
    </w:lvl>
    <w:lvl w:ilvl="1">
      <w:lvlJc w:val="left"/>
      <w:lvlText w:val="%2."/>
      <w:numFmt w:val="lowerLetter"/>
      <w:start w:val="1"/>
    </w:lvl>
  </w:abstractNum>
  <w:abstractNum w:abstractNumId="19">
    <w:nsid w:val="75A2A8D4"/>
    <w:multiLevelType w:val="hybridMultilevel"/>
    <w:lvl w:ilvl="0">
      <w:lvlJc w:val="left"/>
      <w:lvlText w:val="(%1)"/>
      <w:numFmt w:val="decimal"/>
      <w:start w:val="7"/>
    </w:lvl>
    <w:lvl w:ilvl="1">
      <w:lvlJc w:val="left"/>
      <w:lvlText w:val="%2"/>
      <w:numFmt w:val="lowerLetter"/>
      <w:start w:val="1"/>
    </w:lvl>
  </w:abstractNum>
  <w:abstractNum w:abstractNumId="20">
    <w:nsid w:val="8EDBDAB"/>
    <w:multiLevelType w:val="hybridMultilevel"/>
    <w:lvl w:ilvl="0">
      <w:lvlJc w:val="left"/>
      <w:lvlText w:val="(%1)"/>
      <w:numFmt w:val="upperLetter"/>
      <w:start w:val="1"/>
    </w:lvl>
  </w:abstractNum>
  <w:abstractNum w:abstractNumId="21">
    <w:nsid w:val="79838CB2"/>
    <w:multiLevelType w:val="hybridMultilevel"/>
    <w:lvl w:ilvl="0">
      <w:lvlJc w:val="left"/>
      <w:lvlText w:val="(%1)"/>
      <w:numFmt w:val="upperLetter"/>
      <w:start w:val="3"/>
    </w:lvl>
  </w:abstractNum>
  <w:abstractNum w:abstractNumId="22">
    <w:nsid w:val="4353D0CD"/>
    <w:multiLevelType w:val="hybridMultilevel"/>
    <w:lvl w:ilvl="0">
      <w:lvlJc w:val="left"/>
      <w:lvlText w:val="(%1)"/>
      <w:numFmt w:val="upperLetter"/>
      <w:start w:val="7"/>
    </w:lvl>
  </w:abstractNum>
  <w:abstractNum w:abstractNumId="23">
    <w:nsid w:val="B03E0C6"/>
    <w:multiLevelType w:val="hybridMultilevel"/>
    <w:lvl w:ilvl="0">
      <w:lvlJc w:val="left"/>
      <w:lvlText w:val="(%1)"/>
      <w:numFmt w:val="lowerRoman"/>
      <w:start w:val="6"/>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2"/>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jpeg"/><Relationship Id="rId18" Type="http://schemas.openxmlformats.org/officeDocument/2006/relationships/hyperlink" Target="http://www.sec.gov/ix?doc=/Archives/edgar/data/1820302/000182030224000056/bakkt-20231231.htm" TargetMode="External"/><Relationship Id="rId19" Type="http://schemas.openxmlformats.org/officeDocument/2006/relationships/hyperlink" Target="http://www.sec.gov/Archives/edgar/data/1820302/000182030224000068/bakkt-2024proxyagmfinal412.htm" TargetMode="External"/><Relationship Id="rId20" Type="http://schemas.openxmlformats.org/officeDocument/2006/relationships/hyperlink" Target="http://www.sec.gov/ix?doc=/Archives/edgar/data/1820302/000182030224000094/bakkt-20240331.htm" TargetMode="External"/><Relationship Id="rId21" Type="http://schemas.openxmlformats.org/officeDocument/2006/relationships/hyperlink" Target="http://www.sec.gov/ix?doc=/Archives/edgar/data/1820302/000182030224000031/bakkt-20240229.htm" TargetMode="External"/><Relationship Id="rId22" Type="http://schemas.openxmlformats.org/officeDocument/2006/relationships/hyperlink" Target="http://www.sec.gov/ix?doc=/Archives/edgar/data/1820302/000182030224000041/bakkt-20240229.htm" TargetMode="External"/><Relationship Id="rId23" Type="http://schemas.openxmlformats.org/officeDocument/2006/relationships/hyperlink" Target="http://www.sec.gov/ix?doc=/Archives/edgar/data/1820302/000182030224000044/bakkt-20240313.htm" TargetMode="External"/><Relationship Id="rId24" Type="http://schemas.openxmlformats.org/officeDocument/2006/relationships/hyperlink" Target="http://www.sec.gov/ix?doc=/Archives/edgar/data/1820302/000119312524070368/d794298d8k.htm" TargetMode="External"/><Relationship Id="rId25" Type="http://schemas.openxmlformats.org/officeDocument/2006/relationships/hyperlink" Target="http://www.sec.gov/ix?doc=/Archives/edgar/data/1820302/000182030224000076/bakkt-20240423.htm" TargetMode="External"/><Relationship Id="rId26" Type="http://schemas.openxmlformats.org/officeDocument/2006/relationships/hyperlink" Target="http://www.sec.gov/ix?doc=/Archives/edgar/data/1820302/000182030224000080/bakkt-20240426.htm" TargetMode="External"/><Relationship Id="rId27" Type="http://schemas.openxmlformats.org/officeDocument/2006/relationships/hyperlink" Target="http://www.sec.gov/ix?doc=/Archives/edgar/data/1820302/000119312524130799/d824146d8k.htm" TargetMode="External"/><Relationship Id="rId28" Type="http://schemas.openxmlformats.org/officeDocument/2006/relationships/hyperlink" Target="http://www.sec.gov/ix?doc=/Archives/edgar/data/1820302/000182030224000099/bakkt-20240531.htm" TargetMode="External"/><Relationship Id="rId29" Type="http://schemas.openxmlformats.org/officeDocument/2006/relationships/hyperlink" Target="http://www.sec.gov/ix?doc=/Archives/edgar/data/1820302/000182030224000103/bakkt-20240603.htm" TargetMode="External"/><Relationship Id="rId30" Type="http://schemas.openxmlformats.org/officeDocument/2006/relationships/hyperlink" Target="http://www.sec.gov/ix?doc=/Archives/edgar/data/1820302/000182030224000026/bakkt-20230401.htm" TargetMode="External"/><Relationship Id="rId31" Type="http://schemas.openxmlformats.org/officeDocument/2006/relationships/hyperlink" Target="http://www.sec.gov/Archives/edgar/data/1820302/000119312521299620/d211377d8a12b.htm" TargetMode="External"/><Relationship Id="rId32" Type="http://schemas.openxmlformats.org/officeDocument/2006/relationships/hyperlink" Target="http://www.sec.gov/Archives/edgar/data/1820302/000182030222000005/a46-descriptionofsecurit.htm" TargetMode="External"/><Relationship Id="rId35" Type="http://schemas.openxmlformats.org/officeDocument/2006/relationships/hyperlink" Target="http://www.sec.gov/Archives/edgar/data/1820302/000119312521303985/d219325dex32.htm" TargetMode="External"/><Relationship Id="rId36" Type="http://schemas.openxmlformats.org/officeDocument/2006/relationships/hyperlink" Target="http://www.sec.gov/Archives/edgar/data/1820302/000119312521303985/d219325dex41.htm" TargetMode="External"/><Relationship Id="rId37" Type="http://schemas.openxmlformats.org/officeDocument/2006/relationships/hyperlink" Target="http://www.sec.gov/Archives/edgar/data/1820302/000119312521303985/d219325dex109.htm" TargetMode="External"/><Relationship Id="rId38" Type="http://schemas.openxmlformats.org/officeDocument/2006/relationships/hyperlink" Target="http://www.sec.gov/Archives/edgar/data/0001820302/000182030224000056/ex1011amendno1toequityplan.htm" TargetMode="External"/><Relationship Id="rId39" Type="http://schemas.openxmlformats.org/officeDocument/2006/relationships/hyperlink" Target="http://www.sec.gov/Archives/edgar/data/1820302/000182030222000005/a1011-formofrsuagreement.htm" TargetMode="External"/><Relationship Id="rId40" Type="http://schemas.openxmlformats.org/officeDocument/2006/relationships/hyperlink" Target="http://www.sec.gov/Archives/edgar/data/1820302/000182030223000062/exhibit102formofrsuagreeme.htm" TargetMode="External"/><Relationship Id="rId41" Type="http://schemas.openxmlformats.org/officeDocument/2006/relationships/hyperlink" Target="http://www.sec.gov/Archives/edgar/data/1820302/000182030223000062/exhibit101bakkt-formofpsua.htm" TargetMode="External"/><Relationship Id="rId42" Type="http://schemas.openxmlformats.org/officeDocument/2006/relationships/hyperlink" Target="http://www.sec.gov/Archives/edgar/data/1820302/000119312522242987/d277417dex101.htm" TargetMode="External"/><Relationship Id="rId43" Type="http://schemas.openxmlformats.org/officeDocument/2006/relationships/hyperlink" Target="http://www.sec.gov/Archives/edgar/data/1820302/000119312522242987/d27741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2024-07-09T05:10:49Z</dcterms:created>
  <dcterms:modified xsi:type="dcterms:W3CDTF">2024-07-09T05:10:49Z</dcterms:modified>
</cp:coreProperties>
</file>