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230"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Re:</w:t>
        <w:tab/>
        <w:t>Bakkt Holdings,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Registration Statement on Form S-3 (File No. 333-271362)</w:t>
      </w:r>
    </w:p>
    <w:p>
      <w:pPr>
        <w:sectPr>
          <w:pgSz w:w="11900" w:h="16838" w:orient="portrait"/>
          <w:cols w:equalWidth="0" w:num="1">
            <w:col w:w="10920"/>
          </w:cols>
          <w:pgMar w:left="440" w:top="229" w:right="539" w:bottom="1440" w:gutter="0" w:footer="0" w:header="0"/>
        </w:sectPr>
      </w:pP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Requested Date:</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Requested Time: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Wednesday, February 14, 2024</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4:30 P.M. Eastern Time</w:t>
      </w:r>
    </w:p>
    <w:p>
      <w:pPr>
        <w:spacing w:after="0" w:line="200" w:lineRule="exact"/>
        <w:rPr>
          <w:sz w:val="24"/>
          <w:szCs w:val="24"/>
          <w:color w:val="auto"/>
        </w:rPr>
      </w:pPr>
    </w:p>
    <w:p>
      <w:pPr>
        <w:sectPr>
          <w:pgSz w:w="11900" w:h="16838" w:orient="portrait"/>
          <w:cols w:equalWidth="0" w:num="2">
            <w:col w:w="2280" w:space="360"/>
            <w:col w:w="8280"/>
          </w:cols>
          <w:pgMar w:left="440" w:top="229" w:right="5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Pursuant to Rule 461 under the Securities Act of 1933, as amended, Bakkt Holdings,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requests that the above-referenced Registration Statement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be declared effective at the “Requested Date” and “Requested Time” set forth above or as soon as practicable thereafter, but in no event later than 5:30 P.M. Eastern Time on the Requested Date. Once the Registration Statement has been declared effective, please orally confirm that event with our counsel, Wilson Sonsini Goodrich &amp; Rosati, P.C., by calling J. Matthew Lyons at (512)</w:t>
      </w:r>
    </w:p>
    <w:p>
      <w:pPr>
        <w:spacing w:after="0"/>
        <w:rPr>
          <w:sz w:val="20"/>
          <w:szCs w:val="20"/>
          <w:color w:val="auto"/>
        </w:rPr>
      </w:pPr>
      <w:r>
        <w:rPr>
          <w:rFonts w:ascii="Times New Roman" w:cs="Times New Roman" w:eastAsia="Times New Roman" w:hAnsi="Times New Roman"/>
          <w:sz w:val="18"/>
          <w:szCs w:val="18"/>
          <w:color w:val="auto"/>
        </w:rPr>
        <w:t>338-5411.</w:t>
      </w:r>
    </w:p>
    <w:p>
      <w:pPr>
        <w:spacing w:after="0" w:line="203" w:lineRule="exact"/>
        <w:rPr>
          <w:sz w:val="24"/>
          <w:szCs w:val="24"/>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The Company understands that the staff of the Division of Corporation Finance of the Securities and Commission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will consider this request as confirmation by the Company of its awareness of its responsibilities under the federal securities laws as they relate to the offering of the securities covered by the Registration Statement.</w:t>
      </w:r>
    </w:p>
    <w:p>
      <w:pPr>
        <w:spacing w:after="0" w:line="1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 * *</w:t>
      </w:r>
    </w:p>
    <w:p>
      <w:pPr>
        <w:sectPr>
          <w:pgSz w:w="11900" w:h="16838" w:orient="portrait"/>
          <w:cols w:equalWidth="0" w:num="1">
            <w:col w:w="10920"/>
          </w:cols>
          <w:pgMar w:left="440" w:top="229" w:right="539" w:bottom="1440" w:gutter="0" w:footer="0" w:header="0"/>
          <w:type w:val="continuous"/>
        </w:sectPr>
      </w:pPr>
    </w:p>
    <w:bookmarkStart w:id="1" w:name="page2"/>
    <w:bookmarkEnd w:id="1"/>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BAKKT HOLDINGS,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Gavin Michael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ectPr>
          <w:pgSz w:w="11900" w:h="16838" w:orient="portrait"/>
          <w:cols w:equalWidth="0" w:num="1">
            <w:col w:w="10019"/>
          </w:cols>
          <w:pgMar w:left="440" w:top="270" w:right="1440"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 (w/o enclosures):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D’Annunzio, 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Simmons, Bakkt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 Matthew Lyons, Wilson Sonsini Goodrich &amp; Rosati, P.C.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March, Wilson Sonsini Goodrich &amp; Rosati, P.C.</w:t>
      </w:r>
    </w:p>
    <w:sectPr>
      <w:pgSz w:w="11900" w:h="16838" w:orient="portrait"/>
      <w:cols w:equalWidth="0" w:num="2">
        <w:col w:w="1440" w:space="320"/>
        <w:col w:w="8259"/>
      </w:cols>
      <w:pgMar w:left="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2024-03-14T23:10:35Z</dcterms:created>
  <dcterms:modified xsi:type="dcterms:W3CDTF">2024-03-14T23:10:35Z</dcterms:modified>
</cp:coreProperties>
</file>