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230"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S-3 (File No. 333-271361)</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pacing w:after="0" w:line="9" w:lineRule="exact"/>
        <w:rPr>
          <w:sz w:val="24"/>
          <w:szCs w:val="24"/>
          <w:color w:val="auto"/>
        </w:rPr>
      </w:pPr>
    </w:p>
    <w:p>
      <w:pPr>
        <w:ind w:left="44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 xml:space="preserve">      Requested Date:    </w:t>
      </w:r>
      <w:r>
        <w:rPr>
          <w:sz w:val="20"/>
          <w:szCs w:val="20"/>
          <w:color w:val="auto"/>
        </w:rPr>
        <w:tab/>
      </w:r>
      <w:r>
        <w:rPr>
          <w:rFonts w:ascii="Times New Roman" w:cs="Times New Roman" w:eastAsia="Times New Roman" w:hAnsi="Times New Roman"/>
          <w:sz w:val="17"/>
          <w:szCs w:val="17"/>
          <w:b w:val="1"/>
          <w:bCs w:val="1"/>
          <w:color w:val="auto"/>
        </w:rPr>
        <w:t>Wednesday, February 14, 2024</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Requested Time:       4:30 P.M. Eastern Time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Pursuant to Rule 461 under the Securities Act of 1933, as amended, Bakkt Holdings,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requests that the above-referenced Registration Statement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be declared effective at the “Requested Date” and “Requested Time” set forth above or as soon as practicable thereafter, but in no event later than 5:30 P.M. Eastern Time on the Requested Date. Once the Registration Statement has been declared effective, please orally confirm that event with our counsel, Wilson Sonsini Goodrich &amp; Rosati, P.C., by calling J. Matthew Lyons at (512)</w:t>
      </w:r>
    </w:p>
    <w:p>
      <w:pPr>
        <w:spacing w:after="0"/>
        <w:rPr>
          <w:sz w:val="20"/>
          <w:szCs w:val="20"/>
          <w:color w:val="auto"/>
        </w:rPr>
      </w:pPr>
      <w:r>
        <w:rPr>
          <w:rFonts w:ascii="Times New Roman" w:cs="Times New Roman" w:eastAsia="Times New Roman" w:hAnsi="Times New Roman"/>
          <w:sz w:val="18"/>
          <w:szCs w:val="18"/>
          <w:color w:val="auto"/>
        </w:rPr>
        <w:t>338-5411.</w:t>
      </w:r>
    </w:p>
    <w:p>
      <w:pPr>
        <w:spacing w:after="0" w:line="207" w:lineRule="exact"/>
        <w:rPr>
          <w:sz w:val="24"/>
          <w:szCs w:val="24"/>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understands that the staff of the Division of Corporation Finance of the Securities and Commission (the “Staff”) will consider this request as confirmation by the Company of its awareness of its responsibilities under the federal securities laws as they relate to the offering of the securities covered by the Registration Statement.</w:t>
      </w:r>
    </w:p>
    <w:p>
      <w:pPr>
        <w:spacing w:after="0" w:line="1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0920"/>
          </w:cols>
          <w:pgMar w:left="440" w:top="229" w:right="539" w:bottom="1440" w:gutter="0" w:footer="0" w:header="0"/>
        </w:sectPr>
      </w:pPr>
    </w:p>
    <w:bookmarkStart w:id="1" w:name="page2"/>
    <w:bookmarkEnd w:id="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Gavin Michael</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ectPr>
          <w:pgSz w:w="11900" w:h="16838" w:orient="portrait"/>
          <w:cols w:equalWidth="0" w:num="1">
            <w:col w:w="10019"/>
          </w:cols>
          <w:pgMar w:left="440" w:top="270" w:right="1440" w:bottom="1440" w:gutter="0" w:footer="0" w:header="0"/>
        </w:sectPr>
      </w:pP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cc (w/o enclosures): </w:t>
      </w:r>
      <w:r>
        <w:rPr>
          <w:sz w:val="20"/>
          <w:szCs w:val="20"/>
          <w:color w:val="auto"/>
        </w:rPr>
        <w:tab/>
      </w: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D’Annunzio, 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Simmons, Bakkt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 Matthew Lyons, Wilson Sonsini Goodrich &amp; Rosati, P.C.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March, Wilson Sonsini Goodrich &amp; Rosati, P.C.</w:t>
      </w:r>
    </w:p>
    <w:sectPr>
      <w:pgSz w:w="11900" w:h="16838" w:orient="portrait"/>
      <w:cols w:equalWidth="0" w:num="2">
        <w:col w:w="1660" w:space="560"/>
        <w:col w:w="7799"/>
      </w:cols>
      <w:pgMar w:left="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2024-03-14T23:11:01Z</dcterms:created>
  <dcterms:modified xsi:type="dcterms:W3CDTF">2024-03-14T23:11:01Z</dcterms:modified>
</cp:coreProperties>
</file>