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color w:val="auto"/>
        </w:rPr>
        <w:t>PROSPECTUS SUPPLEMENT NO. 11</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13, 2022)</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333-261034</w:t>
      </w:r>
    </w:p>
    <w:p>
      <w:pPr>
        <w:spacing w:after="0" w:line="200" w:lineRule="exact"/>
        <w:rPr>
          <w:sz w:val="24"/>
          <w:szCs w:val="24"/>
          <w:color w:val="auto"/>
        </w:rPr>
      </w:pPr>
    </w:p>
    <w:p>
      <w:pPr>
        <w:sectPr>
          <w:pgSz w:w="11900" w:h="16838" w:orient="portrait"/>
          <w:cols w:equalWidth="0" w:num="2">
            <w:col w:w="7800" w:space="720"/>
            <w:col w:w="2500"/>
          </w:cols>
          <w:pgMar w:left="440" w:top="225" w:right="439" w:bottom="1440" w:gutter="0" w:footer="0" w:header="0"/>
        </w:sectPr>
      </w:pPr>
    </w:p>
    <w:p>
      <w:pPr>
        <w:spacing w:after="0" w:line="212" w:lineRule="exact"/>
        <w:rPr>
          <w:sz w:val="24"/>
          <w:szCs w:val="24"/>
          <w:color w:val="auto"/>
        </w:rPr>
      </w:pPr>
    </w:p>
    <w:p>
      <w:pPr>
        <w:jc w:val="center"/>
        <w:ind w:left="540" w:right="220"/>
        <w:spacing w:after="0" w:line="258" w:lineRule="auto"/>
        <w:rPr>
          <w:sz w:val="20"/>
          <w:szCs w:val="20"/>
          <w:color w:val="auto"/>
        </w:rPr>
      </w:pPr>
      <w:r>
        <w:rPr>
          <w:rFonts w:ascii="Times New Roman" w:cs="Times New Roman" w:eastAsia="Times New Roman" w:hAnsi="Times New Roman"/>
          <w:sz w:val="25"/>
          <w:szCs w:val="25"/>
          <w:b w:val="1"/>
          <w:bCs w:val="1"/>
          <w:color w:val="auto"/>
        </w:rPr>
        <w:t>190,726,638 Shares of Class A Common Stock Issuable Upon the Exchange of Paired Interests 32,500,000 Shares of Class A Common Stock issued in the PIPE Financing 5,184,300 Shares of Class A Common Stock Issued in Respect of Founder Shares 3,151,890 shares of Class A Common Stock Issued Upon the Exchange of a Portion of the Private Placement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939165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330835</wp:posOffset>
            </wp:positionV>
            <wp:extent cx="103695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69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April 13, 2022 (as amended and supplemented from time to time, the “Prospectus”) with the information contained in our Current Report on Form 8-K, filed with the Securities and Exchange Commission on September 12, 2022 (the “Form 8-K”). Accordingly, we have attached the Form 8-K to this prospectus supplement.</w:t>
      </w:r>
    </w:p>
    <w:p>
      <w:pPr>
        <w:spacing w:after="0" w:line="176" w:lineRule="exact"/>
        <w:rPr>
          <w:sz w:val="24"/>
          <w:szCs w:val="24"/>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Prospectus relates to the issuance by us, and the resale by the Selling Securityholders (as defined in “Selling Securityholders” below), of up to 190,726,638 shares of Class A common stock, par value $0.0001 per share (“Class A Common Stock”), issuable upon the exchange of an equal number of Paired Interests (the “Legacy Opco Shares”). The prospectus also relates to the resale by the Selling Securityholders of (i) 32,500,000 shares of Class A Common Stock (the “PIPE Shares”) issued in the PIPE Financing; (ii) 5,184,300 shares of Class A Common Stock issued to VPC Impact Acquisition Holdings Sponsor, LLC (the “Sponsor”) and certain of its affiliates that relate to securities acquired by them prior to the IPO (the “Founder Shares”); and (iii) 3,151,890 shares of Class A Common Stock issued to the Sponsor upon the exercise of a portion of the Private Placement Warrants (the “Private Warrant Shares”). Unless otherwise defined, capitalized terms have the meanings ascribed to them in the section entitled “</w:t>
      </w:r>
      <w:r>
        <w:rPr>
          <w:rFonts w:ascii="Times New Roman" w:cs="Times New Roman" w:eastAsia="Times New Roman" w:hAnsi="Times New Roman"/>
          <w:sz w:val="18"/>
          <w:szCs w:val="18"/>
          <w:i w:val="1"/>
          <w:iCs w:val="1"/>
          <w:color w:val="auto"/>
        </w:rPr>
        <w:t>About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w:t>
      </w:r>
    </w:p>
    <w:p>
      <w:pPr>
        <w:spacing w:after="0" w:line="192"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Our Class A Common Stock is listed on The New York Stock Exchange (“NYSE”) under the symbol “BKKT” and our warrants to purchase Class A Common Stock (the “Warrants”) are listed on NYSE under the symbol “BKKT WS.” On September 8, 2022, the last quoted sale price for our Class A Common Stock as reported on NYSE was $2.67 per share and the last quoted sale price for our Warrants as reported on NYSE was $0.63 per warrant.</w:t>
      </w:r>
    </w:p>
    <w:p>
      <w:pPr>
        <w:spacing w:after="0" w:line="158"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have elected to comply with certain reduced public company reporting requirements for the Prospectus and for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285750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right="40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of the Prospectus.</w:t>
      </w:r>
    </w:p>
    <w:p>
      <w:pPr>
        <w:spacing w:after="0" w:line="51" w:lineRule="exact"/>
        <w:rPr>
          <w:sz w:val="24"/>
          <w:szCs w:val="24"/>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the Prospectus or any prospectus supplement or amendment hereto. We have not authorized anyone to provide you with different information.</w:t>
      </w:r>
    </w:p>
    <w:p>
      <w:pPr>
        <w:spacing w:after="0" w:line="47" w:lineRule="exact"/>
        <w:rPr>
          <w:sz w:val="24"/>
          <w:szCs w:val="24"/>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361315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September 12, 2022</w:t>
      </w:r>
    </w:p>
    <w:p>
      <w:pPr>
        <w:sectPr>
          <w:pgSz w:w="11900" w:h="16838" w:orient="portrait"/>
          <w:cols w:equalWidth="0" w:num="1">
            <w:col w:w="11020"/>
          </w:cols>
          <w:pgMar w:left="440" w:top="225" w:right="439" w:bottom="1440" w:gutter="0" w:footer="0" w:header="0"/>
          <w:type w:val="continuous"/>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48"/>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6320" w:type="dxa"/>
            <w:vAlign w:val="bottom"/>
            <w:gridSpan w:val="2"/>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 Alpharetta,</w:t>
            </w:r>
          </w:p>
        </w:tc>
        <w:tc>
          <w:tcPr>
            <w:tcW w:w="2460" w:type="dxa"/>
            <w:vAlign w:val="bottom"/>
          </w:tcPr>
          <w:p>
            <w:pPr>
              <w:spacing w:after="0"/>
              <w:rPr>
                <w:sz w:val="24"/>
                <w:szCs w:val="24"/>
                <w:color w:val="auto"/>
              </w:rPr>
            </w:pPr>
          </w:p>
        </w:tc>
      </w:tr>
      <w:tr>
        <w:trPr>
          <w:trHeight w:val="227"/>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90"/>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30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0"/>
          <w:szCs w:val="20"/>
          <w:color w:val="auto"/>
        </w:rPr>
      </w:pPr>
    </w:p>
    <w:p>
      <w:pPr>
        <w:ind w:left="4" w:right="4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30"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0"/>
          <w:szCs w:val="20"/>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sectPr>
      </w:pPr>
    </w:p>
    <w:bookmarkStart w:id="2" w:name="page3"/>
    <w:bookmarkEnd w:id="2"/>
    <w:p>
      <w:pPr>
        <w:ind w:left="1204" w:right="102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Accounting Officer</w:t>
      </w:r>
    </w:p>
    <w:p>
      <w:pPr>
        <w:spacing w:after="0" w:line="121" w:lineRule="exact"/>
        <w:rPr>
          <w:sz w:val="20"/>
          <w:szCs w:val="20"/>
          <w:color w:val="auto"/>
        </w:rPr>
      </w:pPr>
    </w:p>
    <w:p>
      <w:pPr>
        <w:ind w:left="4" w:right="240"/>
        <w:spacing w:after="0" w:line="281" w:lineRule="auto"/>
        <w:rPr>
          <w:sz w:val="20"/>
          <w:szCs w:val="20"/>
          <w:color w:val="auto"/>
        </w:rPr>
      </w:pPr>
      <w:r>
        <w:rPr>
          <w:rFonts w:ascii="Times New Roman" w:cs="Times New Roman" w:eastAsia="Times New Roman" w:hAnsi="Times New Roman"/>
          <w:sz w:val="17"/>
          <w:szCs w:val="17"/>
          <w:color w:val="auto"/>
        </w:rPr>
        <w:t>Bakkt Holdings, Inc. (the “Company”) appointed Charles “Chip” Goodroe, 38, as Vice President, Chief Accounting Officer and Principal Accounting Officer of the Company, effective September 12, 2022. Prior to joining the Company, Mr. Goodroe served roles of increasing responsibility at Grant Thornton LLP from 2012 to September 2022, most recently serving as Senior Manager, Audit Services. Mr. Goodroe holds a B.B.A in Accountancy from the University of Georgia, Terry College of Business and an M.S. in Accountancy from the University of Georgia, Terry College of Business.</w:t>
      </w:r>
    </w:p>
    <w:p>
      <w:pPr>
        <w:spacing w:after="0" w:line="164"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In connection with Mr. Goodroe’s appointment as Vice President, Chief Accounting Officer and Principal Accounting Officer, the Compensation Committee of the Company’s board of directors granted Mr. Goodroe a one-time equity award of restricted stock units valued at approximately $70,000, which vest in equal yearly installments through the third anniversary of the grant date, subject to Mr. Goodroe’s continued employment with the Company on the applicable vesting dates. Mr. Goodroe’s annual base salary will be $220,000.</w:t>
      </w:r>
    </w:p>
    <w:p>
      <w:pPr>
        <w:spacing w:after="0" w:line="180"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Goodroe and any other person pursuant to which Mr. Goodroe was appointed to serve as Chief Accounting Officer and Principal Accounting Officer of the Company. There are no family relationships between Mr. Goodroe and any director or executive officer of the Company, and Mr. Goodroe does not have any direct or indirect material interest in any transaction required to be disclosed pursuant to Item 404(a) of Regulation S-K.</w:t>
      </w:r>
    </w:p>
    <w:p>
      <w:pPr>
        <w:spacing w:after="0" w:line="180"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In connection with Mr. Goodroe’s appointment, the Company plans to enter into its standard form of director and officer indemnification agreement with Mr. Goodroe, providing for indemnification and advancement of expenses. The foregoing description of the indemnification agreement is qualified in its entirety by reference to the full text of such agreement, the form of which was filed as Exhibit 10.7 to the Company’s Current Report on Form 8-K, filed with the SEC on October 21, 2021, and incorporated in this Item 5.02 by reference.</w:t>
      </w:r>
    </w:p>
    <w:p>
      <w:pPr>
        <w:spacing w:after="0" w:line="180"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On September 12, 2022, the Company issued a press release announcing the appointment of Mr. Goodroe as Vice President, Chief Accounting Officer and Principal Accounting Officer of the Company. A copy of the press release is attached as Exhibit 99.1 to this Current Report on Form 8-K.</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Effective upon the appointment of Mr. Goodroe, Karen Alexander, the Company’s Chief Financial Officer, Principal Financial Officer, Chief Accounting Officer and Principal Accounting Officer, will step down as Chief Accounting Officer and Principal Accounting Officer. Ms. Alexander will continue to serve as the Company’s Chief Financial Officer and Principal Financial Officer.</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Grants</w:t>
      </w:r>
    </w:p>
    <w:p>
      <w:pPr>
        <w:spacing w:after="0" w:line="121" w:lineRule="exact"/>
        <w:rPr>
          <w:sz w:val="20"/>
          <w:szCs w:val="20"/>
          <w:color w:val="auto"/>
        </w:rPr>
      </w:pPr>
    </w:p>
    <w:p>
      <w:pPr>
        <w:ind w:left="4" w:right="380"/>
        <w:spacing w:after="0" w:line="261" w:lineRule="auto"/>
        <w:rPr>
          <w:sz w:val="20"/>
          <w:szCs w:val="20"/>
          <w:color w:val="auto"/>
        </w:rPr>
      </w:pPr>
      <w:r>
        <w:rPr>
          <w:rFonts w:ascii="Times New Roman" w:cs="Times New Roman" w:eastAsia="Times New Roman" w:hAnsi="Times New Roman"/>
          <w:sz w:val="18"/>
          <w:szCs w:val="18"/>
          <w:color w:val="auto"/>
        </w:rPr>
        <w:t>On September 12, 2022, Karen Alexander, the Company’s Chief Financial Officer and Principal Financial Officer, received the following equity compensation grants, which were approved by the Compensation Committee of the Company’s board of directors in accordance with the applicable Performance-Based Restricted Stock Unit Agreement (the “PSU Agreement”) under the Company’s 2021 Omnibus Employee Incentive Plan (the “Plan”) and Restricted Stock Unit Agreement (the “RSU Agreement”) under the Plan:</w:t>
      </w:r>
    </w:p>
    <w:p>
      <w:pPr>
        <w:spacing w:after="0" w:line="79"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RSUs(1)</w:t>
            </w:r>
          </w:p>
        </w:tc>
        <w:tc>
          <w:tcPr>
            <w:tcW w:w="4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PSUs(2)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At</w:t>
            </w:r>
          </w:p>
        </w:tc>
        <w:tc>
          <w:tcPr>
            <w:tcW w:w="14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150% of Target</w:t>
            </w: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Karen Alexander</w:t>
            </w:r>
          </w:p>
        </w:tc>
        <w:tc>
          <w:tcPr>
            <w:tcW w:w="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100,000</w:t>
            </w: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66,666</w:t>
            </w:r>
          </w:p>
        </w:tc>
        <w:tc>
          <w:tcPr>
            <w:tcW w:w="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100" w:hanging="424"/>
        <w:spacing w:after="0" w:line="255"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award (“RSU”) will vest, subject to the grantee’s continued employment with the Company, in three equal annual installments on the first three anniversaries of August 26, 2022. The foregoing description of the RSU Agreement is qualified in its entirety by reference to the full text of such agreement, the form of which is included in this Current Report on Form 8-K as Exhibit 10.1 and incorporated in this Item 5.02 by reference.</w:t>
      </w:r>
    </w:p>
    <w:p>
      <w:pPr>
        <w:spacing w:after="0" w:line="2" w:lineRule="exact"/>
        <w:rPr>
          <w:rFonts w:ascii="Times New Roman" w:cs="Times New Roman" w:eastAsia="Times New Roman" w:hAnsi="Times New Roman"/>
          <w:sz w:val="18"/>
          <w:szCs w:val="18"/>
          <w:color w:val="auto"/>
        </w:rPr>
      </w:pPr>
    </w:p>
    <w:p>
      <w:pPr>
        <w:ind w:left="424" w:right="20" w:hanging="424"/>
        <w:spacing w:after="0" w:line="25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included in the table reflect the aggregate number of shares of Class A common stock that may be issuable to the grantee based on a “target” performance. The actual number of shares will vary between and 0% and 150% of the target amount. The performance-based restricted stock unit awards (“PSUs”) provide a scale for the number of shares of Class A common stock issuable to the grantee based (i) 50% on the Company’s net revenue and (ii) 50% on the Company’s transacting accounts, in each case, during the applicable performance period, pursuant to which, in each case, the grantee may earn between 0% of the “target” award (if the Company’s net revenue or transacting accounts, as applicable, achieved with respect to such performance period is below 25% of the “target” performance goal) and 150% of the target award (if the performance level achieved with respect to such performance period equals or exceeds 150% of the “target” performance goal). The performance periods for the PSUs are the years ending December 31, 2023, 2024 and 2025. One-third of the PSUs will be determined based on the performance for each year in the performance period. Each PSU will vest, subject to the grantee’s continued employment with the Company, in three equal annual installments on the first three anniversaries of August 26, 2022. The foregoing description of the PSU Agreement is qualified in its entirety by reference to the full text of such agreement, the form of which is included in this Current Report on Form 8-K as Exhibit 10.2 and incorporated in this Item 5.02 by reference.</w:t>
      </w:r>
    </w:p>
    <w:p>
      <w:pPr>
        <w:sectPr>
          <w:pgSz w:w="11900" w:h="16838" w:orient="portrait"/>
          <w:cols w:equalWidth="0" w:num="1">
            <w:col w:w="11024"/>
          </w:cols>
          <w:pgMar w:left="436" w:top="266"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8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10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51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35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Form of Restricted Stock Unit Award Agreement</w:t>
              </w:r>
            </w:hyperlink>
          </w:p>
        </w:tc>
        <w:tc>
          <w:tcPr>
            <w:tcW w:w="2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5820" w:type="dxa"/>
            <w:vAlign w:val="bottom"/>
            <w:gridSpan w:val="5"/>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Performance-Based Restricted Stock Unit Award Agreement</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r:id="rId25">
              <w:r>
                <w:rPr>
                  <w:rFonts w:ascii="Times New Roman" w:cs="Times New Roman" w:eastAsia="Times New Roman" w:hAnsi="Times New Roman"/>
                  <w:sz w:val="18"/>
                  <w:szCs w:val="18"/>
                  <w:color w:val="0000EE"/>
                  <w:w w:val="97"/>
                </w:rPr>
                <w:t>Press Release</w:t>
              </w:r>
            </w:hyperlink>
          </w:p>
        </w:tc>
        <w:tc>
          <w:tcPr>
            <w:tcW w:w="4020" w:type="dxa"/>
            <w:vAlign w:val="bottom"/>
            <w:tcBorders>
              <w:top w:val="single" w:sz="8" w:color="0000EE"/>
            </w:tcBorders>
            <w:gridSpan w:val="2"/>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12,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 and Secretary</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3" Type="http://schemas.openxmlformats.org/officeDocument/2006/relationships/hyperlink" Target="http://www.sec.gov/Archives/edgar/data/1820302/000119312522242987/d277417dex101.htm" TargetMode="External"/><Relationship Id="rId24" Type="http://schemas.openxmlformats.org/officeDocument/2006/relationships/hyperlink" Target="http://www.sec.gov/Archives/edgar/data/1820302/000119312522242987/d277417dex102.htm" TargetMode="External"/><Relationship Id="rId25" Type="http://schemas.openxmlformats.org/officeDocument/2006/relationships/hyperlink" Target="http://www.sec.gov/Archives/edgar/data/1820302/000119312522242987/d277417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2022-09-12T16:32:00Z</dcterms:created>
  <dcterms:modified xsi:type="dcterms:W3CDTF">2022-09-12T16:32:00Z</dcterms:modified>
</cp:coreProperties>
</file>