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Henderson Joseph Sean-Walsh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Class A Common Stock of the issuer. 50% of the RSUs shall vest on the one year anniversary of the grant date, 12.5% shall vest on the fifteen (15) month anniversary of the grant date, 12.5% shall vest on the eighteen (18) month anniversary of the grant date, 12.5% shall vest on the twenty one (21) month anniversary of the grant date, and 12.5% shall vest on the twenty four (24) month anniversary of the grant date, provided that the reporting person continues to provide services to the issuer through each such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13,661 shares of Class A Common Stock subject to RSU awards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Simmons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Joseph Sean-Walsh</w:t>
        <w:tab/>
        <w:t>04/15/2025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Henderson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0505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2025-04-15T18:42:08Z</dcterms:created>
  <dcterms:modified xsi:type="dcterms:W3CDTF">2025-04-15T18:42:08Z</dcterms:modified>
</cp:coreProperties>
</file>