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19" w:lineRule="exact"/>
        <w:rPr>
          <w:sz w:val="24"/>
          <w:szCs w:val="24"/>
          <w:color w:val="auto"/>
        </w:rPr>
      </w:pPr>
    </w:p>
    <w:p>
      <w:pPr>
        <w:ind w:left="8320"/>
        <w:spacing w:after="0"/>
        <w:rPr>
          <w:sz w:val="20"/>
          <w:szCs w:val="20"/>
          <w:color w:val="auto"/>
        </w:rPr>
      </w:pPr>
      <w:r>
        <w:rPr>
          <w:rFonts w:ascii="Arial" w:cs="Arial" w:eastAsia="Arial" w:hAnsi="Arial"/>
          <w:sz w:val="16"/>
          <w:szCs w:val="16"/>
          <w:color w:val="auto"/>
        </w:rPr>
        <w:t>Commission File Number 001-39544</w:t>
      </w:r>
    </w:p>
    <w:p>
      <w:pPr>
        <w:sectPr>
          <w:pgSz w:w="11900" w:h="16969" w:orient="portrait"/>
          <w:cols w:equalWidth="0" w:num="1">
            <w:col w:w="11020"/>
          </w:cols>
          <w:pgMar w:left="440" w:top="368" w:right="439" w:bottom="0" w:gutter="0" w:footer="0" w:header="0"/>
        </w:sectPr>
      </w:pPr>
    </w:p>
    <w:p>
      <w:pPr>
        <w:spacing w:after="0" w:line="275"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both"/>
        <w:ind w:firstLine="42"/>
        <w:spacing w:after="0" w:line="250" w:lineRule="exact"/>
        <w:rPr>
          <w:sz w:val="20"/>
          <w:szCs w:val="20"/>
          <w:color w:val="auto"/>
        </w:rPr>
      </w:pPr>
      <w:r>
        <w:rPr>
          <w:rFonts w:ascii="Arial" w:cs="Arial" w:eastAsia="Arial" w:hAnsi="Arial"/>
          <w:sz w:val="17"/>
          <w:szCs w:val="17"/>
          <w:color w:val="auto"/>
        </w:rPr>
        <w:t xml:space="preserve">Form 11-K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969" w:orient="portrait"/>
          <w:cols w:equalWidth="0" w:num="4">
            <w:col w:w="3020" w:space="280"/>
            <w:col w:w="2600" w:space="60"/>
            <w:col w:w="1220" w:space="40"/>
            <w:col w:w="3800"/>
          </w:cols>
          <w:pgMar w:left="440" w:top="368" w:right="439" w:bottom="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March 31, 2021</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1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00341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240030"/>
                    </a:xfrm>
                    <a:prstGeom prst="rect">
                      <a:avLst/>
                    </a:prstGeom>
                    <a:noFill/>
                  </pic:spPr>
                </pic:pic>
              </a:graphicData>
            </a:graphic>
          </wp:anchor>
        </w:drawing>
      </w:r>
    </w:p>
    <w:p>
      <w:pPr>
        <w:spacing w:after="0" w:line="282" w:lineRule="exact"/>
        <w:rPr>
          <w:sz w:val="24"/>
          <w:szCs w:val="24"/>
          <w:color w:val="auto"/>
        </w:rPr>
      </w:pPr>
    </w:p>
    <w:p>
      <w:pPr>
        <w:ind w:left="1100"/>
        <w:spacing w:after="0"/>
        <w:rPr>
          <w:sz w:val="20"/>
          <w:szCs w:val="20"/>
          <w:color w:val="auto"/>
        </w:rPr>
      </w:pPr>
      <w:r>
        <w:rPr>
          <w:rFonts w:ascii="Arial" w:cs="Arial" w:eastAsia="Arial" w:hAnsi="Arial"/>
          <w:sz w:val="17"/>
          <w:szCs w:val="17"/>
          <w:b w:val="1"/>
          <w:bCs w:val="1"/>
          <w:color w:val="auto"/>
        </w:rPr>
        <w:t>Nothing in this form shall be construed to imply that the Commission has verified any information contained herein.</w:t>
      </w: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VPC Impact Acquisition Holdings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Name of Registrant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if Applicable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 North Riverside Plaza, Suite 5200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 (Street and Number)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4"/>
          <w:szCs w:val="24"/>
          <w:color w:val="auto"/>
        </w:rPr>
      </w:pPr>
    </w:p>
    <w:p>
      <w:pPr>
        <w:ind w:left="860" w:hanging="324"/>
        <w:spacing w:after="0"/>
        <w:tabs>
          <w:tab w:leader="none" w:pos="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142" w:lineRule="exact"/>
        <w:rPr>
          <w:rFonts w:ascii="Arial" w:cs="Arial" w:eastAsia="Arial" w:hAnsi="Arial"/>
          <w:sz w:val="17"/>
          <w:szCs w:val="17"/>
          <w:color w:val="auto"/>
        </w:rPr>
      </w:pPr>
    </w:p>
    <w:p>
      <w:pPr>
        <w:ind w:left="860" w:right="300" w:hanging="324"/>
        <w:spacing w:after="0" w:line="291" w:lineRule="auto"/>
        <w:tabs>
          <w:tab w:leader="none" w:pos="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w:t>
      </w:r>
    </w:p>
    <w:p>
      <w:pPr>
        <w:ind w:left="860" w:right="240" w:hanging="720"/>
        <w:spacing w:after="0" w:line="182" w:lineRule="auto"/>
        <w:tabs>
          <w:tab w:leader="none" w:pos="8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color w:val="auto"/>
        </w:rPr>
        <w:t>transition report on Form 10-Q or subject distribution report on Form 10-D, or portion thereof, will be filed on or before the fifth calendar day following the prescribed due date; and</w:t>
      </w:r>
    </w:p>
    <w:p>
      <w:pPr>
        <w:spacing w:after="0" w:line="122" w:lineRule="exact"/>
        <w:rPr>
          <w:rFonts w:ascii="MS PGothic" w:cs="MS PGothic" w:eastAsia="MS PGothic" w:hAnsi="MS PGothic"/>
          <w:sz w:val="36"/>
          <w:szCs w:val="36"/>
          <w:color w:val="auto"/>
          <w:vertAlign w:val="superscript"/>
        </w:rPr>
      </w:pPr>
    </w:p>
    <w:p>
      <w:pPr>
        <w:ind w:left="860" w:hanging="324"/>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-970280</wp:posOffset>
            </wp:positionV>
            <wp:extent cx="825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9944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VPC Impact Acquisition Holdings (the “Company”) has determined that it is unable, without unreasonable effort or expense, to file its Quarterly Report on Form 10-Q for the fiscal quarter ended March 31, 2021 (the “Q1 2021 Form 10-Q”) by the prescribed due date for the reasons described below.</w:t>
      </w:r>
    </w:p>
    <w:p>
      <w:pPr>
        <w:spacing w:after="0" w:line="124"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On April 12, 2021, the Staff of the U.S. Securities and Exchange Commission (the “SEC”) issued the “Staff Statement on Accounting and Reporting Considerations for Warrants Issued by Special Purpose Acquisition Companies (“SPACs”)” (the “SEC Statement”), which clarified guidance for all</w:t>
      </w:r>
    </w:p>
    <w:p>
      <w:pPr>
        <w:sectPr>
          <w:pgSz w:w="11900" w:h="16969" w:orient="portrait"/>
          <w:cols w:equalWidth="0" w:num="1">
            <w:col w:w="11020"/>
          </w:cols>
          <w:pgMar w:left="440" w:top="368" w:right="439" w:bottom="0" w:gutter="0" w:footer="0" w:header="0"/>
          <w:type w:val="continuous"/>
        </w:sectPr>
      </w:pPr>
    </w:p>
    <w:bookmarkStart w:id="1" w:name="page2"/>
    <w:bookmarkEnd w:id="1"/>
    <w:p>
      <w:pPr>
        <w:ind w:left="4" w:right="20"/>
        <w:spacing w:after="0" w:line="259" w:lineRule="auto"/>
        <w:rPr>
          <w:sz w:val="20"/>
          <w:szCs w:val="20"/>
          <w:color w:val="auto"/>
        </w:rPr>
      </w:pPr>
      <w:r>
        <w:rPr>
          <w:rFonts w:ascii="Arial" w:cs="Arial" w:eastAsia="Arial" w:hAnsi="Arial"/>
          <w:sz w:val="18"/>
          <w:szCs w:val="18"/>
          <w:color w:val="auto"/>
        </w:rPr>
        <w:t>SPACs regarding the accounting and reporting for their warrants. Following review of the SEC Statement, the Company reevaluated the accounting treatment of its public warrants and private placement warrants (collectively, the “Warrants”) as equity, and concluded that, based on the SEC Statement, the Warrants should be, and should previously have been, classified as a liability measured at fair value, with non-cash fair value adjustments recorded in earnings at each reporting period.</w:t>
      </w:r>
    </w:p>
    <w:p>
      <w:pPr>
        <w:spacing w:after="0" w:line="187"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Company is currently determining the extent of the SEC Statement’s impact on its financial statements, including the financial statements as of and for the fiscal quarter ended March 31, 2021 included in the Q1 2021 Form 10-Q (the “Q1 2021 Financials”).</w:t>
      </w:r>
    </w:p>
    <w:p>
      <w:pPr>
        <w:spacing w:after="0" w:line="170"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The Company is working diligently to complete the Q1 2021 Form 10-Q as soon as possible; however, given the scope of the process for determining the appropriate treatment of the Warrants in accordance with the SEC Statement, the Company is unable to complete and file the Q1 2021 Form 10-Q by the required due date of May 17, 2021 without unreasonable effort and expense. The Company expects to file such report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3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Scott Zemnick</w:t>
            </w:r>
          </w:p>
        </w:tc>
        <w:tc>
          <w:tcPr>
            <w:tcW w:w="3300" w:type="dxa"/>
            <w:vAlign w:val="bottom"/>
          </w:tcPr>
          <w:p>
            <w:pPr>
              <w:jc w:val="right"/>
              <w:ind w:right="1319"/>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0"/>
                <w:szCs w:val="20"/>
                <w:color w:val="auto"/>
              </w:rPr>
            </w:pPr>
          </w:p>
        </w:tc>
        <w:tc>
          <w:tcPr>
            <w:tcW w:w="3300" w:type="dxa"/>
            <w:vAlign w:val="bottom"/>
          </w:tcPr>
          <w:p>
            <w:pPr>
              <w:jc w:val="right"/>
              <w:ind w:right="1179"/>
              <w:spacing w:after="0"/>
              <w:rPr>
                <w:sz w:val="20"/>
                <w:szCs w:val="20"/>
                <w:color w:val="auto"/>
              </w:rPr>
            </w:pPr>
            <w:r>
              <w:rPr>
                <w:rFonts w:ascii="Arial" w:cs="Arial" w:eastAsia="Arial" w:hAnsi="Arial"/>
                <w:sz w:val="18"/>
                <w:szCs w:val="18"/>
                <w:color w:val="auto"/>
              </w:rPr>
              <w:t>701-1777</w:t>
            </w:r>
          </w:p>
        </w:tc>
      </w:tr>
      <w:tr>
        <w:trPr>
          <w:trHeight w:val="176"/>
        </w:trPr>
        <w:tc>
          <w:tcPr>
            <w:tcW w:w="320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(Name)</w:t>
            </w:r>
          </w:p>
        </w:tc>
        <w:tc>
          <w:tcPr>
            <w:tcW w:w="320" w:type="dxa"/>
            <w:vAlign w:val="bottom"/>
          </w:tcPr>
          <w:p>
            <w:pPr>
              <w:spacing w:after="0"/>
              <w:rPr>
                <w:sz w:val="15"/>
                <w:szCs w:val="15"/>
                <w:color w:val="auto"/>
              </w:rPr>
            </w:pPr>
          </w:p>
        </w:tc>
        <w:tc>
          <w:tcPr>
            <w:tcW w:w="330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color w:val="auto"/>
                <w:w w:val="92"/>
              </w:rPr>
              <w:t>(Area code)</w:t>
            </w:r>
          </w:p>
        </w:tc>
        <w:tc>
          <w:tcPr>
            <w:tcW w:w="320" w:type="dxa"/>
            <w:vAlign w:val="bottom"/>
          </w:tcPr>
          <w:p>
            <w:pPr>
              <w:spacing w:after="0"/>
              <w:rPr>
                <w:sz w:val="15"/>
                <w:szCs w:val="15"/>
                <w:color w:val="auto"/>
              </w:rPr>
            </w:pPr>
          </w:p>
        </w:tc>
        <w:tc>
          <w:tcPr>
            <w:tcW w:w="330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color w:val="auto"/>
                <w:w w:val="92"/>
              </w:rPr>
              <w:t>(Telephone Number)</w:t>
            </w:r>
          </w:p>
        </w:tc>
      </w:tr>
    </w:tbl>
    <w:p>
      <w:pPr>
        <w:spacing w:after="0" w:line="60" w:lineRule="exact"/>
        <w:rPr>
          <w:sz w:val="20"/>
          <w:szCs w:val="20"/>
          <w:color w:val="auto"/>
        </w:rPr>
      </w:pPr>
    </w:p>
    <w:p>
      <w:pPr>
        <w:jc w:val="both"/>
        <w:ind w:left="704" w:right="340" w:hanging="704"/>
        <w:spacing w:after="0" w:line="287" w:lineRule="auto"/>
        <w:tabs>
          <w:tab w:leader="none" w:pos="70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704"/>
        <w:spacing w:after="0" w:line="207" w:lineRule="exact"/>
        <w:tabs>
          <w:tab w:leader="none" w:pos="4004" w:val="left"/>
        </w:tabs>
        <w:rPr>
          <w:sz w:val="20"/>
          <w:szCs w:val="20"/>
          <w:color w:val="auto"/>
        </w:rPr>
      </w:pPr>
      <w:r>
        <w:rPr>
          <w:rFonts w:ascii="Arial" w:cs="Arial" w:eastAsia="Arial" w:hAnsi="Arial"/>
          <w:sz w:val="18"/>
          <w:szCs w:val="18"/>
          <w:color w:val="auto"/>
        </w:rPr>
        <w:t>filed? If the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16" w:lineRule="exact"/>
        <w:rPr>
          <w:sz w:val="20"/>
          <w:szCs w:val="20"/>
          <w:color w:val="auto"/>
        </w:rPr>
      </w:pPr>
    </w:p>
    <w:p>
      <w:pPr>
        <w:ind w:left="704" w:hanging="704"/>
        <w:spacing w:after="0"/>
        <w:tabs>
          <w:tab w:leader="none" w:pos="704"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41" w:lineRule="exact"/>
        <w:rPr>
          <w:sz w:val="20"/>
          <w:szCs w:val="20"/>
          <w:color w:val="auto"/>
        </w:rPr>
      </w:pPr>
    </w:p>
    <w:p>
      <w:pPr>
        <w:ind w:left="704"/>
        <w:spacing w:after="0" w:line="207" w:lineRule="exact"/>
        <w:tabs>
          <w:tab w:leader="none" w:pos="6484" w:val="left"/>
        </w:tabs>
        <w:rPr>
          <w:sz w:val="20"/>
          <w:szCs w:val="20"/>
          <w:color w:val="auto"/>
        </w:rPr>
      </w:pPr>
      <w:r>
        <w:rPr>
          <w:rFonts w:ascii="Arial" w:cs="Arial" w:eastAsia="Arial" w:hAnsi="Arial"/>
          <w:sz w:val="18"/>
          <w:szCs w:val="18"/>
          <w:color w:val="auto"/>
        </w:rPr>
        <w:t>the 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704" w:right="8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Certain statements made herein are “forward-looking statements” within the meaning of the “safe harbor” provisions of the Private Securities Litigation Reform Act of 1995. Forward-looking statements may be identified by the use of words and phrases such as “will”, “may”, “should”, “future”, “promptly”, “expect”, “estimate”, “anticipate,” “intends”, “plans”, “subject to”, and “change” and other similar expressions that predict or indicate future events or trends or that are not statements of historical fact. Such statements may include, but are not limited to, statements regarding the Company’s intent to restate certain historical financial statements and the timing of the restatement and the Company’s statements regarding its anticipated results of operations for the quarterly period ended March 31, 2021. These statements are based on current expectations on the date hereof and involve a number of risks and uncertainties that may cause actual results to differ significantly. These forward-looking statements are not guarantees of future performance, conditions or results, and involve a number of known and unknown risks, uncertainties, assumptions and other important factors, including without limitation the completion of the Company’s quarterly review procedures, many of which are outside the Company’s control, that could cause actual results or outcomes to differ materially from those discussed in the forward-looking statements. The Company does not assume any obligation to update or revise any such forward-looking statements, whether as the result of new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VPC Impact Acquisition Holdings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504" w:val="left"/>
          <w:tab w:leader="none" w:pos="5924"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2021-05-17T18:28:41Z</dcterms:created>
  <dcterms:modified xsi:type="dcterms:W3CDTF">2021-05-17T18:28:41Z</dcterms:modified>
</cp:coreProperties>
</file>