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116205</wp:posOffset>
            </wp:positionV>
            <wp:extent cx="1045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2023</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251460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98-1550750</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560" w:type="dxa"/>
            <w:vAlign w:val="bottom"/>
          </w:tcPr>
          <w:p>
            <w:pPr>
              <w:spacing w:after="0"/>
              <w:rPr>
                <w:sz w:val="18"/>
                <w:szCs w:val="18"/>
                <w:color w:val="auto"/>
              </w:rPr>
            </w:pPr>
          </w:p>
        </w:tc>
      </w:tr>
      <w:tr>
        <w:trPr>
          <w:trHeight w:val="259"/>
        </w:trPr>
        <w:tc>
          <w:tcPr>
            <w:tcW w:w="47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66"/>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560" w:type="dxa"/>
            <w:vAlign w:val="bottom"/>
          </w:tcPr>
          <w:p>
            <w:pPr>
              <w:jc w:val="center"/>
              <w:ind w:left="19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88265</wp:posOffset>
            </wp:positionV>
            <wp:extent cx="497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0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1"/>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jc w:val="both"/>
        <w:ind w:firstLine="518"/>
        <w:spacing w:after="0" w:line="21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4" w:lineRule="exact"/>
        <w:rPr>
          <w:sz w:val="24"/>
          <w:szCs w:val="24"/>
          <w:color w:val="auto"/>
        </w:rPr>
      </w:pPr>
    </w:p>
    <w:p>
      <w:pPr>
        <w:ind w:right="180" w:firstLine="5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00" w:firstLine="518"/>
        <w:spacing w:after="0" w:line="23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77" w:lineRule="exact"/>
        <w:rPr>
          <w:sz w:val="24"/>
          <w:szCs w:val="24"/>
          <w:color w:val="auto"/>
        </w:rPr>
      </w:pPr>
    </w:p>
    <w:p>
      <w:pPr>
        <w:ind w:right="60" w:firstLine="518"/>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ind w:right="280" w:firstLine="518"/>
        <w:spacing w:after="0" w:line="245" w:lineRule="auto"/>
        <w:rPr>
          <w:sz w:val="20"/>
          <w:szCs w:val="20"/>
          <w:color w:val="auto"/>
        </w:rPr>
      </w:pPr>
      <w:r>
        <w:rPr>
          <w:rFonts w:ascii="Times New Roman" w:cs="Times New Roman" w:eastAsia="Times New Roman" w:hAnsi="Times New Roman"/>
          <w:sz w:val="16"/>
          <w:szCs w:val="16"/>
          <w:color w:val="auto"/>
        </w:rPr>
        <w:t>As of November 10, 2023, there were 91,429,477 shares of the registrant’s Class A common stock, 183,234,872 shares of Class V common stock, and 7,140,808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53340</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78740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Bakkt Holdings, Inc. (Bakkt,” “we,” “us,” “our,” or the “Company”) is filing this Amendment No. 3 to its Quarterly Report on Form 10-Q/A for the quarterly period ended September 30, 2023 (this “Amended Form 10-Q” or “10-Q/A”), as originally filed with the U.S. Securities and Exchange Commission (the “SEC”) on November 14, 2023 (the “Original Form 10-Q”). As noted below, the disclosure updates to the Original Form 10-Q included in Part II, Item 1A and Item 5 in Amendments No. 1 and 2 are restated, except as otherwise noted below, in this Amendment No. 3 for completeness.</w:t>
      </w:r>
    </w:p>
    <w:p>
      <w:pPr>
        <w:spacing w:after="0" w:line="173"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This Amended Form 10-Q is presented as of the filing date of the Original Form 10-Q and does not (i) reflect events occurring after that date, except with respect to the information regarding our ability to continue as a going concern and certain business updates, each as noted below, or (ii) modify or update disclosures in any way other than as required to reflect the amendment and restatement as described below. Accordingly, this Amended Form 10-Q should be read in conjunction with the Original Form 10-Q and our filings with the SEC subsequent to the date on which we filed the Original Form 10-Q.</w:t>
      </w:r>
    </w:p>
    <w:p>
      <w:pPr>
        <w:spacing w:after="0" w:line="174"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purpose of this Amended Form 10-Q is to (i) revise the disclosure in Note 20 “Subsequent Events” in Part I, Item 1, Notes to Unaudited Consolidated Financial Statements to include updates related to events subsequent to the filing of the Original Form 10-Q related to our ability to continue as a going concern, (ii) update the risk factor in Part II, Item 1A “Risk Factors” that was filed with prior amendments to the Original Form 10-Q related to our ability to continue as a going concern, as we have subsequently deemed there to be substantial doubt regarding our ability to continue as a going concern 12 months following the date of this Amended Form 10-Q without raising capital, (iii) restate the other disclosure included in Part II, Item 1A “Risk Factors” of Amendments No. 1 and 2 to the Original Form 10-Q, which amended and restated Part II, Item 1A “Risk Factors” to provide further updates to certain risks resulting from changes to the Company’s business following its acquisition (the “Bakkt Crypto Acquisition”) of Bakkt Crypto Solutions, LLC (“Bakkt Crypto”), formerly Apex Crypto LLC (“Apex Crypto”), and (iv) restate the disclosure included in Part II, Item 5 of Amendments No. 1 and 2 to the Original Form 10-Q, which amended and restated Part II, Item 5 to provide an update to the Company’s business activities following the Bakkt Crypto Acquisition. Part II, Item 6 “Exhibits” has also been amended and restated to include currently dated certifications of the Company’s principal executive officer and principal financial officer as required by Sections 302 and 906 of the Sarbanes Oxley Act of 2002. The certifications are attached to this Amended Form 10-Q as Exhibits 31.1, 31.2, 32.1 and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E32E1"/>
              </w:rPr>
              <w:t>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9220" w:type="dxa"/>
            <w:vAlign w:val="bottom"/>
            <w:gridSpan w:val="14"/>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Consolidated Financial Statements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100" w:type="dxa"/>
            <w:vAlign w:val="bottom"/>
            <w:tcBorders>
              <w:top w:val="single" w:sz="8" w:color="0E32E1"/>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Consolidated Balance Sheets</w:t>
            </w:r>
          </w:p>
        </w:tc>
        <w:tc>
          <w:tcPr>
            <w:tcW w:w="1320" w:type="dxa"/>
            <w:vAlign w:val="bottom"/>
            <w:tcBorders>
              <w:top w:val="single" w:sz="8" w:color="0E32E1"/>
            </w:tcBorders>
            <w:gridSpan w:val="4"/>
          </w:tcPr>
          <w:p>
            <w:pPr>
              <w:spacing w:after="0"/>
              <w:rPr>
                <w:sz w:val="18"/>
                <w:szCs w:val="18"/>
                <w:color w:val="auto"/>
              </w:rPr>
            </w:pPr>
          </w:p>
        </w:tc>
        <w:tc>
          <w:tcPr>
            <w:tcW w:w="580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Consolidated Statements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920" w:type="dxa"/>
            <w:vAlign w:val="bottom"/>
            <w:gridSpan w:val="3"/>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980" w:type="dxa"/>
            <w:vAlign w:val="bottom"/>
            <w:gridSpan w:val="4"/>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Consolidated Statements of Changes in Stockholders’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88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w:t>
            </w:r>
          </w:p>
        </w:tc>
        <w:tc>
          <w:tcPr>
            <w:tcW w:w="1520" w:type="dxa"/>
            <w:vAlign w:val="bottom"/>
            <w:tcBorders>
              <w:top w:val="single" w:sz="8" w:color="0E32E1"/>
            </w:tcBorders>
            <w:gridSpan w:val="4"/>
          </w:tcPr>
          <w:p>
            <w:pPr>
              <w:spacing w:after="0"/>
              <w:rPr>
                <w:sz w:val="18"/>
                <w:szCs w:val="18"/>
                <w:color w:val="auto"/>
              </w:rPr>
            </w:pPr>
          </w:p>
        </w:tc>
        <w:tc>
          <w:tcPr>
            <w:tcW w:w="4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96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Notes to Unaudited Consolidated Financial Statements</w:t>
            </w:r>
          </w:p>
        </w:tc>
        <w:tc>
          <w:tcPr>
            <w:tcW w:w="526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190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732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9"/>
              </w:rPr>
              <w:t>Risk Factors</w:t>
            </w:r>
          </w:p>
        </w:tc>
        <w:tc>
          <w:tcPr>
            <w:tcW w:w="830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Exhibits</w:t>
            </w:r>
          </w:p>
        </w:tc>
        <w:tc>
          <w:tcPr>
            <w:tcW w:w="790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6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55880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174"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This Amended Form 10-Q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Amended Form 10-Q may include, for example, statements about:</w:t>
      </w:r>
    </w:p>
    <w:p>
      <w:pPr>
        <w:spacing w:after="0" w:line="142" w:lineRule="exact"/>
        <w:rPr>
          <w:sz w:val="20"/>
          <w:szCs w:val="20"/>
          <w:color w:val="auto"/>
        </w:rPr>
      </w:pPr>
    </w:p>
    <w:p>
      <w:pPr>
        <w:ind w:left="660" w:hanging="27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Bakkt Crypto Acquisition; and</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including our plans to expand to international markets.</w:t>
      </w:r>
    </w:p>
    <w:p>
      <w:pPr>
        <w:spacing w:after="0" w:line="26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Amended Form 10-Q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7"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4" w:lineRule="exact"/>
        <w:rPr>
          <w:sz w:val="20"/>
          <w:szCs w:val="20"/>
          <w:color w:val="auto"/>
        </w:rPr>
      </w:pPr>
    </w:p>
    <w:p>
      <w:pPr>
        <w:ind w:left="660" w:hanging="27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44" w:lineRule="exact"/>
        <w:rPr>
          <w:rFonts w:ascii="Times New Roman" w:cs="Times New Roman" w:eastAsia="Times New Roman" w:hAnsi="Times New Roman"/>
          <w:sz w:val="18"/>
          <w:szCs w:val="18"/>
          <w:color w:val="auto"/>
        </w:rPr>
      </w:pPr>
    </w:p>
    <w:p>
      <w:pPr>
        <w:ind w:left="380" w:firstLine="6"/>
        <w:spacing w:after="0" w:line="329" w:lineRule="auto"/>
        <w:tabs>
          <w:tab w:leader="none" w:pos="6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40"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57" w:lineRule="exact"/>
        <w:rPr>
          <w:rFonts w:ascii="Times New Roman" w:cs="Times New Roman" w:eastAsia="Times New Roman" w:hAnsi="Times New Roman"/>
          <w:sz w:val="18"/>
          <w:szCs w:val="18"/>
          <w:color w:val="auto"/>
        </w:rPr>
      </w:pPr>
    </w:p>
    <w:p>
      <w:pPr>
        <w:ind w:left="380" w:firstLine="6"/>
        <w:spacing w:after="0" w:line="313" w:lineRule="auto"/>
        <w:tabs>
          <w:tab w:leader="none" w:pos="6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from the acquisition of Bakkt Crypto;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27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 and procedures;</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the listing of our securities on the New York Stock Exchange (the “NYSE”); and</w:t>
      </w:r>
    </w:p>
    <w:p>
      <w:pPr>
        <w:spacing w:after="0" w:line="155"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indicated in this Amended Form 10-Q, including those set forth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520" w:type="dxa"/>
            <w:vAlign w:val="bottom"/>
          </w:tcPr>
          <w:p>
            <w:pPr>
              <w:jc w:val="right"/>
              <w:ind w:right="628"/>
              <w:spacing w:after="0" w:line="15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7"/>
        </w:trPr>
        <w:tc>
          <w:tcPr>
            <w:tcW w:w="7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 2023</w:t>
            </w:r>
          </w:p>
        </w:tc>
        <w:tc>
          <w:tcPr>
            <w:tcW w:w="180" w:type="dxa"/>
            <w:vAlign w:val="bottom"/>
          </w:tcPr>
          <w:p>
            <w:pPr>
              <w:spacing w:after="0"/>
              <w:rPr>
                <w:sz w:val="11"/>
                <w:szCs w:val="11"/>
                <w:color w:val="auto"/>
              </w:rPr>
            </w:pPr>
          </w:p>
        </w:tc>
        <w:tc>
          <w:tcPr>
            <w:tcW w:w="1520" w:type="dxa"/>
            <w:vAlign w:val="bottom"/>
          </w:tcPr>
          <w:p>
            <w:pPr>
              <w:jc w:val="right"/>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98,332</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141,062</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25,306</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insurance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22,822</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Safeguarding asset for crypto</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326,465</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19,744</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15,852</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55,833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clearinghouse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15,150</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23,672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22,458</w:t>
            </w:r>
          </w:p>
        </w:tc>
        <w:tc>
          <w:tcPr>
            <w:tcW w:w="0" w:type="dxa"/>
            <w:vAlign w:val="bottom"/>
          </w:tcPr>
          <w:p>
            <w:pPr>
              <w:spacing w:after="0"/>
              <w:rPr>
                <w:sz w:val="1"/>
                <w:szCs w:val="1"/>
                <w:color w:val="auto"/>
              </w:rPr>
            </w:pPr>
          </w:p>
        </w:tc>
      </w:tr>
      <w:tr>
        <w:trPr>
          <w:trHeight w:val="227"/>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846,734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455,502</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49,192</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66,787</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 payable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Due to related party</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Safeguarding obligation for crypto</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15,792</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593,555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92,129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23,402</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119,428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7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($0.0001 par value, 750,000,000 shares authorized, 91,414,923 shares</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issued and outstanding as of September 30, 2023 and 80,926,843 shares issued and outstanding</w:t>
            </w: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V common stock ($0.0001 par value, 250,000,000 shares authorized, 183,249,426 shares</w:t>
            </w: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issued and outstanding as of September 30, 2023 and 183,482,777 shares issued and outstanding</w:t>
            </w: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2022)</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794,199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772,973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(724,602)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(676,447)</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96,263</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141,743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239,811</w:t>
            </w: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211,075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336,074</w:t>
            </w: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846,734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455,502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90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19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527,526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Loyalty services, net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38,852</w:t>
            </w:r>
          </w:p>
        </w:tc>
      </w:tr>
      <w:tr>
        <w:trPr>
          <w:trHeight w:val="212"/>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40,316</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107,135</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9,291</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12,659</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26,995</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18,340</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Related party expenses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 and intangible assets impairments</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1,547,711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1,547,711</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r>
      <w:tr>
        <w:trPr>
          <w:trHeight w:val="207"/>
        </w:trPr>
        <w:tc>
          <w:tcPr>
            <w:tcW w:w="4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257,634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1,608,114</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715,018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1,727,253</w:t>
            </w: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(52,860)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(1,594,901)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(149,396)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(1,686,937)</w:t>
            </w:r>
          </w:p>
        </w:tc>
      </w:tr>
      <w:tr>
        <w:trPr>
          <w:trHeight w:val="207"/>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from change in fair value of warrant liability</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13,139</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(1,593,154)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(1,672,353)</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8,844</w:t>
            </w: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(1,592,548)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(1,663,509)</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(1,124,416)</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(1,184,352)</w:t>
            </w:r>
          </w:p>
        </w:tc>
      </w:tr>
      <w:tr>
        <w:trPr>
          <w:trHeight w:val="23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(468,132)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(479,157)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Class A common stockholders: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231F20"/>
        </w:rPr>
        <w:t>Consolidated Statements of Comprehensive Loss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88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211"/>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(51,749)</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(1,592,548)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(1,663,509)</w:t>
            </w: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r>
      <w:tr>
        <w:trPr>
          <w:trHeight w:val="21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(losses) on available-for-sale securities, net of tax</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07"/>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(52,130)</w:t>
            </w:r>
          </w:p>
        </w:tc>
        <w:tc>
          <w:tcPr>
            <w:tcW w:w="8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(1,593,490)</w:t>
            </w:r>
          </w:p>
        </w:tc>
        <w:tc>
          <w:tcPr>
            <w:tcW w:w="8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(147,135)</w:t>
            </w:r>
          </w:p>
        </w:tc>
        <w:tc>
          <w:tcPr>
            <w:tcW w:w="10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(1,664,658)</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(34,669)</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(1,125,081)</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(98,977)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(1,185,157)</w:t>
            </w: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Bakkt Holdings, Inc.</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(17,461)</w:t>
            </w:r>
          </w:p>
        </w:tc>
        <w:tc>
          <w:tcPr>
            <w:tcW w:w="8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(468,409)</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(48,158)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(479,501)</w:t>
            </w:r>
          </w:p>
        </w:tc>
      </w:tr>
      <w:tr>
        <w:trPr>
          <w:trHeight w:val="21"/>
        </w:trPr>
        <w:tc>
          <w:tcPr>
            <w:tcW w:w="4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231F20"/>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bl>
      <w:tblPr>
        <w:tblLayout w:type="fixed"/>
        <w:tblInd w:w="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80" w:type="dxa"/>
            <w:vAlign w:val="bottom"/>
          </w:tcPr>
          <w:p>
            <w:pPr>
              <w:spacing w:after="0"/>
              <w:rPr>
                <w:sz w:val="10"/>
                <w:szCs w:val="10"/>
                <w:color w:val="auto"/>
              </w:rPr>
            </w:pPr>
          </w:p>
        </w:tc>
        <w:tc>
          <w:tcPr>
            <w:tcW w:w="8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0"/>
                <w:szCs w:val="10"/>
                <w:color w:val="auto"/>
              </w:rPr>
            </w:pPr>
          </w:p>
        </w:tc>
        <w:tc>
          <w:tcPr>
            <w:tcW w:w="1040" w:type="dxa"/>
            <w:vAlign w:val="bottom"/>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80" w:type="dxa"/>
            <w:vAlign w:val="bottom"/>
          </w:tcPr>
          <w:p>
            <w:pPr>
              <w:spacing w:after="0"/>
              <w:rPr>
                <w:sz w:val="10"/>
                <w:szCs w:val="10"/>
                <w:color w:val="auto"/>
              </w:rPr>
            </w:pPr>
          </w:p>
        </w:tc>
        <w:tc>
          <w:tcPr>
            <w:tcW w:w="9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20" w:type="dxa"/>
            <w:vAlign w:val="bottom"/>
            <w:gridSpan w:val="3"/>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40" w:type="dxa"/>
            <w:vAlign w:val="bottom"/>
            <w:gridSpan w:val="3"/>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Class V Common Stock</w:t>
            </w: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7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46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2022</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80,926,843</w:t>
            </w: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183,482,777</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772,973</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(676,447)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96,263</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239,811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336,074</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6,713</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6,713</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6,713</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542</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542</w:t>
            </w:r>
          </w:p>
        </w:tc>
        <w:tc>
          <w:tcPr>
            <w:tcW w:w="0" w:type="dxa"/>
            <w:vAlign w:val="bottom"/>
          </w:tcPr>
          <w:p>
            <w:pPr>
              <w:spacing w:after="0"/>
              <w:rPr>
                <w:sz w:val="1"/>
                <w:szCs w:val="1"/>
                <w:color w:val="auto"/>
              </w:rPr>
            </w:pPr>
          </w:p>
        </w:tc>
      </w:tr>
      <w:tr>
        <w:trPr>
          <w:trHeight w:val="108"/>
        </w:trPr>
        <w:tc>
          <w:tcPr>
            <w:tcW w:w="222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1,495,040</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202,890</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(202,890)</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345</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345</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(345)</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Unrealized losses on available-for-</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(72)</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(157)</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sale securities, net of tax</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(13,976)</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(13,976)</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(30,883)</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(44,859)</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March 31, 2023</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82,624,773</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8</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183,279,887</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780,031</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(690,423)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(355)</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89,280</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208,983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298,263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220" w:type="dxa"/>
            <w:vAlign w:val="bottom"/>
            <w:vMerge w:val="continue"/>
          </w:tcPr>
          <w:p>
            <w:pPr>
              <w:spacing w:after="0"/>
              <w:rPr>
                <w:sz w:val="9"/>
                <w:szCs w:val="9"/>
                <w:color w:val="auto"/>
              </w:rPr>
            </w:pPr>
          </w:p>
        </w:tc>
        <w:tc>
          <w:tcPr>
            <w:tcW w:w="760" w:type="dxa"/>
            <w:vAlign w:val="bottom"/>
          </w:tcPr>
          <w:p>
            <w:pPr>
              <w:jc w:val="right"/>
              <w:ind w:right="2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460" w:type="dxa"/>
            <w:vAlign w:val="bottom"/>
          </w:tcPr>
          <w:p>
            <w:pPr>
              <w:jc w:val="right"/>
              <w:ind w:right="106"/>
              <w:spacing w:after="0" w:line="11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4,614</w:t>
            </w:r>
          </w:p>
        </w:tc>
        <w:tc>
          <w:tcPr>
            <w:tcW w:w="180" w:type="dxa"/>
            <w:vAlign w:val="bottom"/>
          </w:tcPr>
          <w:p>
            <w:pPr>
              <w:spacing w:after="0"/>
              <w:rPr>
                <w:sz w:val="9"/>
                <w:szCs w:val="9"/>
                <w:color w:val="auto"/>
              </w:rPr>
            </w:pPr>
          </w:p>
        </w:tc>
        <w:tc>
          <w:tcPr>
            <w:tcW w:w="8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4,614</w:t>
            </w:r>
          </w:p>
        </w:tc>
        <w:tc>
          <w:tcPr>
            <w:tcW w:w="180" w:type="dxa"/>
            <w:vAlign w:val="bottom"/>
          </w:tcPr>
          <w:p>
            <w:pPr>
              <w:spacing w:after="0"/>
              <w:rPr>
                <w:sz w:val="9"/>
                <w:szCs w:val="9"/>
                <w:color w:val="auto"/>
              </w:rPr>
            </w:pPr>
          </w:p>
        </w:tc>
        <w:tc>
          <w:tcPr>
            <w:tcW w:w="9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rPr>
              <w:t>4,614</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377</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377</w:t>
            </w:r>
          </w:p>
        </w:tc>
        <w:tc>
          <w:tcPr>
            <w:tcW w:w="0" w:type="dxa"/>
            <w:vAlign w:val="bottom"/>
          </w:tcPr>
          <w:p>
            <w:pPr>
              <w:spacing w:after="0"/>
              <w:rPr>
                <w:sz w:val="1"/>
                <w:szCs w:val="1"/>
                <w:color w:val="auto"/>
              </w:rPr>
            </w:pPr>
          </w:p>
        </w:tc>
      </w:tr>
      <w:tr>
        <w:trPr>
          <w:trHeight w:val="108"/>
        </w:trPr>
        <w:tc>
          <w:tcPr>
            <w:tcW w:w="222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2,520,711</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(2,502)</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(2,502)</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(2,502)</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in connection with Apex</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6,140,611</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9,062</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9,063</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9,063</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acquisition</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112</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112</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227</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339</w:t>
            </w:r>
          </w:p>
        </w:tc>
        <w:tc>
          <w:tcPr>
            <w:tcW w:w="0" w:type="dxa"/>
            <w:vAlign w:val="bottom"/>
          </w:tcPr>
          <w:p>
            <w:pPr>
              <w:spacing w:after="0"/>
              <w:rPr>
                <w:sz w:val="1"/>
                <w:szCs w:val="1"/>
                <w:color w:val="auto"/>
              </w:rPr>
            </w:pPr>
          </w:p>
        </w:tc>
      </w:tr>
      <w:tr>
        <w:trPr>
          <w:trHeight w:val="108"/>
        </w:trPr>
        <w:tc>
          <w:tcPr>
            <w:tcW w:w="222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Unrealized losses on available-for-</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156</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233</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sale securities, net of tax</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(16,848)</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(16,848)</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(33,663)</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(50,511)</w:t>
            </w: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as of June 30, 2023</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91,286,095</w:t>
            </w:r>
          </w:p>
        </w:tc>
        <w:tc>
          <w:tcPr>
            <w:tcW w:w="2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9</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183,279,887</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791,205</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(707,271)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(166)</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83,796</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176,080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259,876</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2,957</w:t>
            </w:r>
          </w:p>
        </w:tc>
        <w:tc>
          <w:tcPr>
            <w:tcW w:w="1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2,957</w:t>
            </w:r>
          </w:p>
        </w:tc>
        <w:tc>
          <w:tcPr>
            <w:tcW w:w="1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2,957</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Unit-based compensation</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385</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385</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Forfeiture and cancellation of common units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(4,845)</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08"/>
        </w:trPr>
        <w:tc>
          <w:tcPr>
            <w:tcW w:w="222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103,212</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25,616</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(25,616)</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(133)</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(133)</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(264)</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Unrealized losses on available-for-</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sale securities, net of tax</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(17,331)</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(17,331)</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(34,418)</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(51,749)</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September 30, 2023</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91,414,923</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9</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183,249,426</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794,199</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(724,602)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(293)</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69,332</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141,743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211,075</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80" w:type="dxa"/>
            <w:vAlign w:val="bottom"/>
          </w:tcPr>
          <w:p>
            <w:pPr>
              <w:spacing w:after="0"/>
              <w:rPr>
                <w:sz w:val="11"/>
                <w:szCs w:val="11"/>
                <w:color w:val="auto"/>
              </w:rPr>
            </w:pPr>
          </w:p>
        </w:tc>
        <w:tc>
          <w:tcPr>
            <w:tcW w:w="8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11"/>
                <w:szCs w:val="11"/>
                <w:color w:val="auto"/>
              </w:rPr>
            </w:pPr>
          </w:p>
        </w:tc>
        <w:tc>
          <w:tcPr>
            <w:tcW w:w="10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80" w:type="dxa"/>
            <w:vAlign w:val="bottom"/>
          </w:tcPr>
          <w:p>
            <w:pPr>
              <w:spacing w:after="0"/>
              <w:rPr>
                <w:sz w:val="11"/>
                <w:szCs w:val="11"/>
                <w:color w:val="auto"/>
              </w:rPr>
            </w:pPr>
          </w:p>
        </w:tc>
        <w:tc>
          <w:tcPr>
            <w:tcW w:w="9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20" w:type="dxa"/>
            <w:vAlign w:val="bottom"/>
            <w:gridSpan w:val="3"/>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40" w:type="dxa"/>
            <w:vAlign w:val="bottom"/>
            <w:gridSpan w:val="3"/>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Class V Common Stock</w:t>
            </w: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2021</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57,164,388</w:t>
            </w: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206,271,792</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566,766</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(98,342)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center"/>
              <w:ind w:left="686"/>
              <w:spacing w:after="0"/>
              <w:rPr>
                <w:sz w:val="20"/>
                <w:szCs w:val="20"/>
                <w:color w:val="auto"/>
              </w:rPr>
            </w:pPr>
            <w:r>
              <w:rPr>
                <w:rFonts w:ascii="Times New Roman" w:cs="Times New Roman" w:eastAsia="Times New Roman" w:hAnsi="Times New Roman"/>
                <w:sz w:val="11"/>
                <w:szCs w:val="11"/>
                <w:color w:val="auto"/>
                <w:w w:val="97"/>
              </w:rPr>
              <w:t>(55)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468,396</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1,825,775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2,294,171</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13,190</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center"/>
              <w:ind w:left="686"/>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13,190</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13,190</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ind w:left="686"/>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1,118</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1,118</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Forfeiture and cancellation of common units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(268,522)</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center"/>
              <w:ind w:left="686"/>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(60)</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Exercise of warrants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ind w:left="686"/>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center"/>
              <w:ind w:left="686"/>
              <w:spacing w:after="0"/>
              <w:rPr>
                <w:sz w:val="20"/>
                <w:szCs w:val="20"/>
                <w:color w:val="auto"/>
              </w:rPr>
            </w:pPr>
            <w:r>
              <w:rPr>
                <w:rFonts w:ascii="Times New Roman" w:cs="Times New Roman" w:eastAsia="Times New Roman" w:hAnsi="Times New Roman"/>
                <w:sz w:val="11"/>
                <w:szCs w:val="11"/>
                <w:color w:val="auto"/>
                <w:w w:val="90"/>
              </w:rPr>
              <w:t>41</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147</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(7,128)</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center"/>
              <w:ind w:left="686"/>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(7,128)</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(36,193)</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(43,321)</w:t>
            </w: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as of March 31, 2022</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57,164,488</w:t>
            </w:r>
          </w:p>
        </w:tc>
        <w:tc>
          <w:tcPr>
            <w:tcW w:w="2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6</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206,003,270</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21</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579,957</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(105,470)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center"/>
              <w:ind w:left="686"/>
              <w:spacing w:after="0"/>
              <w:rPr>
                <w:sz w:val="20"/>
                <w:szCs w:val="20"/>
                <w:color w:val="auto"/>
              </w:rPr>
            </w:pPr>
            <w:r>
              <w:rPr>
                <w:rFonts w:ascii="Times New Roman" w:cs="Times New Roman" w:eastAsia="Times New Roman" w:hAnsi="Times New Roman"/>
                <w:sz w:val="11"/>
                <w:szCs w:val="11"/>
                <w:color w:val="auto"/>
                <w:w w:val="97"/>
              </w:rPr>
              <w:t>(14)</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474,500</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1,790,787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2,265,287</w:t>
            </w:r>
          </w:p>
        </w:tc>
        <w:tc>
          <w:tcPr>
            <w:tcW w:w="0" w:type="dxa"/>
            <w:vAlign w:val="bottom"/>
          </w:tcPr>
          <w:p>
            <w:pPr>
              <w:spacing w:after="0"/>
              <w:rPr>
                <w:sz w:val="1"/>
                <w:szCs w:val="1"/>
                <w:color w:val="auto"/>
              </w:rPr>
            </w:pPr>
          </w:p>
        </w:tc>
      </w:tr>
      <w:tr>
        <w:trPr>
          <w:trHeight w:val="20"/>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8,016</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center"/>
              <w:ind w:left="686"/>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8,016</w:t>
            </w: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8,016</w:t>
            </w:r>
          </w:p>
        </w:tc>
        <w:tc>
          <w:tcPr>
            <w:tcW w:w="0" w:type="dxa"/>
            <w:vAlign w:val="bottom"/>
          </w:tcPr>
          <w:p>
            <w:pPr>
              <w:spacing w:after="0"/>
              <w:rPr>
                <w:sz w:val="1"/>
                <w:szCs w:val="1"/>
                <w:color w:val="auto"/>
              </w:rPr>
            </w:pPr>
          </w:p>
        </w:tc>
      </w:tr>
      <w:tr>
        <w:trPr>
          <w:trHeight w:val="22"/>
        </w:trPr>
        <w:tc>
          <w:tcPr>
            <w:tcW w:w="2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ind w:left="140"/>
        <w:spacing w:after="0"/>
        <w:rPr>
          <w:sz w:val="20"/>
          <w:szCs w:val="20"/>
          <w:color w:val="auto"/>
        </w:rPr>
      </w:pPr>
      <w:r>
        <w:rPr>
          <w:rFonts w:ascii="Times New Roman" w:cs="Times New Roman" w:eastAsia="Times New Roman" w:hAnsi="Times New Roman"/>
          <w:sz w:val="11"/>
          <w:szCs w:val="11"/>
          <w:color w:val="auto"/>
        </w:rPr>
        <w:t>Unit-based compensation</w:t>
      </w:r>
    </w:p>
    <w:p>
      <w:pPr>
        <w:spacing w:after="0" w:line="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Forfeiture and cancellation of common units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Exercise of warrants</w:t>
      </w:r>
    </w:p>
    <w:p>
      <w:pPr>
        <w:spacing w:after="0" w:line="36" w:lineRule="exact"/>
        <w:rPr>
          <w:sz w:val="20"/>
          <w:szCs w:val="20"/>
          <w:color w:val="auto"/>
        </w:rPr>
      </w:pPr>
    </w:p>
    <w:p>
      <w:pPr>
        <w:ind w:left="140" w:right="200"/>
        <w:spacing w:after="0" w:line="235" w:lineRule="auto"/>
        <w:rPr>
          <w:sz w:val="20"/>
          <w:szCs w:val="20"/>
          <w:color w:val="auto"/>
        </w:rPr>
      </w:pPr>
      <w:r>
        <w:rPr>
          <w:rFonts w:ascii="Times New Roman" w:cs="Times New Roman" w:eastAsia="Times New Roman" w:hAnsi="Times New Roman"/>
          <w:sz w:val="11"/>
          <w:szCs w:val="11"/>
          <w:color w:val="auto"/>
        </w:rPr>
        <w:t>Shares issued upon vesting of share-based awards, net of tax withholding</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Exchange of Class V shares for Class A shares</w:t>
      </w:r>
    </w:p>
    <w:p>
      <w:pPr>
        <w:spacing w:after="0" w:line="47" w:lineRule="exact"/>
        <w:rPr>
          <w:sz w:val="20"/>
          <w:szCs w:val="20"/>
          <w:color w:val="auto"/>
        </w:rPr>
      </w:pPr>
    </w:p>
    <w:p>
      <w:pPr>
        <w:ind w:left="140" w:right="60"/>
        <w:spacing w:after="0" w:line="225" w:lineRule="auto"/>
        <w:rPr>
          <w:sz w:val="20"/>
          <w:szCs w:val="20"/>
          <w:color w:val="auto"/>
        </w:rPr>
      </w:pPr>
      <w:r>
        <w:rPr>
          <w:rFonts w:ascii="Times New Roman" w:cs="Times New Roman" w:eastAsia="Times New Roman" w:hAnsi="Times New Roman"/>
          <w:sz w:val="11"/>
          <w:szCs w:val="11"/>
          <w:color w:val="auto"/>
        </w:rPr>
        <w:t>Increase in deferred tax liability from step-up tax basis related to exchanges of Opco Common Units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p>
      <w:pPr>
        <w:spacing w:after="0" w:line="36" w:lineRule="exact"/>
        <w:rPr>
          <w:sz w:val="20"/>
          <w:szCs w:val="20"/>
          <w:color w:val="auto"/>
        </w:rPr>
      </w:pPr>
    </w:p>
    <w:p>
      <w:pPr>
        <w:ind w:left="140" w:right="520"/>
        <w:spacing w:after="0" w:line="235" w:lineRule="auto"/>
        <w:rPr>
          <w:sz w:val="20"/>
          <w:szCs w:val="20"/>
          <w:color w:val="auto"/>
        </w:rPr>
      </w:pPr>
      <w:r>
        <w:rPr>
          <w:rFonts w:ascii="Times New Roman" w:cs="Times New Roman" w:eastAsia="Times New Roman" w:hAnsi="Times New Roman"/>
          <w:sz w:val="11"/>
          <w:szCs w:val="11"/>
          <w:color w:val="auto"/>
        </w:rPr>
        <w:t>Unrealized losses on available-for-sale securities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Net loss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Balance as of June 30, 2022</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Share-based compensation</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Unit-based compensation</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Forfeiture and cancellation of common units</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Exercise of warrants</w:t>
      </w:r>
    </w:p>
    <w:p>
      <w:pPr>
        <w:spacing w:after="0" w:line="36" w:lineRule="exact"/>
        <w:rPr>
          <w:sz w:val="20"/>
          <w:szCs w:val="20"/>
          <w:color w:val="auto"/>
        </w:rPr>
      </w:pPr>
    </w:p>
    <w:p>
      <w:pPr>
        <w:ind w:left="140" w:right="200"/>
        <w:spacing w:after="0" w:line="235" w:lineRule="auto"/>
        <w:rPr>
          <w:sz w:val="20"/>
          <w:szCs w:val="20"/>
          <w:color w:val="auto"/>
        </w:rPr>
      </w:pPr>
      <w:r>
        <w:rPr>
          <w:rFonts w:ascii="Times New Roman" w:cs="Times New Roman" w:eastAsia="Times New Roman" w:hAnsi="Times New Roman"/>
          <w:sz w:val="11"/>
          <w:szCs w:val="11"/>
          <w:color w:val="auto"/>
        </w:rPr>
        <w:t>Shares issued upon vesting of share-based awards, net of tax withholding</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Exchange of Class V shares for Class A shares</w:t>
      </w:r>
    </w:p>
    <w:p>
      <w:pPr>
        <w:spacing w:after="0" w:line="47" w:lineRule="exact"/>
        <w:rPr>
          <w:sz w:val="20"/>
          <w:szCs w:val="20"/>
          <w:color w:val="auto"/>
        </w:rPr>
      </w:pPr>
    </w:p>
    <w:p>
      <w:pPr>
        <w:ind w:left="140" w:right="160"/>
        <w:spacing w:after="0" w:line="225" w:lineRule="auto"/>
        <w:rPr>
          <w:sz w:val="20"/>
          <w:szCs w:val="20"/>
          <w:color w:val="auto"/>
        </w:rPr>
      </w:pPr>
      <w:r>
        <w:rPr>
          <w:rFonts w:ascii="Times New Roman" w:cs="Times New Roman" w:eastAsia="Times New Roman" w:hAnsi="Times New Roman"/>
          <w:sz w:val="11"/>
          <w:szCs w:val="11"/>
          <w:color w:val="auto"/>
        </w:rPr>
        <w:t>Decrease in deferred tax liability due to tax impact of goodwill and intangible assets impairments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p>
      <w:pPr>
        <w:spacing w:after="0" w:line="36" w:lineRule="exact"/>
        <w:rPr>
          <w:sz w:val="20"/>
          <w:szCs w:val="20"/>
          <w:color w:val="auto"/>
        </w:rPr>
      </w:pPr>
    </w:p>
    <w:p>
      <w:pPr>
        <w:ind w:left="140" w:right="520"/>
        <w:spacing w:after="0" w:line="235" w:lineRule="auto"/>
        <w:rPr>
          <w:sz w:val="20"/>
          <w:szCs w:val="20"/>
          <w:color w:val="auto"/>
        </w:rPr>
      </w:pPr>
      <w:r>
        <w:rPr>
          <w:rFonts w:ascii="Times New Roman" w:cs="Times New Roman" w:eastAsia="Times New Roman" w:hAnsi="Times New Roman"/>
          <w:sz w:val="11"/>
          <w:szCs w:val="11"/>
          <w:color w:val="auto"/>
        </w:rPr>
        <w:t>Unrealized losses on available-for-sale securities</w:t>
      </w:r>
    </w:p>
    <w:p>
      <w:pPr>
        <w:spacing w:after="0" w:line="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Net loss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Balance as of September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1,063</w:t>
            </w:r>
          </w:p>
        </w:tc>
        <w:tc>
          <w:tcPr>
            <w:tcW w:w="22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1,063</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(9,693)</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100</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r>
      <w:tr>
        <w:trPr>
          <w:trHeight w:val="27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624,497</w:t>
            </w:r>
          </w:p>
        </w:tc>
        <w:tc>
          <w:tcPr>
            <w:tcW w:w="260" w:type="dxa"/>
            <w:vAlign w:val="bottom"/>
          </w:tcPr>
          <w:p>
            <w:pPr>
              <w:spacing w:after="0"/>
              <w:rPr>
                <w:sz w:val="23"/>
                <w:szCs w:val="23"/>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(2,586)</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(2,586)</w:t>
            </w:r>
          </w:p>
        </w:tc>
        <w:tc>
          <w:tcPr>
            <w:tcW w:w="34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(2,586)</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17,554,639</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(17,554,639)</w:t>
            </w:r>
          </w:p>
        </w:tc>
        <w:tc>
          <w:tcPr>
            <w:tcW w:w="26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(2)</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152,235</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152,235</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(152,235)</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78"/>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(19,063)</w:t>
            </w:r>
          </w:p>
        </w:tc>
        <w:tc>
          <w:tcPr>
            <w:tcW w:w="34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4"/>
                <w:szCs w:val="24"/>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(19,063)</w:t>
            </w:r>
          </w:p>
        </w:tc>
        <w:tc>
          <w:tcPr>
            <w:tcW w:w="340" w:type="dxa"/>
            <w:vAlign w:val="bottom"/>
          </w:tcPr>
          <w:p>
            <w:pPr>
              <w:spacing w:after="0"/>
              <w:rPr>
                <w:sz w:val="24"/>
                <w:szCs w:val="2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(19,063)</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(105)</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(277)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r>
      <w:tr>
        <w:trPr>
          <w:trHeight w:val="27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340" w:type="dxa"/>
            <w:vAlign w:val="bottom"/>
          </w:tcPr>
          <w:p>
            <w:pPr>
              <w:spacing w:after="0"/>
              <w:rPr>
                <w:sz w:val="23"/>
                <w:szCs w:val="23"/>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w:t>
            </w:r>
          </w:p>
        </w:tc>
        <w:tc>
          <w:tcPr>
            <w:tcW w:w="34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(3,897)</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(3,897)</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(23,744)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(27,641)</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4"/>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75,343,724</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188,438,938</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19</w:t>
            </w:r>
          </w:p>
        </w:tc>
        <w:tc>
          <w:tcPr>
            <w:tcW w:w="3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718,560</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(109,367)</w:t>
            </w:r>
          </w:p>
        </w:tc>
        <w:tc>
          <w:tcPr>
            <w:tcW w:w="5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(123)</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609,097</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1,615,570</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2,224,667</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4"/>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7,657</w:t>
            </w:r>
          </w:p>
        </w:tc>
        <w:tc>
          <w:tcPr>
            <w:tcW w:w="34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1"/>
                <w:szCs w:val="11"/>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7,657</w:t>
            </w:r>
          </w:p>
        </w:tc>
        <w:tc>
          <w:tcPr>
            <w:tcW w:w="34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7,657</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1,045</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1,045</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(34,929)</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21</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287,491</w:t>
            </w:r>
          </w:p>
        </w:tc>
        <w:tc>
          <w:tcPr>
            <w:tcW w:w="260" w:type="dxa"/>
            <w:vAlign w:val="bottom"/>
          </w:tcPr>
          <w:p>
            <w:pPr>
              <w:spacing w:after="0"/>
              <w:rPr>
                <w:sz w:val="23"/>
                <w:szCs w:val="23"/>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3"/>
                <w:szCs w:val="23"/>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3"/>
                <w:szCs w:val="2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2,051,166</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(2,051,166)</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17,914</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17,914</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(17,914)</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r>
      <w:tr>
        <w:trPr>
          <w:trHeight w:val="378"/>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4"/>
                <w:szCs w:val="2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19,056</w:t>
            </w:r>
          </w:p>
        </w:tc>
        <w:tc>
          <w:tcPr>
            <w:tcW w:w="340" w:type="dxa"/>
            <w:vAlign w:val="bottom"/>
          </w:tcPr>
          <w:p>
            <w:pPr>
              <w:spacing w:after="0"/>
              <w:rPr>
                <w:sz w:val="24"/>
                <w:szCs w:val="2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24"/>
                <w:szCs w:val="2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4"/>
                <w:szCs w:val="24"/>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19,056</w:t>
            </w:r>
          </w:p>
        </w:tc>
        <w:tc>
          <w:tcPr>
            <w:tcW w:w="340" w:type="dxa"/>
            <w:vAlign w:val="bottom"/>
          </w:tcPr>
          <w:p>
            <w:pPr>
              <w:spacing w:after="0"/>
              <w:rPr>
                <w:sz w:val="24"/>
                <w:szCs w:val="24"/>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19,056</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(228)</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(228)</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(549)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w:t>
            </w:r>
          </w:p>
        </w:tc>
      </w:tr>
      <w:tr>
        <w:trPr>
          <w:trHeight w:val="270"/>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23"/>
                <w:szCs w:val="23"/>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23"/>
                <w:szCs w:val="2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w:t>
            </w:r>
          </w:p>
        </w:tc>
        <w:tc>
          <w:tcPr>
            <w:tcW w:w="340" w:type="dxa"/>
            <w:vAlign w:val="bottom"/>
          </w:tcPr>
          <w:p>
            <w:pPr>
              <w:spacing w:after="0"/>
              <w:rPr>
                <w:sz w:val="23"/>
                <w:szCs w:val="23"/>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(49)</w:t>
            </w:r>
          </w:p>
        </w:tc>
        <w:tc>
          <w:tcPr>
            <w:tcW w:w="34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(116)</w:t>
            </w: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r>
      <w:tr>
        <w:trPr>
          <w:trHeight w:val="162"/>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(468,132)</w:t>
            </w:r>
          </w:p>
        </w:tc>
        <w:tc>
          <w:tcPr>
            <w:tcW w:w="5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(468,132)</w:t>
            </w:r>
          </w:p>
        </w:tc>
        <w:tc>
          <w:tcPr>
            <w:tcW w:w="3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(1,124,416)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(1,592,548)</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34"/>
        </w:trPr>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77,682,402</w:t>
            </w:r>
          </w:p>
        </w:tc>
        <w:tc>
          <w:tcPr>
            <w:tcW w:w="2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186,352,843</w:t>
            </w: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19</w:t>
            </w:r>
          </w:p>
        </w:tc>
        <w:tc>
          <w:tcPr>
            <w:tcW w:w="30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763,187</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(577,499)</w:t>
            </w:r>
          </w:p>
        </w:tc>
        <w:tc>
          <w:tcPr>
            <w:tcW w:w="50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(400)</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185,315</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473,510</w:t>
            </w:r>
          </w:p>
        </w:tc>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658,825</w:t>
            </w: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-2691130</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-2485390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-2211070</wp:posOffset>
            </wp:positionV>
            <wp:extent cx="71323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-1868170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-1593850</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-1345565</wp:posOffset>
            </wp:positionV>
            <wp:extent cx="71323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-1139190</wp:posOffset>
            </wp:positionV>
            <wp:extent cx="71323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-864870</wp:posOffset>
            </wp:positionV>
            <wp:extent cx="71323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-521970</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-247650</wp:posOffset>
            </wp:positionV>
            <wp:extent cx="71323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60"/>
            <w:col w:w="9020"/>
          </w:cols>
          <w:pgMar w:left="320" w:top="108" w:right="339" w:bottom="1440" w:gutter="0" w:footer="0" w:header="0"/>
          <w:type w:val="continuous"/>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Pr>
          <w:p>
            <w:pPr>
              <w:spacing w:after="0"/>
              <w:rPr>
                <w:sz w:val="12"/>
                <w:szCs w:val="12"/>
                <w:color w:val="auto"/>
              </w:rPr>
            </w:pPr>
          </w:p>
        </w:tc>
        <w:tc>
          <w:tcPr>
            <w:tcW w:w="13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66"/>
        </w:trPr>
        <w:tc>
          <w:tcPr>
            <w:tcW w:w="8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2023</w:t>
            </w:r>
          </w:p>
        </w:tc>
        <w:tc>
          <w:tcPr>
            <w:tcW w:w="140" w:type="dxa"/>
            <w:vAlign w:val="bottom"/>
          </w:tcPr>
          <w:p>
            <w:pPr>
              <w:spacing w:after="0"/>
              <w:rPr>
                <w:sz w:val="14"/>
                <w:szCs w:val="14"/>
                <w:color w:val="auto"/>
              </w:rPr>
            </w:pPr>
          </w:p>
        </w:tc>
        <w:tc>
          <w:tcPr>
            <w:tcW w:w="13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September 30, 2022</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(147,119)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(1,663,509)</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18,340</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lease expense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28,863</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Unit-based compensation expense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Forfeiture and cancellation of common units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income taxes</w:t>
            </w:r>
          </w:p>
        </w:tc>
        <w:tc>
          <w:tcPr>
            <w:tcW w:w="14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Goodwill and intangible assets impairments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1,547,711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disposal of assets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(gain) from change in fair value of warrant liability</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(13,139)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Accounts receivable</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(3,964)</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Prepaid insurance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Deposits with clearinghouse</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Due to related party</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Customer funds payable</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(5,122)</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(53,891)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(93,905)</w:t>
            </w:r>
          </w:p>
        </w:tc>
        <w:tc>
          <w:tcPr>
            <w:tcW w:w="0" w:type="dxa"/>
            <w:vAlign w:val="bottom"/>
          </w:tcPr>
          <w:p>
            <w:pPr>
              <w:spacing w:after="0"/>
              <w:rPr>
                <w:sz w:val="1"/>
                <w:szCs w:val="1"/>
                <w:color w:val="auto"/>
              </w:rPr>
            </w:pPr>
          </w:p>
        </w:tc>
      </w:tr>
      <w:tr>
        <w:trPr>
          <w:trHeight w:val="16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(22,533)</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available-for-sale securities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(188,759)</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the maturity of available-for-sale securities</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74,714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 of Bumped Financial, LLC</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Acquisition of Apex Crypto LLC, net of cash acquired</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(44,320)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65,710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(136,578)</w:t>
            </w:r>
          </w:p>
        </w:tc>
        <w:tc>
          <w:tcPr>
            <w:tcW w:w="0" w:type="dxa"/>
            <w:vAlign w:val="bottom"/>
          </w:tcPr>
          <w:p>
            <w:pPr>
              <w:spacing w:after="0"/>
              <w:rPr>
                <w:sz w:val="1"/>
                <w:szCs w:val="1"/>
                <w:color w:val="auto"/>
              </w:rPr>
            </w:pPr>
          </w:p>
        </w:tc>
      </w:tr>
      <w:tr>
        <w:trPr>
          <w:trHeight w:val="151"/>
        </w:trPr>
        <w:tc>
          <w:tcPr>
            <w:tcW w:w="8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the exercise of warrants</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Repurchase and retirement of Class A common stock</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increase (decrease) in cash, cash equivalents, restricted cash and customer funds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(231,448)</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and customer funds at the beginning of the period</w:t>
            </w: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408,415</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and customer funds at the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124,704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176,967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operating lease right-of-use asset acquired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11,021</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disclosure of non-cash investing and financing activity:</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 included in accounts payable and accrued liabilities.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2,756</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Reconciliation of cash, cash equivalents, restricted cash and customer funds to consolidated balance sheets: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159,850</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16,525</w:t>
            </w:r>
          </w:p>
        </w:tc>
        <w:tc>
          <w:tcPr>
            <w:tcW w:w="0" w:type="dxa"/>
            <w:vAlign w:val="bottom"/>
          </w:tcPr>
          <w:p>
            <w:pPr>
              <w:spacing w:after="0"/>
              <w:rPr>
                <w:sz w:val="1"/>
                <w:szCs w:val="1"/>
                <w:color w:val="auto"/>
              </w:rPr>
            </w:pPr>
          </w:p>
        </w:tc>
      </w:tr>
      <w:tr>
        <w:trPr>
          <w:trHeight w:val="17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Customer funds</w:t>
            </w: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28,223</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0" w:type="dxa"/>
            <w:vAlign w:val="bottom"/>
          </w:tcPr>
          <w:p>
            <w:pPr>
              <w:spacing w:after="0"/>
              <w:rPr>
                <w:sz w:val="1"/>
                <w:szCs w:val="1"/>
                <w:color w:val="auto"/>
              </w:rPr>
            </w:pPr>
          </w:p>
        </w:tc>
      </w:tr>
      <w:tr>
        <w:trPr>
          <w:trHeight w:val="175"/>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cash, cash equivalents, restricted cash and customer funds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124,704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176,967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16" w:lineRule="exact"/>
        <w:rPr>
          <w:sz w:val="20"/>
          <w:szCs w:val="20"/>
          <w:color w:val="auto"/>
        </w:rPr>
      </w:pPr>
    </w:p>
    <w:p>
      <w:pPr>
        <w:ind w:right="7720" w:firstLine="8"/>
        <w:spacing w:after="0" w:line="542" w:lineRule="auto"/>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9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Unless the context otherwise provides, “we,” “us,” “our,” “Bakkt”, the “Company” and like terms refer to Bakkt Holdings, Inc. and its subsidiaries, including Opco.</w:t>
      </w:r>
    </w:p>
    <w:p>
      <w:pPr>
        <w:spacing w:after="0" w:line="17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6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w:t>
      </w:r>
    </w:p>
    <w:p>
      <w:pPr>
        <w:spacing w:after="0" w:line="174"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LLC ("Apex Crypto") and subsequently changed the name of the legal entity to Bakkt Crypto Solutions, LLC ("Bakkt Crypto").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Crypto</w:t>
      </w:r>
    </w:p>
    <w:p>
      <w:pPr>
        <w:spacing w:after="0" w:line="266" w:lineRule="exact"/>
        <w:rPr>
          <w:sz w:val="20"/>
          <w:szCs w:val="20"/>
          <w:color w:val="auto"/>
        </w:rPr>
      </w:pPr>
    </w:p>
    <w:p>
      <w:pPr>
        <w:jc w:val="both"/>
        <w:ind w:left="660" w:hanging="328"/>
        <w:spacing w:after="0" w:line="291" w:lineRule="auto"/>
        <w:tabs>
          <w:tab w:leader="none" w:pos="655" w:val="left"/>
        </w:tabs>
        <w:numPr>
          <w:ilvl w:val="0"/>
          <w:numId w:val="7"/>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Custody: </w:t>
      </w:r>
      <w:r>
        <w:rPr>
          <w:rFonts w:ascii="Times New Roman" w:cs="Times New Roman" w:eastAsia="Times New Roman" w:hAnsi="Times New Roman"/>
          <w:sz w:val="18"/>
          <w:szCs w:val="18"/>
          <w:color w:val="0C0C0C"/>
        </w:rPr>
        <w:t>Our institutional-grade qualified custody solution caters to more experienced market participants and also supports a portion of our</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consumer-facing crypto business. This solution is primarily provided by our subsidiary, Bakkt Trust Company LLC (“Bakkt Trust”), a limited</w:t>
      </w:r>
    </w:p>
    <w:p>
      <w:pPr>
        <w:spacing w:after="0" w:line="1" w:lineRule="exact"/>
        <w:rPr>
          <w:rFonts w:ascii="Times New Roman" w:cs="Times New Roman" w:eastAsia="Times New Roman" w:hAnsi="Times New Roman"/>
          <w:sz w:val="18"/>
          <w:szCs w:val="18"/>
          <w:color w:val="0C0C0C"/>
        </w:rPr>
      </w:pPr>
    </w:p>
    <w:p>
      <w:pPr>
        <w:jc w:val="both"/>
        <w:ind w:left="660"/>
        <w:spacing w:after="0" w:line="289"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purpose trust company that is supervised by the New York State Department of Financial Services (“NYDFS”) and governed by an independent Board of Managers. In connection to the acquisition of Apex Crypto, we acquired third-party custodial relationships with BitGo and Coinbase</w:t>
      </w:r>
    </w:p>
    <w:p>
      <w:pPr>
        <w:spacing w:after="0" w:line="1" w:lineRule="exact"/>
        <w:rPr>
          <w:rFonts w:ascii="Times New Roman" w:cs="Times New Roman" w:eastAsia="Times New Roman" w:hAnsi="Times New Roman"/>
          <w:sz w:val="18"/>
          <w:szCs w:val="18"/>
          <w:color w:val="0C0C0C"/>
        </w:rPr>
      </w:pPr>
    </w:p>
    <w:p>
      <w:pPr>
        <w:jc w:val="both"/>
        <w:ind w:left="660"/>
        <w:spacing w:after="0" w:line="305"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Custody, which are currently used by Bakkt Crypto for custody and coin transfers, where applicable. In addition, Bakkt Crypto also self-custodies select coins to facilitate consumer withdrawals. Our intention is to consolidate our self-custodial services while still offering diversification across custodians for clients that request it.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60" w:hanging="328"/>
        <w:spacing w:after="0" w:line="232"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i w:val="1"/>
          <w:iCs w:val="1"/>
          <w:color w:val="0C0C0C"/>
        </w:rPr>
        <w:t xml:space="preserve">Trading: </w:t>
      </w:r>
      <w:r>
        <w:rPr>
          <w:rFonts w:ascii="Times New Roman" w:cs="Times New Roman" w:eastAsia="Times New Roman" w:hAnsi="Times New Roman"/>
          <w:sz w:val="18"/>
          <w:szCs w:val="18"/>
          <w:color w:val="000000"/>
        </w:rPr>
        <w:t>Bakkt Marketplace, LLC (“Bakkt Marketplace”), together with its wholly owned subsidiary Bakkt Crypto, operates</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platforms that</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provide consumers with the ability to buy, sell and store crypto in a simple, intuitive digital experience accessed via application programming interfaces or embedded web experience. We aim to enable businesses in various industries - such as fintechs, financial institutions and wallet providers - to provide their customers with the ability to transact in crypto directly in their trusted environments. W</w:t>
      </w:r>
      <w:r>
        <w:rPr>
          <w:rFonts w:ascii="Times New Roman" w:cs="Times New Roman" w:eastAsia="Times New Roman" w:hAnsi="Times New Roman"/>
          <w:sz w:val="18"/>
          <w:szCs w:val="18"/>
          <w:color w:val="000000"/>
        </w:rPr>
        <w:t>e currently facilitate</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transactions in the crypto assets listed in the table below.</w:t>
      </w:r>
    </w:p>
    <w:p>
      <w:pPr>
        <w:spacing w:after="0" w:line="253" w:lineRule="exact"/>
        <w:rPr>
          <w:sz w:val="20"/>
          <w:szCs w:val="20"/>
          <w:color w:val="auto"/>
        </w:rPr>
      </w:pPr>
    </w:p>
    <w:tbl>
      <w:tblPr>
        <w:tblLayout w:type="fixed"/>
        <w:tblInd w:w="3570" w:type="dxa"/>
        <w:tblCellMar>
          <w:top w:w="0" w:type="dxa"/>
          <w:left w:w="0" w:type="dxa"/>
          <w:bottom w:w="0" w:type="dxa"/>
          <w:right w:w="0" w:type="dxa"/>
        </w:tblCellMar>
      </w:tblPr>
      <w:tr>
        <w:trPr>
          <w:trHeight w:val="275"/>
        </w:trPr>
        <w:tc>
          <w:tcPr>
            <w:tcW w:w="2500" w:type="dxa"/>
            <w:vAlign w:val="bottom"/>
            <w:tcBorders>
              <w:top w:val="single" w:sz="8" w:color="auto"/>
              <w:left w:val="single" w:sz="8" w:color="auto"/>
              <w:bottom w:val="single" w:sz="8" w:color="EEECE1"/>
              <w:right w:val="single" w:sz="8" w:color="auto"/>
            </w:tcBorders>
            <w:shd w:val="clear" w:color="auto" w:fill="EEECE1"/>
          </w:tcPr>
          <w:p>
            <w:pPr>
              <w:ind w:left="40"/>
              <w:spacing w:after="0"/>
              <w:rPr>
                <w:sz w:val="20"/>
                <w:szCs w:val="20"/>
                <w:color w:val="auto"/>
              </w:rPr>
            </w:pPr>
            <w:r>
              <w:rPr>
                <w:rFonts w:ascii="Times New Roman" w:cs="Times New Roman" w:eastAsia="Times New Roman" w:hAnsi="Times New Roman"/>
                <w:sz w:val="18"/>
                <w:szCs w:val="18"/>
                <w:color w:val="auto"/>
              </w:rPr>
              <w:t>Crypto Asset</w:t>
            </w:r>
          </w:p>
        </w:tc>
        <w:tc>
          <w:tcPr>
            <w:tcW w:w="1640" w:type="dxa"/>
            <w:vAlign w:val="bottom"/>
            <w:tcBorders>
              <w:top w:val="single" w:sz="8" w:color="auto"/>
              <w:bottom w:val="single" w:sz="8" w:color="EEECE1"/>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Symbol</w:t>
            </w:r>
          </w:p>
        </w:tc>
      </w:tr>
      <w:tr>
        <w:trPr>
          <w:trHeight w:val="228"/>
        </w:trPr>
        <w:tc>
          <w:tcPr>
            <w:tcW w:w="2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Bitcoin</w:t>
            </w:r>
          </w:p>
        </w:tc>
        <w:tc>
          <w:tcPr>
            <w:tcW w:w="16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BTC</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Bitcoin Cash</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BCH</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Dogecoin</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Ether</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Ether Classic</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ETC</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Litecoin</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LTC</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Shiba Inu</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USD Coin</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USDC</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660" w:firstLine="648"/>
        <w:spacing w:after="0" w:line="305" w:lineRule="auto"/>
        <w:rPr>
          <w:sz w:val="20"/>
          <w:szCs w:val="20"/>
          <w:color w:val="auto"/>
        </w:rPr>
      </w:pPr>
      <w:r>
        <w:rPr>
          <w:rFonts w:ascii="Times New Roman" w:cs="Times New Roman" w:eastAsia="Times New Roman" w:hAnsi="Times New Roman"/>
          <w:sz w:val="18"/>
          <w:szCs w:val="18"/>
          <w:color w:val="auto"/>
        </w:rPr>
        <w:t>We also intend to expand our services to include crypto rewards, as described in more detail below. As part of our ongoing review of potential services we have de-prioritized investment in Bakkt Payouts as a service offering as we work with our clients to understand the desired feature set and their timelines to implementation. Any new services will be subject to governance and regulatory approvals.</w:t>
      </w:r>
    </w:p>
    <w:p>
      <w:pPr>
        <w:spacing w:after="0" w:line="179" w:lineRule="exact"/>
        <w:rPr>
          <w:sz w:val="20"/>
          <w:szCs w:val="20"/>
          <w:color w:val="auto"/>
        </w:rPr>
      </w:pPr>
    </w:p>
    <w:p>
      <w:pPr>
        <w:jc w:val="both"/>
        <w:ind w:left="1300" w:hanging="320"/>
        <w:spacing w:after="0" w:line="307" w:lineRule="auto"/>
        <w:tabs>
          <w:tab w:leader="none" w:pos="12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0C0C0C"/>
        </w:rPr>
        <w:t xml:space="preserve">Bakkt Rewards: </w:t>
      </w:r>
      <w:r>
        <w:rPr>
          <w:rFonts w:ascii="Times New Roman" w:cs="Times New Roman" w:eastAsia="Times New Roman" w:hAnsi="Times New Roman"/>
          <w:sz w:val="18"/>
          <w:szCs w:val="18"/>
          <w:color w:val="0C0C0C"/>
        </w:rPr>
        <w:t>Subject to regulatory approval, we are in the process of enabling clients of all sizes to offer their customers the ability to</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 xml:space="preserve">convert loyalty points earned through participation in the client's loyalty program into bitcoin (and, in the future, into other crypto assets depending on demand). </w:t>
      </w:r>
      <w:r>
        <w:rPr>
          <w:rFonts w:ascii="Times New Roman" w:cs="Times New Roman" w:eastAsia="Times New Roman" w:hAnsi="Times New Roman"/>
          <w:sz w:val="18"/>
          <w:szCs w:val="18"/>
          <w:color w:val="000000"/>
        </w:rPr>
        <w:t>We initially expect to offer this service in the first quarter of 2024.</w:t>
      </w:r>
    </w:p>
    <w:p>
      <w:pPr>
        <w:spacing w:after="0" w:line="168" w:lineRule="exact"/>
        <w:rPr>
          <w:sz w:val="20"/>
          <w:szCs w:val="20"/>
          <w:color w:val="auto"/>
        </w:rPr>
      </w:pPr>
    </w:p>
    <w:p>
      <w:pPr>
        <w:jc w:val="both"/>
        <w:ind w:left="660" w:firstLine="648"/>
        <w:spacing w:after="0" w:line="295" w:lineRule="auto"/>
        <w:rPr>
          <w:sz w:val="20"/>
          <w:szCs w:val="20"/>
          <w:color w:val="auto"/>
        </w:rPr>
      </w:pPr>
      <w:r>
        <w:rPr>
          <w:rFonts w:ascii="Times New Roman" w:cs="Times New Roman" w:eastAsia="Times New Roman" w:hAnsi="Times New Roman"/>
          <w:sz w:val="18"/>
          <w:szCs w:val="18"/>
          <w:color w:val="231F20"/>
        </w:rPr>
        <w:t>Bakkt Trust’s custody solution provides support to Bakkt Marketplace with respect to bitcoin and ether functionality. T</w:t>
      </w:r>
      <w:r>
        <w:rPr>
          <w:rFonts w:ascii="Times New Roman" w:cs="Times New Roman" w:eastAsia="Times New Roman" w:hAnsi="Times New Roman"/>
          <w:sz w:val="18"/>
          <w:szCs w:val="18"/>
          <w:color w:val="000000"/>
        </w:rPr>
        <w:t>he list of crypto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assets for which </w:t>
      </w:r>
      <w:r>
        <w:rPr>
          <w:rFonts w:ascii="Times New Roman" w:cs="Times New Roman" w:eastAsia="Times New Roman" w:hAnsi="Times New Roman"/>
          <w:sz w:val="18"/>
          <w:szCs w:val="18"/>
          <w:color w:val="231F20"/>
        </w:rPr>
        <w:t>Bakkt Trust</w:t>
      </w:r>
      <w:r>
        <w:rPr>
          <w:rFonts w:ascii="Times New Roman" w:cs="Times New Roman" w:eastAsia="Times New Roman" w:hAnsi="Times New Roman"/>
          <w:sz w:val="18"/>
          <w:szCs w:val="18"/>
          <w:color w:val="000000"/>
        </w:rPr>
        <w:t xml:space="preserve"> provides custody services will expand by the end of this year to include more of the crypto assets which we support for trading. </w:t>
      </w:r>
      <w:r>
        <w:rPr>
          <w:rFonts w:ascii="Times New Roman" w:cs="Times New Roman" w:eastAsia="Times New Roman" w:hAnsi="Times New Roman"/>
          <w:sz w:val="18"/>
          <w:szCs w:val="18"/>
          <w:color w:val="231F20"/>
        </w:rPr>
        <w:t>In addition, Bakkt Crypto provides custodial services that support certain crypto tokens offered on the consumer platform.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Additionally, until October 2, 2023, Bakkt Trust operated, in conjunction with Intercontinental Exchange, Inc. ("ICE"), regulated infrastructure for trading, clearing, and custody services for physically-delivered bitcoin futures (See Note 8 "Related Parties" below for a description of a recent delisting of some Bakkt Bitcoin futures and option contracts by </w:t>
      </w:r>
      <w:r>
        <w:rPr>
          <w:rFonts w:ascii="Times New Roman" w:cs="Times New Roman" w:eastAsia="Times New Roman" w:hAnsi="Times New Roman"/>
          <w:sz w:val="18"/>
          <w:szCs w:val="18"/>
          <w:color w:val="000000"/>
        </w:rPr>
        <w:t>ICE Futures U.S., Inc. ("IFUS")</w:t>
      </w:r>
      <w:r>
        <w:rPr>
          <w:rFonts w:ascii="Times New Roman" w:cs="Times New Roman" w:eastAsia="Times New Roman" w:hAnsi="Times New Roman"/>
          <w:sz w:val="18"/>
          <w:szCs w:val="18"/>
          <w:color w:val="231F20"/>
        </w:rPr>
        <w:t>). Bakkt Marketplace and Bakkt Crypto each hold a New York State virtual currency license (commonly referred to as a "BitLicense"), and money transmitter licenses from all states throughout the U.S. where such licenses are required for the operation of their business, and both are registered as a money services business with the Financial Crimes Enforcement Network of the United States Department of the Treasury.</w:t>
      </w:r>
    </w:p>
    <w:p>
      <w:pPr>
        <w:spacing w:after="0" w:line="181" w:lineRule="exact"/>
        <w:rPr>
          <w:sz w:val="20"/>
          <w:szCs w:val="20"/>
          <w:color w:val="auto"/>
        </w:rPr>
      </w:pPr>
    </w:p>
    <w:p>
      <w:pPr>
        <w:jc w:val="both"/>
        <w:ind w:left="660" w:firstLine="648"/>
        <w:spacing w:after="0" w:line="305" w:lineRule="auto"/>
        <w:rPr>
          <w:sz w:val="20"/>
          <w:szCs w:val="20"/>
          <w:color w:val="auto"/>
        </w:rPr>
      </w:pPr>
      <w:r>
        <w:rPr>
          <w:rFonts w:ascii="Times New Roman" w:cs="Times New Roman" w:eastAsia="Times New Roman" w:hAnsi="Times New Roman"/>
          <w:sz w:val="18"/>
          <w:szCs w:val="18"/>
          <w:color w:val="auto"/>
        </w:rPr>
        <w:t>We are also expanding into new international markets. We are currently offering crypto services in Latin America, and expect crypto services to launch in the United Kingdom, Hong Kong, Dubai, Australia and Spain by the end of this year. We expect to continue to pursue new international markets in the future by working with our existing client base as well as targeting new clients.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Loyalty</w:t>
      </w:r>
    </w:p>
    <w:p>
      <w:pPr>
        <w:spacing w:after="0" w:line="283" w:lineRule="exact"/>
        <w:rPr>
          <w:sz w:val="20"/>
          <w:szCs w:val="20"/>
          <w:color w:val="auto"/>
        </w:rPr>
      </w:pPr>
    </w:p>
    <w:p>
      <w:pPr>
        <w:jc w:val="both"/>
        <w:ind w:left="660" w:hanging="328"/>
        <w:spacing w:after="0" w:line="291" w:lineRule="auto"/>
        <w:tabs>
          <w:tab w:leader="none" w:pos="648" w:val="left"/>
        </w:tabs>
        <w:numPr>
          <w:ilvl w:val="0"/>
          <w:numId w:val="10"/>
        </w:numPr>
        <w:rPr>
          <w:rFonts w:ascii="Times New Roman" w:cs="Times New Roman" w:eastAsia="Times New Roman" w:hAnsi="Times New Roman"/>
          <w:sz w:val="20"/>
          <w:szCs w:val="20"/>
          <w:color w:val="0C0C0C"/>
        </w:rPr>
      </w:pPr>
      <w:r>
        <w:rPr>
          <w:rFonts w:ascii="Times New Roman" w:cs="Times New Roman" w:eastAsia="Times New Roman" w:hAnsi="Times New Roman"/>
          <w:sz w:val="18"/>
          <w:szCs w:val="18"/>
          <w:color w:val="0C0C0C"/>
        </w:rPr>
        <w:t>We offer a full spectrum of content that our clients can make available to their customers when redeeming loyalty currencies. Our redemption solutions span a variety of rewards categories including merchandise (such as Apple products and services), gift cards and digital experiences. Our travel solution offers a retail e-commerce booking platform, as well as live-agent booking and servicing. Our platform provides a unified shopping experience that is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right="20"/>
        <w:spacing w:after="0" w:line="305" w:lineRule="auto"/>
        <w:rPr>
          <w:sz w:val="20"/>
          <w:szCs w:val="20"/>
          <w:color w:val="auto"/>
        </w:rPr>
      </w:pPr>
      <w:r>
        <w:rPr>
          <w:rFonts w:ascii="Times New Roman" w:cs="Times New Roman" w:eastAsia="Times New Roman" w:hAnsi="Times New Roman"/>
          <w:sz w:val="18"/>
          <w:szCs w:val="18"/>
          <w:color w:val="0C0C0C"/>
        </w:rPr>
        <w:t>configurable for our clients and their loyalty programs. Capabilities include a mobile-first user experience, a multi-tier construct to accommodate loyalty tiers, comprehensive fraud protection capabilities and a split-tender payments platform to accept both points and credit cards as a form of payment.</w:t>
      </w:r>
    </w:p>
    <w:p>
      <w:pPr>
        <w:spacing w:after="0" w:line="17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accounting policies are as set forth in the notes to our Annual Report on Form 10-K for the year ended December 31, 2022 (our "Form 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9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accruals), considered necessary for a fair presentation have been included. The interim results for the nine months ended September 30, 2023 are not necessarily indicative of the results that may be expected for the year ending December 31, 2023, or for any other future annual or interim period. These consolidated financial statements should be read in conjunction with the Company’s audited financial statements and accompanying notes thereto included in our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1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those that are related to going concern,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1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are prepared in accordance with U.S. GAAP applicable to a going concern.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7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At each reporting period, in accordance with Accounting Standards Codification ("ASC") 205-40, Going Concern, we evaluate whether there are conditions or events that raise substantial doubt about our ability to continue as a going concern within one year after the date the financial statements are issued. In accordance with ASC 250-40,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in conjunction with the issuance of the September 30, 2023 unaudited Consolidated Financial Statements</w:t>
      </w:r>
    </w:p>
    <w:p>
      <w:pPr>
        <w:spacing w:after="0" w:line="268"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For the nine months ended September 30, 2023 we incurred a net loss of $147.1 million and consumed $53.9 million of cash in operations. The Company has historically relied on its existing cash and available-for-sale securities portfolio to fund operations. As of September 30, 2023 the Company had $68.2 million of available cash and cash equivalents that was not restricted or required to be held for regulatory capital (see Note 13) and $22.7 million in available-for-sale securities. The Company does not have any debt to service but has commitments under long-term cloud computing, lease and marketing contracts as described in Notes 14 and 17. We expect to continue to incur losses and consume cash for the foreseeable future and will require additional capital to continue to fund operations or will need to take other measures to reduce our cash burn. Due to the challenging nature of our business and regulatory environment, we have limited prospects to secure additional debt or equity financing. In forecasting our expectation of cash needs for the initial ASC 205-40 evaluation, the crypto revenue growth projections exclude expansion to international retail crypto markets where such arrangements are not signed, as well as activation of new partners currently not live on our platform as of the date of release of these Consolidated Financial Statements.</w:t>
      </w:r>
    </w:p>
    <w:p>
      <w:pPr>
        <w:spacing w:after="0" w:line="18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losses and projected cash needs, combined with our current liquidity level, initially raised substantial doubt about our ability to continue as a going concern. Management’s plan to improve our liquidity and mitigate the substantial doubt includes integrating our regulated entities to reduce regulatory capital and insurance requirements. We expect these actions will increase available cash by approximately $11.5 million. Additionally, we have been executing a strategic plan to optimize our capital allocation and expense base since the fourth quarter of 2022. Management's plans over the next twelve months include the further reduction of cash expenses through continued alignment of headcount and vendor spend, and further reductions in our non-essential operating footprint.</w:t>
      </w:r>
    </w:p>
    <w:p>
      <w:pPr>
        <w:spacing w:after="0" w:line="178"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8"/>
          <w:szCs w:val="18"/>
          <w:color w:val="auto"/>
        </w:rPr>
        <w:t>Management believes the expected impact on our liquidity and cash flows resulting from the entity integration and the operational initiatives outlined above are probable of occurring, sufficient to enable us to meet our obligations for at least twelve months from the date the financial statements are issued and alleviate the conditions that initially raised substantial doubt about our ability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Bakkt Crypto Revenue Recognition</w:t>
      </w:r>
    </w:p>
    <w:p>
      <w:pPr>
        <w:spacing w:after="0" w:line="21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Bakkt Crypto offers customers the ability to purchase or sell certain crypto on its platform. Bakkt Crypto partners with a number of liquidity providers to provide customers with immediate liquidity and access to crypto. Bakkt Crypto settles with the liquidity partners on a daily basis. The contract with a customer is created when a customer agrees to execute a trade on our platform. Each customer purchase transaction includes multiple performance obligations including execution, custody of the customer's purchased crypto, and material rights for ongoing custody beyond the original contractual period. Customer sales only carry a single performance obligation which is execution of the trade. We consider the sale of customer crypto associated with delisted crypto to be revenue in the context of our contracts with customers. We own the crypto as it crosses our platform and accordingly act as a principal in the arrangement. We report the gross proceeds of a sale to a customer or liquidity provider, including a spread on the market price of the crypto as revenue. Substantially all of the consideration is allocated to the execution performance obligation, which is satisfied when we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record the transaction to the customer's account. Custody services are rendered over the initial contract term which we have concluded is one day. Customers have a material right to obtain additional custody services at no cost by not selling the purchased crypto, which is recognized over the period that the assets are held on our platform. The consideration allocated to the custody and material right performance obligations is estimated on the basis of a cost plus a margin approach and was not material to the three or nine months ended September 30, 2023.</w:t>
      </w:r>
    </w:p>
    <w:p>
      <w:pPr>
        <w:spacing w:after="0" w:line="17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Judgment is required in determining whether the Company is the principal or the agent in our contracts with customers. We have determined that we are the principal in transactions with customers as we control the crypto prior to its delivery to the customer and we are primarily responsible for the delivery of the crypto to the customer. Accordingly, revenue and costs associated with Bakkt Crypto's services are presented gross in our consolidated statement of operations.</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For the nine months ended September 30, 2023, there were no significant changes to the recently adopted accounting pronouncements applicable to us from those disclosed in Note 2 to the consolidated financial statements included in our Form 10-K.</w:t>
      </w:r>
    </w:p>
    <w:p>
      <w:pPr>
        <w:spacing w:after="0" w:line="17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disaggregate revenue by service type and by platform, respectively,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Type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Transaction revenue</w:t>
            </w:r>
            <w:r>
              <w:rPr>
                <w:rFonts w:ascii="Times New Roman" w:cs="Times New Roman" w:eastAsia="Times New Roman" w:hAnsi="Times New Roman"/>
                <w:sz w:val="23"/>
                <w:szCs w:val="23"/>
                <w:color w:val="auto"/>
                <w:vertAlign w:val="superscript"/>
              </w:rPr>
              <w:t>(a)</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548,774</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service revenue</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565,622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rebates and incentive payments of less than $0.1 million for both the three and nine months ended September 30, 2023,</w:t>
      </w:r>
    </w:p>
    <w:p>
      <w:pPr>
        <w:spacing w:after="0" w:line="49" w:lineRule="exact"/>
        <w:rPr>
          <w:rFonts w:ascii="Times New Roman" w:cs="Times New Roman" w:eastAsia="Times New Roman" w:hAnsi="Times New Roman"/>
          <w:sz w:val="18"/>
          <w:szCs w:val="18"/>
          <w:color w:val="auto"/>
        </w:rPr>
      </w:pPr>
    </w:p>
    <w:p>
      <w:pPr>
        <w:jc w:val="both"/>
        <w:ind w:left="3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respectively, and less than $0.1 million and $0.4 million for the three and nine months ended September 30, 2022, respectively. Included in these amounts are amounts earned from related parties of less than $0.1 million for both the three and nine months ended September 30, 2023 and September 30, 2022,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redemption platform</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38,096</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38,852</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Crypto services</w:t>
            </w:r>
            <w:r>
              <w:rPr>
                <w:rFonts w:ascii="Times New Roman" w:cs="Times New Roman" w:eastAsia="Times New Roman" w:hAnsi="Times New Roman"/>
                <w:sz w:val="23"/>
                <w:szCs w:val="23"/>
                <w:color w:val="auto"/>
                <w:vertAlign w:val="superscript"/>
              </w:rPr>
              <w:t>(b)</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191,750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527,526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565,622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340" w:hanging="332"/>
        <w:spacing w:after="0" w:line="302"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rebates and incentive payments of less than $0.1 million for both the three and nine months ended September 30, 2023, respectively, and less than $0.1 million and $0.4 million for the three and nine months ended September 30, 2022, respectively. Included in these amounts are amounts earned from related parties of less than $0.1 million for both the three and nine months ended September 30, 2023 and September 30, 2022,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We recognized revenue from foreign jurisdictions of $1.1 million and $2.8 million for the three and nine months ended September 30, 2023, respectively, and $0.8 million and $2.8 million for the three and nine months ended September 30, 2022, respectively.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one reportable segment to which our revenues relate.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Contract liabilities consist of deferred revenue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nine months ended September 30, 2023 and September 30, 2022, respectively,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147320</wp:posOffset>
            </wp:positionV>
            <wp:extent cx="2434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4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ind w:left="7660"/>
        <w:spacing w:after="0"/>
        <w:rPr>
          <w:sz w:val="20"/>
          <w:szCs w:val="20"/>
          <w:color w:val="auto"/>
        </w:rPr>
      </w:pPr>
      <w:r>
        <w:rPr>
          <w:rFonts w:ascii="Times New Roman" w:cs="Times New Roman" w:eastAsia="Times New Roman" w:hAnsi="Times New Roman"/>
          <w:sz w:val="16"/>
          <w:szCs w:val="16"/>
          <w:b w:val="1"/>
          <w:bCs w:val="1"/>
          <w:color w:val="auto"/>
        </w:rPr>
        <w:t>September 30, 2023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240" w:hanging="15"/>
        <w:spacing w:after="0" w:line="248" w:lineRule="auto"/>
        <w:rPr>
          <w:sz w:val="20"/>
          <w:szCs w:val="20"/>
          <w:color w:val="auto"/>
        </w:rPr>
      </w:pPr>
      <w:r>
        <w:rPr>
          <w:rFonts w:ascii="Times New Roman" w:cs="Times New Roman" w:eastAsia="Times New Roman" w:hAnsi="Times New Roman"/>
          <w:sz w:val="16"/>
          <w:szCs w:val="16"/>
          <w:b w:val="1"/>
          <w:bCs w:val="1"/>
          <w:color w:val="auto"/>
        </w:rPr>
        <w:t>Nine Months Ended September 30, 2022</w:t>
      </w:r>
    </w:p>
    <w:p>
      <w:pPr>
        <w:spacing w:after="0" w:line="1" w:lineRule="exact"/>
        <w:rPr>
          <w:sz w:val="20"/>
          <w:szCs w:val="20"/>
          <w:color w:val="auto"/>
        </w:rPr>
      </w:pPr>
    </w:p>
    <w:p>
      <w:pPr>
        <w:sectPr>
          <w:pgSz w:w="11900" w:h="16838" w:orient="portrait"/>
          <w:cols w:equalWidth="0" w:num="2">
            <w:col w:w="9040" w:space="600"/>
            <w:col w:w="16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7,084</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9,448</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 included in the beginning balance</w:t>
            </w:r>
          </w:p>
        </w:tc>
        <w:tc>
          <w:tcPr>
            <w:tcW w:w="720" w:type="dxa"/>
            <w:vAlign w:val="bottom"/>
          </w:tcPr>
          <w:p>
            <w:pPr>
              <w:spacing w:after="0"/>
              <w:rPr>
                <w:sz w:val="21"/>
                <w:szCs w:val="21"/>
                <w:color w:val="auto"/>
              </w:rPr>
            </w:pPr>
          </w:p>
        </w:tc>
        <w:tc>
          <w:tcPr>
            <w:tcW w:w="11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(3,055)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(3,629)</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cash received, net of amounts recognized in revenue during the period</w:t>
            </w:r>
          </w:p>
        </w:tc>
        <w:tc>
          <w:tcPr>
            <w:tcW w:w="7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3,191</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1,596</w:t>
            </w: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contract liability</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8"/>
              </w:rPr>
              <w:t>7,220</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8"/>
              </w:rPr>
              <w:t>7,415</w:t>
            </w:r>
          </w:p>
        </w:tc>
      </w:tr>
      <w:tr>
        <w:trPr>
          <w:trHeight w:val="21"/>
        </w:trPr>
        <w:tc>
          <w:tcPr>
            <w:tcW w:w="7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September 30, 2023, the aggregate amount of the transaction price allocated to the remaining performance obligations related to partially completed contracts is $20.5 million, comprised of $13.3 million of subscription fees and $7.2 million of service fees that are deferred. We recognize our subscription fees as revenue over a weighted-average period of 29 months (ranges from 1 month – 36 months) and our service fees as revenue over approximately 14 months.</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September 30, 2022, the aggregate amount of the transaction price allocated to the remaining performance obligations related to partially completed contracts is $21.9 million, comprised of $14.5 million of subscription fees and $7.4 million of service fees that are deferred. We recognize our subscription fees as revenue over a weighted-average period of 41 months (ranges from 3 months – 48 months) and our service fees as revenue over approximately 24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For the three and nine months ended September 30, 2023 and September 30, 2022, we incurred no incremental costs to obtain and/or fulfill contracts with customers.</w:t>
      </w:r>
    </w:p>
    <w:p>
      <w:pPr>
        <w:spacing w:after="0" w:line="14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 and Asset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31313"/>
        </w:rPr>
        <w:t>Apex Crypto</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$9.1 million in Class A common stock payable based on Apex Crypto’s performance in the fourth quarter of 2022, and $12.2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 The Company has since recognized expense of $(0.3) million and $10.1 million during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three and nine months ended September 30, 2023, respectively, to adjust the value of the contingent consideration. The Company’s evaluation of the fair value of the contingent consideration and of the assets acquired and the liabilities assumed is preliminary. Accordingly, the adjustments to record the assets acquired and the liabilities assumed at fair value reflect the best estimates of the Company based on the information currently available and are subject to change once additional analyses are completed.</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following is a preliminary reconciliation of the fair value of consideration transferred in the acquisition to the fair value of the assets acquired and liabilities assumed.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 paid</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working capital and cash</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at transaction close</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9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Estimated fair value of Class A common stock contingent consideration</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30"/>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assets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9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(682.2)</w:t>
            </w: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above fair values are as of the acquisition date. The acquired intangible assets and goodwill required the use of significant unobservable inputs including partner activation forecasts, expectations about customer trading volume and frequency, customer attrition rates, and estimated useful lives of acquired technology and discount rates.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Other assets and liabilities were carried over at their acquired costs which was not materially different than their fair values.</w:t>
      </w:r>
    </w:p>
    <w:p>
      <w:pPr>
        <w:spacing w:after="0" w:line="17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contingent consideration payable in Class A common stock to Apex Crypto's former owners based on the performance of the business in the 2023-2025 annual periods was estimated using a Monte Carlo model given the range of possible outcomes.</w:t>
      </w:r>
    </w:p>
    <w:p>
      <w:pPr>
        <w:spacing w:after="0" w:line="14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Revenue generated by Apex Crypto for the three and nine months ended September 30, 2023 was $191.4 million and $526.7 million, respectively, and is included in the Company's statements of operations. Net loss generated by Apex Crypto for the three and nine months ended September 30, 2023 was $8.4 million and $17.0 million, respectively, and is included in the Company's statements of operations.</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nine months ended September 30, 2023 would be $1,011.0 million. Proforma revenue for the three and nine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8"/>
          <w:szCs w:val="18"/>
          <w:color w:val="auto"/>
        </w:rPr>
        <w:t>months ended September 30, 2022 would be $496.2 million and $2,695.6 million, respectively. Proforma net loss for the nine months ended September 30, 2023 would be $148.3 million. Proforma net loss for the three and nine months ended September 30, 2022 would be $1,601.9 million and $1,675.4 million,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to the acquisition, we changed the name of Apex Crypto to Bakkt Crypto Solutions, LLC ("Bakkt Crypto").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31313"/>
        </w:rPr>
        <w:t>Bumped Financial, LLC</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February 8, 2023, we acquired 100% of the units of Bumped Financial, LLC, which we subsequently renamed Bakkt Brokerage, LLC ("Bakkt Brokerage"), a broker-dealer registered with the SEC and the Financial Industry Regulatory Authority, Inc., for cash consideration of $631,000.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 Net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goodwill consisted of the following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9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Apex acquisition</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50,648</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During the period ended September 30, 2023, we concluded it was more likely than not the fair value of our equity was lower than book basis as of September 30, 2023, and our indefinite-lived intangible assets, long-lived assets and goodwill should be evaluated for impairment as of September 30, 2023. Our conclusion was based on several determinative factors, including the sustained decline in our market capitalization as of September 30, 2023 and failure to achieve our projected growth. We conducted a quantitative test for our various long-lived asset groups, indefinite lived intangible assets and single reporting unit's goodwill. We concluded in the quantitative assessment that the fair value of our loyalty-related customer relationships and developed technology and our trademark/trade name indefinite-lived intangible asset fell below their carrying values as of September 30, 2023 and recorded impairments of $16.6 million, $3.1 million and $3.7 million, respectively. No impairment of the recently acquired Apex Crypto customer-relationships or developed technology was indicated. No goodwill impairment was indicated by the quantitative assessment and no goodwill impairment charges have been recognized in the nine months ended September 30, 2023.</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Our goodwill impairment analyses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crypto trading volumes and our ability to expand to international markets.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2023 and in consultation with third party valuation specialists. We used discount rates that were intended to be commensurate with the risks and uncertainty inherent in our business. Assumptions used, such as forecasted growth rates, capital expenditures, and our cost of capital, were consistent with our internal projections and operating plans as of September 30, 2023.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quantitative impairment analysis for the loyalty-related customer relationships and developed technology intangible asset involved the use of a market approach which estimated the sale value of the asset group associated with the loyalty business. Significant judgments included the scope of the asset group and the hypothetical proceeds associated with the transaction, which are level 3 inputs.</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the royalty rate and the discount rate.</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discount rate used in the valuations described above ranged from 13.5% (used in the loyalty asset group valuations) to 35% (used in the crypto services asset group valuations) The crypto services discount rate increased by approximately 400 basis points from the rate used in the Apex Crypto acquisition described in Note 4 due to the additional uncertainty around our international expansion. The discount rate used in the income approach in the goodwill quantitative test and the valuation of the trademark/tradename indefinite-lived intangible asset was a weighted average 25%.</w:t>
      </w:r>
    </w:p>
    <w:p>
      <w:pPr>
        <w:spacing w:after="0" w:line="17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During the period ended September 30, 2022, we concluded it was more likely than not the fair value of our equity was lower than book basis as of September 30, 2022, and our indefinite-lived intangible assets, long-lived assets and goodwill should be evaluated for impairment as of September 30, 2022. Our conclusion was based on several determinative factors, including the elongated timing for expected crypto product activations and the sustained decline in our market capitalization as of September 30, 2022.</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After assessing the totality of circumstances and giving effect to the indefinite-lived intangible asset impairment described below, as of September 30, 2022 we concluded that the carrying value of our reporting unit exceeded its fair value and recorded a goodwill impairment of $1,389.9 million.</w:t>
      </w:r>
    </w:p>
    <w:p>
      <w:pPr>
        <w:spacing w:after="0" w:line="162"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Our goodwill impairment analysis involved the use of a market approach and an income approach, with equal weighting given to both approaches. The market approach valuation was derived from metrics of publicly traded companies, which are Level 2 inputs. A significant judgment in using the market approach included the selection of comparable businesses with consideration of risk profiles, size, geography, and business operations. Significant assumptions used in the income approach included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 trading volumes and subscription services. The income approach utilized our projected cash flow estimates to determine fair value, which were unobservable, Level 3 inputs. Unobservable inputs are used to measure fair value to the extent that relevant observable inputs are not available. We developed our estimates using the best information available as of September 30, 2022 and in consultation with third party valuation specialists. We used discount rates that were commensurate with the risks and uncertainty inherent in our business. Assumptions used, such as forecasted growth rates, capital expenditures, and our cost of capital, were consistent with our internal projections and operating plans as of September 30, 2022.</w:t>
      </w:r>
    </w:p>
    <w:p>
      <w:pPr>
        <w:spacing w:after="0" w:line="18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During the period ended September 30, 2022, we also concluded that the fair value of our licenses and trademark/trade name indefinite-lived intangible assets fell below their carrying values as of September 30, 2022 and recorded impairments of $131.3 million and $26.5 million, respectively.</w:t>
      </w:r>
    </w:p>
    <w:p>
      <w:pPr>
        <w:spacing w:after="0" w:line="14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impairment analysis for the licenses intangible asset involved the use of an income approach which estimated the value of the in-place licenses as compared to cash flows if the licenses had to be obtained at a delay. Significant judgments used in this analysis were consistent with the inputs used in the income approach for the goodwill impairment analysis and the assumed time to obtain the licenses.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impairment analysis for the trademark/trade name involved the use of a relief from royalty approach, which estimated the value of the stream of payments a market participant would pay to make use of the in-place trade name. Significant judgments in this analysis included forecasted revenue growth rates and the royalty rate.</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discount rate used in the valuations described above was 15.5%, which was 400 basis points higher than the discount rate assumed in the valuation of these intangibles for the VIH Business Combination. The higher discount rate reflected the higher risk-free rate and beta observed as of September 30, 2022 as compared to the October 15, 2021 VIH Business Combination valuation date.</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Our quantitative analysis of long-lived assets involved a comparison of undiscounted cash flows against the carrying value of the related assets which included finite-lived intangible assets and property, plant, and equipment. We concluded no impairment existed for the long-lived assets as of September 30, 2022. Significant judgments in this analysis were consistent with the inputs used in the income approach for the goodwill impairment analysis.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3"/>
                <w:szCs w:val="13"/>
                <w:color w:val="auto"/>
              </w:rPr>
            </w:pPr>
          </w:p>
        </w:tc>
        <w:tc>
          <w:tcPr>
            <w:tcW w:w="132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80" w:type="dxa"/>
            <w:vAlign w:val="bottom"/>
          </w:tcPr>
          <w:p>
            <w:pPr>
              <w:spacing w:after="0"/>
              <w:rPr>
                <w:sz w:val="13"/>
                <w:szCs w:val="13"/>
                <w:color w:val="auto"/>
              </w:rPr>
            </w:pPr>
          </w:p>
        </w:tc>
        <w:tc>
          <w:tcPr>
            <w:tcW w:w="136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tcPr>
          <w:p>
            <w:pPr>
              <w:spacing w:after="0"/>
              <w:rPr>
                <w:sz w:val="19"/>
                <w:szCs w:val="19"/>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(5,558)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Borders>
              <w:bottom w:val="single" w:sz="8" w:color="CCEEFF"/>
            </w:tcBorders>
          </w:tcPr>
          <w:p>
            <w:pPr>
              <w:jc w:val="right"/>
              <w:ind w:right="634"/>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(11,520)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(16,556)</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82,141</w:t>
            </w:r>
          </w:p>
        </w:tc>
        <w:tc>
          <w:tcPr>
            <w:tcW w:w="2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(17,078)</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Pr>
          <w:p>
            <w:pPr>
              <w:spacing w:after="0"/>
              <w:rPr>
                <w:sz w:val="13"/>
                <w:szCs w:val="13"/>
                <w:color w:val="auto"/>
              </w:rPr>
            </w:pPr>
          </w:p>
        </w:tc>
        <w:tc>
          <w:tcPr>
            <w:tcW w:w="13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241,320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39,470</w:t>
            </w:r>
          </w:p>
        </w:tc>
        <w:tc>
          <w:tcPr>
            <w:tcW w:w="26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6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67,310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Borders>
              <w:bottom w:val="single" w:sz="8" w:color="CCEEFF"/>
            </w:tcBorders>
          </w:tcPr>
          <w:p>
            <w:pPr>
              <w:jc w:val="right"/>
              <w:ind w:right="694"/>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44,970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38,163</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393,070</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(310,825)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Amortization of intangible assets for the three and nine months ended September 30, 2023 was $2.6 million and $7.2 million, respectively, and is included in “Depreciation and amortization” in the statements of operations. Amortization of intangible assets for the three and nine months ended September 30, 2022 was $5.5 million and $16.3 million, respectively, and is included in “Depreciation and amortization” in the statements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future amortization for definite-lived intangible assets as of September 30, 2023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30"/>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r>
      <w:tr>
        <w:trPr>
          <w:trHeight w:val="230"/>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10,773</w:t>
            </w:r>
          </w:p>
        </w:tc>
      </w:tr>
      <w:tr>
        <w:trPr>
          <w:trHeight w:val="248"/>
        </w:trPr>
        <w:tc>
          <w:tcPr>
            <w:tcW w:w="9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 xml:space="preserve">Intangible assets include crypto we own, which are accounted for as indefinite-lived intangible assets and are initially measured at cost (under a first-in, first-out basis) under the guidance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These assets are not amortized, but assessed for impairment continually given the volatility of markets for these assets. Impairment exists when the carrying amount exceeds its fair value. The fair value of crypto is determined as the lowest price of executed transactions during the measurement or holding period using the quoted price of the crypto in our principal market. The carrying amount of a crypto asset after its impairment becomes its new cost basis. Impairment losses are not reversible or recoverable and are included in Crypto Costs in the consolidated statement of operations. Impairment losses were not material to the three or nine months ended September 30, 2023. Our owned crypto are typically liquidated on a daily basis during the fulfillment of customer orders and settlement with our liquidity providers. We classify cash flows from crypto within cash flows from operating activities.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Consolidated Balance Sheet Components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6"/>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99"/>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at brokers or dealers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receivable from liquidity providers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25,516</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25,306</w:t>
            </w: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payable and receivable to our liquidity providers are reported net by counterparty when the right of offset exists.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7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3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10,102</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19,744</w:t>
            </w:r>
          </w:p>
        </w:tc>
      </w:tr>
      <w:tr>
        <w:trPr>
          <w:trHeight w:val="21"/>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For the three and nine months ended September 30, 2023, depreciation and amortization expense related to property, equipment and software amounted to $1.4 million and $3.7 million, respectively, of which $0.5 million and $1.2 million, respectively, related to amortization expense of capitalized internal-use software placed in service.</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For the three and nine months ended September 30, 2022, depreciation and amortization expense related to property, equipment and software amounted to $0.9 million and $2.0 million, respectively, of which $0.4 million and $0.7 million, respectively, related to amortization expense of capitalized internal-use software placed in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 with Clearinghouse</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 xml:space="preserve">Total deposits at clearinghouses amounted to $0.2 million and $15.2 million as of September 30, 2023 and December 31, 2022, respectively. Deposits with clearinghouse historically have primarily consisted of the ICE Clear US, Inc. ("ICUS") default resource contribution; however, as described further in Note 8, ICUS returned the contribution on September 29, 2023, as a result of the recent delisting of </w:t>
      </w:r>
      <w:r>
        <w:rPr>
          <w:rFonts w:ascii="Times New Roman" w:cs="Times New Roman" w:eastAsia="Times New Roman" w:hAnsi="Times New Roman"/>
          <w:sz w:val="18"/>
          <w:szCs w:val="18"/>
          <w:color w:val="231F20"/>
        </w:rPr>
        <w:t>Bakkt Bitcoin futures and option contracts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IFUS.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0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9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0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25,975</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clients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Purchasing card payable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revenue share liability</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66,787</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units liability, 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9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Opco common units of 85% of certain net income tax benefits, if any, that we realize (or in certain cases are deemed to realize) as a result of these increases in tax</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September 30, 2023, 22,704,377 Opco common units had been exchanged for Class A common stock. Refer to Note 14 regarding the contingency related to the TRA.</w:t>
      </w:r>
    </w:p>
    <w:p>
      <w:pPr>
        <w:spacing w:after="0" w:line="175"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ICE Management and Technical Support</w:t>
      </w:r>
    </w:p>
    <w:p>
      <w:pPr>
        <w:spacing w:after="0" w:line="25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recognized $0.6 million and $2.2 million of expense related to the ICE TSA for the three and nine months ended September 30, 2023, respectively, which is reflected as “Related party expenses” in the consolidated statements of operations. We recognized $0.3 million and $0.9 million of expense related to the ICE TSA for the three and nine months ended September 30, 2022, respectively, which is reflected as “Related party expenses” in the consolidated statements of operations. As of September 30, 2023 and December 31, 2022, we had $1.6 million and $1.2 million, respectively, reflected as “Due to related party” in the consolidated balance sheets related to the ICE TSA.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Triparty Agreement</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Digital Currency Trading, Clearing, and Warehouse Services Agreement ("Triparty Agreement") provided for IFUS to list for trading one or more digital currency futures and/or options contracts, and for ICUS to serve as the clearing house to provide central counterparty and ancillary services for such contracts.</w:t>
      </w:r>
    </w:p>
    <w:p>
      <w:pPr>
        <w:spacing w:after="0" w:line="16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three and nine months ended September 30, 2023 and September 30, 2022, respectively. The Triparty Agreement also required Bakkt Trust to make, and, subject to certain limits, to replenish as needed a contribution to ICUS, to be used by ICUS in accordance with the ICUS rules. On September 29, 2023, ICUS returned the Company's $15.2 million contribution, and effective October 2, 2023, the parties terminated the Triparty Agreement. The contribution requirement was $15.2 million as of December 31, 2022. The contribution was reflected as “Deposits with clearinghouse” in the consolidated balance sheets.</w:t>
      </w:r>
    </w:p>
    <w:p>
      <w:pPr>
        <w:spacing w:after="0" w:line="17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of September 30, 2023 and December 31, 2022, we had no amount recorded within “Due to related party” in the consolidated balance sheets related to the Triparty Agreement. As of September 30, 2023 and December 31, 2022, we had no amount recorded within “Accounts receivable, net” in the consolidated balance sheets related to the Triparty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Apex Crypto Technical Support</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$0.4 million of expense related to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Apex TSA for the three months ended September 30, 2023, which are reflected as “Related party expenses” in the consolidated statements of operations. As of September 30, 2023, we had approximately $0.2 million reflected as “Due to related party” in the consolidated balance sheets related to the Apex TSA.</w:t>
      </w:r>
    </w:p>
    <w:p>
      <w:pPr>
        <w:spacing w:after="0" w:line="17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September 30, 2023 and December 31, 2022, there were 7,140,808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7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three and nine months ended September 30, 2023, we did not receive any proceeds from the exercise of the public warrants. During the three and nine months ended September 30, 2022, we received less than $0.1 million in proceeds from the exercise of the public warrants. We recognized a loss from the change in fair value of the warrant liability during the three and nine months ended September 30, 2023 of $0.2 million and $0.9 million, respectively. We recognized a gain from the change in fair value of the warrant liability during the three and nine months ended September 30, 2022 of $0.4 million and $13.1 million, respectively.</w:t>
      </w:r>
    </w:p>
    <w:p>
      <w:pPr>
        <w:spacing w:after="0" w:line="187" w:lineRule="exact"/>
        <w:rPr>
          <w:sz w:val="20"/>
          <w:szCs w:val="20"/>
          <w:color w:val="auto"/>
        </w:rPr>
      </w:pPr>
    </w:p>
    <w:p>
      <w:pPr>
        <w:ind w:right="9280" w:firstLine="8"/>
        <w:spacing w:after="0" w:line="542" w:lineRule="auto"/>
        <w:tabs>
          <w:tab w:leader="none" w:pos="319"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Preferred Stock</w:t>
      </w:r>
    </w:p>
    <w:p>
      <w:pPr>
        <w:spacing w:after="0" w:line="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September 30, 2023, no shares of preferred stock have been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authorized to issue 750,000,000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September 30, 2023 and December 31, 2022, there were 91,414,923 and 80,926,843 shares of Class A common stock issued and outstanding,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September 30, 2023, no dividends have been declared.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8"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subject to prior distribution rights of preferred stock or any class or series of stock having a preference over the Class A common stock, then outstanding, if 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We are authorized to issue 250,000,000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three and nine months ended September 30, 2023, there were less than 0.1 million and 0.2 million Paired Interests exchanged for our Class A common stock, and the Company did not elect to settle any such exchanges in cash. As of September 30, 2023 and December 31, 2022, there were 183,249,426 and 183,482,777 shares of Class V common stock issued and outstanding,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will not be declared or paid on the Class V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shall not be entitled to receive any of our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26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Opco as of September 30, 2023 and December 31, 2022.</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336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32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1740" w:type="dxa"/>
            <w:vAlign w:val="bottom"/>
          </w:tcPr>
          <w:p>
            <w:pPr>
              <w:jc w:val="right"/>
              <w:ind w:right="650"/>
              <w:spacing w:after="0" w:line="184" w:lineRule="exact"/>
              <w:rPr>
                <w:sz w:val="20"/>
                <w:szCs w:val="20"/>
                <w:color w:val="auto"/>
              </w:rPr>
            </w:pPr>
            <w:r>
              <w:rPr>
                <w:rFonts w:ascii="Times New Roman" w:cs="Times New Roman" w:eastAsia="Times New Roman" w:hAnsi="Times New Roman"/>
                <w:sz w:val="18"/>
                <w:szCs w:val="18"/>
                <w:b w:val="1"/>
                <w:bCs w:val="1"/>
                <w:color w:val="auto"/>
              </w:rPr>
              <w:t>Opco</w:t>
            </w:r>
          </w:p>
        </w:tc>
        <w:tc>
          <w:tcPr>
            <w:tcW w:w="1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1760" w:type="dxa"/>
            <w:vAlign w:val="bottom"/>
          </w:tcPr>
          <w:p>
            <w:pPr>
              <w:jc w:val="right"/>
              <w:ind w:right="670"/>
              <w:spacing w:after="0" w:line="184" w:lineRule="exact"/>
              <w:rPr>
                <w:sz w:val="20"/>
                <w:szCs w:val="20"/>
                <w:color w:val="auto"/>
              </w:rPr>
            </w:pPr>
            <w:r>
              <w:rPr>
                <w:rFonts w:ascii="Times New Roman" w:cs="Times New Roman" w:eastAsia="Times New Roman" w:hAnsi="Times New Roman"/>
                <w:sz w:val="18"/>
                <w:szCs w:val="18"/>
                <w:b w:val="1"/>
                <w:bCs w:val="1"/>
                <w:color w:val="auto"/>
              </w:rPr>
              <w:t>Opco</w:t>
            </w:r>
          </w:p>
        </w:tc>
        <w:tc>
          <w:tcPr>
            <w:tcW w:w="1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620" w:type="dxa"/>
            <w:vAlign w:val="bottom"/>
            <w:gridSpan w:val="2"/>
            <w:vMerge w:val="continue"/>
          </w:tcPr>
          <w:p>
            <w:pPr>
              <w:spacing w:after="0"/>
              <w:rPr>
                <w:sz w:val="21"/>
                <w:szCs w:val="21"/>
                <w:color w:val="auto"/>
              </w:rPr>
            </w:pP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 held by Bakkt Holdings, Inc.</w:t>
            </w:r>
          </w:p>
        </w:tc>
        <w:tc>
          <w:tcPr>
            <w:tcW w:w="17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91,414,923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80,926,843</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Opco common units held by noncontrolling interest holders</w:t>
            </w:r>
          </w:p>
        </w:tc>
        <w:tc>
          <w:tcPr>
            <w:tcW w:w="1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183,249,426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183,482,777</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Opco common units outstanding</w:t>
            </w: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274,664,349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264,409,620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three and nine months ended September 30, 2023 was 66.5% and 67.4%,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Equity</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Prior to the VIH Business Combination, Opco had three classes of voting units – Class A, Class B and Class C voting units – and incentive units granted under the Opco Incentive Equity Plan (the “Opco Plan”).</w:t>
      </w:r>
    </w:p>
    <w:p>
      <w:pPr>
        <w:spacing w:after="0" w:line="17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the VIH Business Combination,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Class C Warrant</w:t>
      </w:r>
    </w:p>
    <w:p>
      <w:pPr>
        <w:spacing w:after="0" w:line="27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In May, 2020, Opco issued a warrant to a minority investor to purchase 3,603,600 of Opco’s Class C voting units (“Class C Warrant”), at an exercise price of $1.11 per unit. Refer to Note 10 to the consolidated financial statements included in our Form 10-K for additional information.</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VIH Business Combination, the modified warrant units automatically converted into the right to purchase 793,352 Paired Interests in Opco at an exercise price of $5.04 per Paired Interest. As of September 30, 2023, 172,055 modified warrant units have vested but have not been exercised, and the remaining 621,297 warrant units have not vested or been exercised. No expenses were recorded during the three and nine months ended September 30, 2023 and September 30, 2022, since the service conditions were not probable of being met in those periods.</w:t>
      </w:r>
    </w:p>
    <w:p>
      <w:pPr>
        <w:spacing w:after="0" w:line="186" w:lineRule="exact"/>
        <w:rPr>
          <w:sz w:val="20"/>
          <w:szCs w:val="20"/>
          <w:color w:val="auto"/>
        </w:rPr>
      </w:pPr>
    </w:p>
    <w:p>
      <w:pPr>
        <w:ind w:right="7560" w:firstLine="8"/>
        <w:spacing w:after="0" w:line="542" w:lineRule="auto"/>
        <w:tabs>
          <w:tab w:leader="none" w:pos="30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were initially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2021 Incentive Plan was amended to increase by 26,590,466 shares the number of authorized shares of Class A common stock available for issuance for a new total of 52,407,412 shares authorized. No award may vest earlier than the first anniversary of the date of grant, subject to limited exceptions.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three and nine months ended September 30, 2023, we granted 92,820 and 7,783,077 RSUs, respectively, to employees and directors. We did not grant any PSUs to employees or directors during the three months ended September 30, 2023. During the nine months ended September 30, 2023, we granted 673,627 PSUs to employees which represents 100% of the target award. During the three and nine months ended September 30, 2022, we granted 869,589 and 10,162,061 RSUs, respectively, to employees and directors. During the three and nine months ended September 30, 2022, we granted 225,000 and 5,116,984 PSUs, respectively, to employees which represents 100% of the target award.</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recorded $2.7 million and $12.1 million of share-based compensation expense related to RSUs during the three and nine months ended September 30, 2023, respectively. We recorded $4.0 million and $20.7 million of share-based compensation expense related to RSUs during the three and nine months ended September 30, 2022, respectively. We recorded $0.3 million and $2.2 million of share-based compensation expense related to PSUs during the three and nine months ended September 30, 2023, reflecting expected performance relative to PSU performance targets. We recorded $3.6 million and $8.2 million of share-based compensation expense related to PSUs during the three and nine months ended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September 30, 2022, respectively. Share-based compensation expense for both RSUs and PSUs is included in “Compensation and benefits” in the consolidated statements of operations.</w:t>
      </w:r>
    </w:p>
    <w:p>
      <w:pPr>
        <w:spacing w:after="0" w:line="14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Unrecognized compensation expense as of September 30, 2023 and December 31, 2022 was $19.4 million and $29.9 million, respectively, for the RSUs and PSUs. The unrecognized compensation expense as of September 30, 2023 and December 31, 2022 will be recognized over a weighted-average period of 1.57 years and 2.05 years,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The following tables summarize RSU and PSU activity under the 2021 Incentive Plan for the nine months ended September 30, 2023 (in thousands, except per unit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RSUs and</w:t>
            </w:r>
          </w:p>
        </w:tc>
        <w:tc>
          <w:tcPr>
            <w:tcW w:w="100" w:type="dxa"/>
            <w:vAlign w:val="bottom"/>
          </w:tcPr>
          <w:p>
            <w:pPr>
              <w:spacing w:after="0"/>
              <w:rPr>
                <w:sz w:val="16"/>
                <w:szCs w:val="16"/>
                <w:color w:val="auto"/>
              </w:rPr>
            </w:pPr>
          </w:p>
        </w:tc>
        <w:tc>
          <w:tcPr>
            <w:tcW w:w="18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04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RSUs and PSUs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5"/>
                <w:szCs w:val="15"/>
                <w:color w:val="auto"/>
              </w:rPr>
            </w:pPr>
          </w:p>
        </w:tc>
        <w:tc>
          <w:tcPr>
            <w:tcW w:w="16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vMerge w:val="continue"/>
          </w:tcPr>
          <w:p>
            <w:pPr>
              <w:spacing w:after="0"/>
              <w:rPr>
                <w:sz w:val="19"/>
                <w:szCs w:val="19"/>
                <w:color w:val="auto"/>
              </w:rPr>
            </w:pP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80" w:type="dxa"/>
            <w:vAlign w:val="bottom"/>
          </w:tcPr>
          <w:p>
            <w:pPr>
              <w:spacing w:after="0"/>
              <w:rPr>
                <w:sz w:val="19"/>
                <w:szCs w:val="19"/>
                <w:color w:val="auto"/>
              </w:rPr>
            </w:pPr>
          </w:p>
        </w:tc>
        <w:tc>
          <w:tcPr>
            <w:tcW w:w="13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nine months ended September 30, 2023, we recorded $2.3 million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We also recorded reversal of share-based compensation expense of $2.0 million during the nine months ended September 30, 2023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spacing w:after="0" w:line="17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fair value of the RSUs and PSUs used in determining share-based compensation expense is based on the closing price of our common stock on the grant date.</w:t>
      </w:r>
    </w:p>
    <w:p>
      <w:pPr>
        <w:spacing w:after="0" w:line="148"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PSUs provide an opportunity for the recipient to receive a number of shares of our common stock based on various performance metrics. Upon vesting, each performance stock unit equals one share of common stock of the Company. We accrue compensation expense for the PSUs based on our assessment of the probable outcome of the performance conditions. The metrics for PSUs granted during 2022 relate to our performance during fiscal years 2022, 2023 and 2024, as measured against objective performance goals approved by the Board. The actual number of units earned may range from 0% to 150% of the target number of units depending upon achievement of each year's performance goals. PSUs granted in 2022 vest in three equal annual installments, subject to a catch-up provision over the three annual performance targets.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Plan</w:t>
      </w:r>
    </w:p>
    <w:p>
      <w:pPr>
        <w:spacing w:after="0" w:line="21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right to participate in the value of Opco, if any, through either a cash payment or issuance of Class A common stock upon the occurrence of certain events following vesting of the participation units. Because participation units have historically been settled in cash at the Company's discretion, Opco classifies participation units as liability awards on its consolidated balance sheets. Refer to Note 11 to our consolidated financial statements included in our Form 10-K where the modifications to the Opco Plan are described in detail.</w:t>
      </w:r>
    </w:p>
    <w:p>
      <w:pPr>
        <w:spacing w:after="0" w:line="17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the one-year anniversary of the Closing Date and the third tranche will vest on the two-year anniversary of the Closing Date, although under the terms of the Opco Plan, employees who are terminated without cause after the Closing Date will vest in the unvested portion of their awards immediately upon their termination date. There has not been, and will not be, any additional awards made under the Opco Plan following the VIH Business Combination.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 Expense</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Unit-based compensation expense for the three and nine months ended September 30, 2023 and September 30, 2022,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unit</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900" w:type="dxa"/>
            <w:vAlign w:val="bottom"/>
            <w:vMerge w:val="continue"/>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incentive unit</w:t>
            </w: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Participation unit</w:t>
            </w:r>
          </w:p>
        </w:tc>
        <w:tc>
          <w:tcPr>
            <w:tcW w:w="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Unrecognized compensation expense as of September 30, 2023 was $0.1 million for common incentive units. The unrecognized compensation expense will be recognized over a weighted-average period of 0.04 years. There was no unrecognized compensation expense for participation units as of September 30, 2023.</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Unrecognized compensation expense as of December 31, 2022 was $1.4 million for common incentive units. The unrecognized compensation expense will be recognized over a weighted-average period of 0.79 years. There was no unrecognized compensation expense for participation units as of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 Activity</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The following table summarizes common incentive unit activity under the Opco Plan for the nine months ended September 30, 2023 (in thousands, except per unit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5"/>
        </w:trPr>
        <w:tc>
          <w:tcPr>
            <w:tcW w:w="440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vMerge w:val="continue"/>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vMerge w:val="continue"/>
          </w:tcPr>
          <w:p>
            <w:pPr>
              <w:spacing w:after="0"/>
              <w:rPr>
                <w:sz w:val="19"/>
                <w:szCs w:val="19"/>
                <w:color w:val="auto"/>
              </w:rPr>
            </w:pP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19"/>
                <w:szCs w:val="19"/>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1"/>
        </w:trPr>
        <w:tc>
          <w:tcPr>
            <w:tcW w:w="4400" w:type="dxa"/>
            <w:vAlign w:val="bottom"/>
          </w:tcPr>
          <w:p>
            <w:pPr>
              <w:spacing w:after="0"/>
              <w:rPr>
                <w:sz w:val="24"/>
                <w:szCs w:val="24"/>
                <w:color w:val="auto"/>
              </w:rPr>
            </w:pPr>
          </w:p>
        </w:tc>
        <w:tc>
          <w:tcPr>
            <w:tcW w:w="17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4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The following table summarizes common incentive unit activity under the Opco Plan for the nine months ended September 30, 2022 (in thousands, except per unit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5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9"/>
        </w:trPr>
        <w:tc>
          <w:tcPr>
            <w:tcW w:w="438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vMerge w:val="continue"/>
          </w:tcPr>
          <w:p>
            <w:pPr>
              <w:spacing w:after="0"/>
              <w:rPr>
                <w:sz w:val="16"/>
                <w:szCs w:val="16"/>
                <w:color w:val="auto"/>
              </w:rPr>
            </w:pPr>
          </w:p>
        </w:tc>
        <w:tc>
          <w:tcPr>
            <w:tcW w:w="17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40" w:type="dxa"/>
            <w:vAlign w:val="bottom"/>
          </w:tcPr>
          <w:p>
            <w:pPr>
              <w:spacing w:after="0"/>
              <w:rPr>
                <w:sz w:val="16"/>
                <w:szCs w:val="16"/>
                <w:color w:val="auto"/>
              </w:rPr>
            </w:pPr>
          </w:p>
        </w:tc>
        <w:tc>
          <w:tcPr>
            <w:tcW w:w="154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4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vMerge w:val="continue"/>
          </w:tcPr>
          <w:p>
            <w:pPr>
              <w:spacing w:after="0"/>
              <w:rPr>
                <w:sz w:val="19"/>
                <w:szCs w:val="19"/>
                <w:color w:val="auto"/>
              </w:rPr>
            </w:pP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19"/>
                <w:szCs w:val="19"/>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19"/>
                <w:szCs w:val="19"/>
                <w:color w:val="auto"/>
              </w:rPr>
            </w:pP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133,240</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There were no participation units granted during the three and nine months ended September 30, 2023 or September 30, 2022. As of September 30, 2023 and December 31, 2022, the total number of participation units outstanding was 0.2 million and 0.2 million, respectively. The fair value of the participation units as of September 30, 2023 and December 31, 2022 was $0.2 million and $0.3 million, respectively. We did not make any cash payments to settle vested participation units during the three months ended September 30, 2023. We made cash payments of less than $0.1 million to settle vested participation units during the nine months ended September 30, 2023. We did not make any cash payments to settle vested participation units during the three and nine months ended September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conditions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87" w:lineRule="exact"/>
        <w:rPr>
          <w:sz w:val="20"/>
          <w:szCs w:val="20"/>
          <w:color w:val="auto"/>
        </w:rPr>
      </w:pPr>
    </w:p>
    <w:p>
      <w:pPr>
        <w:ind w:left="660" w:hanging="328"/>
        <w:spacing w:after="0"/>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represents the period that a unit is expected to be outstanding.</w:t>
      </w:r>
    </w:p>
    <w:p>
      <w:pPr>
        <w:spacing w:after="0" w:line="252"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14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rate is based on the U.S. Treasury yield curve in effect on the grant date for securities with similar expected terms to the term of Opco’s incentive units.</w:t>
      </w:r>
    </w:p>
    <w:p>
      <w:pPr>
        <w:spacing w:after="0" w:line="14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 Expected dividends is assumed to be zero as Opco has not paid and does not expect to pay cash dividends or non-liquidating distributions.</w:t>
      </w:r>
    </w:p>
    <w:p>
      <w:pPr>
        <w:spacing w:after="0" w:line="14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net loss position. The potentially dilutive securities that would be anti-dilutive due to our net loss are not included in the calculation of diluted net loss per share attributable to controlling interest.</w:t>
      </w:r>
    </w:p>
    <w:p>
      <w:pPr>
        <w:spacing w:after="0" w:line="14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per share computations for net loss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488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19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4"/>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8"/>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(1,592,548)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(1,663,509)</w:t>
            </w:r>
          </w:p>
        </w:tc>
      </w:tr>
      <w:tr>
        <w:trPr>
          <w:trHeight w:val="213"/>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(1,124,416)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(1,184,352)</w:t>
            </w:r>
          </w:p>
        </w:tc>
      </w:tr>
      <w:tr>
        <w:trPr>
          <w:trHeight w:val="212"/>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Bakkt Holdings, Inc. – basic</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(479,157)</w:t>
            </w: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and tax effect attributable to noncontrolling interests</w:t>
            </w:r>
          </w:p>
        </w:tc>
        <w:tc>
          <w:tcPr>
            <w:tcW w:w="4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Bakkt Holdings, Inc. – diluted</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(479,157)</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91,357,858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76,591,676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87,726,210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68,408,530</w:t>
            </w:r>
          </w:p>
        </w:tc>
      </w:tr>
      <w:tr>
        <w:trPr>
          <w:trHeight w:val="219"/>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91,357,858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76,591,676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87,726,210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68,408,530</w:t>
            </w:r>
          </w:p>
        </w:tc>
      </w:tr>
      <w:tr>
        <w:trPr>
          <w:trHeight w:val="270"/>
        </w:trPr>
        <w:tc>
          <w:tcPr>
            <w:tcW w:w="4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6"/>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per share – basic</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0"/>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bl>
    <w:p>
      <w:pPr>
        <w:spacing w:after="0" w:line="31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No shares that are contingently issuable as part of the Bakkt Crypto acquisition have been included in the calculation of diluted EPS as no amounts are payable as of September 30, 2023. The following table summarizes the total potential common shares excluded from diluted loss per common share as their effect would be anti-dilutive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1"/>
        </w:trPr>
        <w:tc>
          <w:tcPr>
            <w:tcW w:w="96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r>
      <w:tr>
        <w:trPr>
          <w:trHeight w:val="23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unvested incentive units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Opco common units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181,125</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204,398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Capital Requirements</w:t>
      </w:r>
    </w:p>
    <w:p>
      <w:pPr>
        <w:spacing w:after="0" w:line="252"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Bakkt Trust </w:t>
      </w:r>
      <w:r>
        <w:rPr>
          <w:rFonts w:ascii="Times New Roman" w:cs="Times New Roman" w:eastAsia="Times New Roman" w:hAnsi="Times New Roman"/>
          <w:sz w:val="18"/>
          <w:szCs w:val="18"/>
          <w:color w:val="auto"/>
        </w:rPr>
        <w:t>is subject to certain regulatory capital requirements imposed by NYDFS. These capital requirements require Bakkt Trust to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greater of a defined positive net worth or the sum of the required percentage established for transmitted assets, cold wallet, and hot wallet custody assets.</w:t>
      </w:r>
    </w:p>
    <w:p>
      <w:pPr>
        <w:spacing w:after="0" w:line="178" w:lineRule="exact"/>
        <w:rPr>
          <w:sz w:val="20"/>
          <w:szCs w:val="20"/>
          <w:color w:val="auto"/>
        </w:rPr>
      </w:pPr>
    </w:p>
    <w:p>
      <w:pPr>
        <w:jc w:val="both"/>
        <w:ind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Bakkt Clearing, LLC ("Bakkt Clearing") </w:t>
      </w:r>
      <w:r>
        <w:rPr>
          <w:rFonts w:ascii="Times New Roman" w:cs="Times New Roman" w:eastAsia="Times New Roman" w:hAnsi="Times New Roman"/>
          <w:sz w:val="18"/>
          <w:szCs w:val="18"/>
          <w:color w:val="auto"/>
        </w:rPr>
        <w:t>was registered as a futures commission merchant (“FCM”) with the Commodity Futures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(“CFTC”) and was a member of the National Futures Association (“NFA”).</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Bakkt Clearing was subject to CFTC Regulation 1.17 and the NFA capital requirements. On May 20, 2022, we withdrew Bakkt Clearing's registration with the CFTC and membership in the NFA, which was effective on June 20, 2022. Accordingly, as of September 30, 2023, Bakkt Clearing was no longer required to maintain capital under the rules described above.</w:t>
      </w:r>
    </w:p>
    <w:p>
      <w:pPr>
        <w:spacing w:after="0" w:line="179"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7"/>
          <w:szCs w:val="17"/>
          <w:b w:val="1"/>
          <w:bCs w:val="1"/>
          <w:color w:val="auto"/>
        </w:rPr>
        <w:t xml:space="preserve">Bakkt Marketplace </w:t>
      </w:r>
      <w:r>
        <w:rPr>
          <w:rFonts w:ascii="Times New Roman" w:cs="Times New Roman" w:eastAsia="Times New Roman" w:hAnsi="Times New Roman"/>
          <w:sz w:val="17"/>
          <w:szCs w:val="17"/>
          <w:color w:val="auto"/>
        </w:rPr>
        <w:t>is required to maintain tangible net worth of a minimum amount. Several states have adopted the Model Money Transmission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Modernization Act ("MMTMA"), which defined tangible net worth as the aggregate assets of a licensee excluding all intangible assets, less liabilities. In addition to the tangible net worth requirement, Bakkt Marketplace is also required to maintain tangible member's equity of a minimum amount, plus the amount of customer funds held in transit since it holds a number of money transmitter licenses </w:t>
      </w:r>
      <w:r>
        <w:rPr>
          <w:rFonts w:ascii="Times New Roman" w:cs="Times New Roman" w:eastAsia="Times New Roman" w:hAnsi="Times New Roman"/>
          <w:sz w:val="17"/>
          <w:szCs w:val="17"/>
          <w:color w:val="0C0C0C"/>
        </w:rPr>
        <w:t>and has a BitLicense from the NYDFS, which subjects it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C0C0C"/>
        </w:rPr>
        <w:t xml:space="preserve">NYDFS’ oversight with respect to such business activities conducted in New York State and with New York residents. </w:t>
      </w:r>
      <w:r>
        <w:rPr>
          <w:rFonts w:ascii="Times New Roman" w:cs="Times New Roman" w:eastAsia="Times New Roman" w:hAnsi="Times New Roman"/>
          <w:sz w:val="17"/>
          <w:szCs w:val="17"/>
          <w:color w:val="000000"/>
        </w:rPr>
        <w:t>Bakkt Marketplace is also required</w:t>
      </w:r>
      <w:r>
        <w:rPr>
          <w:rFonts w:ascii="Times New Roman" w:cs="Times New Roman" w:eastAsia="Times New Roman" w:hAnsi="Times New Roman"/>
          <w:sz w:val="17"/>
          <w:szCs w:val="17"/>
          <w:color w:val="0C0C0C"/>
        </w:rPr>
        <w:t xml:space="preserve"> </w:t>
      </w:r>
      <w:r>
        <w:rPr>
          <w:rFonts w:ascii="Times New Roman" w:cs="Times New Roman" w:eastAsia="Times New Roman" w:hAnsi="Times New Roman"/>
          <w:sz w:val="17"/>
          <w:szCs w:val="17"/>
          <w:color w:val="000000"/>
        </w:rPr>
        <w:t>to maintain positive net worth equal to its wind-down costs, or expected costs associated with the orderly wind-down of the business.</w:t>
      </w:r>
    </w:p>
    <w:p>
      <w:pPr>
        <w:spacing w:after="0" w:line="175"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Bakkt Crypto </w:t>
      </w:r>
      <w:r>
        <w:rPr>
          <w:rFonts w:ascii="Times New Roman" w:cs="Times New Roman" w:eastAsia="Times New Roman" w:hAnsi="Times New Roman"/>
          <w:sz w:val="18"/>
          <w:szCs w:val="18"/>
          <w:color w:val="auto"/>
        </w:rPr>
        <w:t>is also required to maintain tangible net worth of a minimum amount, as defined by the MMTMA. In addition to the tangible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worth requirement, Bakkt Crypto also holds a BitLicense from the NYDFS and a number of money transmitter licenses, for the same licensure and compliance reasons as Bakkt Marketplace, and is required to maintain minimum positive net worth held as cash in excess of the sum of crypto asset requirements and predefined wind-down costs.</w:t>
      </w:r>
    </w:p>
    <w:p>
      <w:pPr>
        <w:spacing w:after="0" w:line="184" w:lineRule="exact"/>
        <w:rPr>
          <w:sz w:val="20"/>
          <w:szCs w:val="20"/>
          <w:color w:val="auto"/>
        </w:rPr>
      </w:pPr>
    </w:p>
    <w:p>
      <w:pPr>
        <w:jc w:val="both"/>
        <w:ind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Bakkt Brokerage </w:t>
      </w:r>
      <w:r>
        <w:rPr>
          <w:rFonts w:ascii="Times New Roman" w:cs="Times New Roman" w:eastAsia="Times New Roman" w:hAnsi="Times New Roman"/>
          <w:sz w:val="18"/>
          <w:szCs w:val="18"/>
          <w:color w:val="auto"/>
        </w:rPr>
        <w:t>is registered as a broker-dealer with the Financial Industry Regulatory Authority and is required to maintain a minimum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net capital. Bakkt Brokerage's net capital requirement is not material.</w:t>
      </w:r>
    </w:p>
    <w:p>
      <w:pPr>
        <w:spacing w:after="0" w:line="17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of September 30, 2023,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sponsor a 401(k) defined contribution plan covering all eligible U.S. employees. Both Company and employee contributions to the 401(k) plan are discretionary. For the three and nine months ended September 30, 2023, we recorded approximately $0.7 million and $2.4 million, respectively, of expenses related to the 401(k) plan, which is included in "Compensation and benefits" in the consolidated statement of operations. For the three and nine months ended September 30, 2022, we recorded approximately $0.8 million and $2.1 million, respectively, of expenses related to the 401(k) plan, which is included in "Compensation and benefits" in the consolidated statement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 is party to a TRA with certain Opco equity holders. As of September 30, 2023,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70"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alleges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w:t>
      </w:r>
    </w:p>
    <w:p>
      <w:pPr>
        <w:spacing w:after="0" w:line="204"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On June 23, 2023, an “opt-out” action related to the foregoing class action was filed against Bakkt Holdings, Inc. and the individuals named in the class action. We intend to vigorously defend against the allegations.</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Purchasing Card Facility</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through our loyalty business, had a purchasing card facility with a bank that we utilized for redemption purchases made from vendors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us to maintain a month-end cash balance of $40.0 million. In January 2021, the purchasing card facility was extended to April 15, 2022 in order to facilitate a long-term agreement on more favorable terms to us. Bakkt Holdings, Inc. served as the guarantor on behalf of our subsidiary under the commercial purchasing card facility. In April 2022, we further extended the maturity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date of the purchasing card 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new purchasing card facility. Total borrowing capacity under the facility is $35.0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December 2021, we entered into a four-year cloud computing arrangement which includes minimum contractual payments due to the third-party provider. During the nine months ended September 30, 2023, we entered into a five-year strategic marketing agreement which required a committed spend. As of September 30, 2023, our outstanding purchase obligations consisted of the following future minimum commitments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5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 of less than 1% for the three and nine months ending September 30, 2023, respectively, differ from statutory rates primarily due to the loss that is not taxed to the Company and the absence of taxable income to realize the Company's net operating losses and other deferred tax assets.</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 of less than 1% for the three and nine months ending September 30, 2022, respectively, differ from statutory rates primarily due to the loss allocated to noncontrolling interest that is not taxed to the Company and the non-deductible fair value gains and losses related to the changes in our warrant liability and nondeductible compensation.</w:t>
      </w:r>
    </w:p>
    <w:p>
      <w:pPr>
        <w:spacing w:after="0" w:line="1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results and tax planning strategies. As of September 30, 2023 and December 31, 2022, the Company believed it was not more likely that not that the net deferred tax assets would be realizable and thus has maintained a full valuation allowance.</w:t>
      </w:r>
    </w:p>
    <w:p>
      <w:pPr>
        <w:spacing w:after="0" w:line="14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September 30, 2023 or December 31,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Financial assets and liabilities that are measured at fair value on a recurring basis are classified as Level 1, Level 2 and Level 3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505,697</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505,697</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528,375</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505,697</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505,697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505,697</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w:t>
            </w: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520,404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505,697</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13,065</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156,854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141,062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16,577</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15,792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Our investments in debt securities consist of U.S. Treasury debt securities held in the custody of a major financial institution. As of September 30, 2023, the Company’s investment in available-for-sale debt securities was determined to be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Level 1 investment based on quoted prices in active markets and was recorded in the consolidated balance sheet at fair value.</w:t>
      </w:r>
    </w:p>
    <w:p>
      <w:pPr>
        <w:spacing w:after="0" w:line="26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fair value of the safeguarding obligation for crypto and the corresponding safeguarding asset for crypto was determined using Level 2 inputs which included using the value of the safeguarded asset determined as the mid-point of a bid-ask spread in the market we determine to be the principal market for the related crypto as of September 30, 2023.</w:t>
      </w:r>
    </w:p>
    <w:p>
      <w:pPr>
        <w:spacing w:after="0" w:line="169"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contingent consideration associated with the acquisition of Bakkt Crypto is valued using Level 3 inputs, which includes a Monte Carlo model. The inputs for the Monte Carlo model included forecasted financial performance of Bakkt Crypto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During the three and nine months ended September 30, 2023, the Company recognized expense of $(0.3) million and $10.1 million, respectively, related to the change in the fair value of the contingent consideration. The change in fair value reflects our current forecasts for the performance of Bakkt Crypto during the earnout period and an estimated gross profit volatility of 78.3%.</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public warrant liability is valued based on quoted prices in active markets and is classified within Level 1.</w:t>
      </w:r>
    </w:p>
    <w:p>
      <w:pPr>
        <w:spacing w:after="0" w:line="25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Company leases real estate for office space under operating leases. On March 15, 2023, we signed an amendment to our Scottsdale, Arizona lease that extended the lease term. The amended lease has a term of 90 months and total fixed lease payments over the term of the amended lease are $5.7 million. During the year ended December 31,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September 30, 2023, we do not have any active finance leases.</w:t>
      </w:r>
    </w:p>
    <w:p>
      <w:pPr>
        <w:spacing w:after="0" w:line="1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real estate leases have remaining lease terms as of September 30, 2023 ranging from 31 months to 108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7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approximately 87 months, and the weighted average discount rate for our operating leases was 5.3%. We were party to short-term leases during the three and nine months ended September 30, 2023, which resulted in less than $0.1 million and $0.1 million of rent expense, respectively. We were party to short-term leases during the three and nine months ended September 30, 2022, which resulted in less than $0.1 million and less than $0.1 million of rent expense,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18. Safeguarding Obligation For Crypto</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provide custody services for Bakkt Crypto's customers and for Bakkt Trust's standalone custody customers. Bakkt Trust also provides custody services for Bakkt Marketplace crypto customers as described in Note 1.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Subcustodians used by Bakkt Crypto hold our customer cryptographic key information and are not permitted to move assets without our specific authorization.</w:t>
      </w:r>
    </w:p>
    <w:p>
      <w:pPr>
        <w:spacing w:after="0" w:line="17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of September 30, 2023, we have a safeguarding obligation for crypto of $505.7 million. The safeguarding liability, and corresponding safeguarding asset for crypto on the balance sheet, are measured at the fair value of the crypto held for our customers. We are not aware of any actual or possible safeguarding loss events as of September 30, 2023. Therefore, the safeguarding obligation for crypto and the related safeguarding asset for crypto are recorded at the same amount.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responsible for holding the following crypto on behalf of our customers as of September 30, 2023 and December 31, 2022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Ether</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505,697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15,792</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70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spacing w:after="0"/>
              <w:rPr>
                <w:sz w:val="20"/>
                <w:szCs w:val="20"/>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505,697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15,792</w:t>
            </w: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Investment in Debt Securities</w:t>
      </w:r>
    </w:p>
    <w:p>
      <w:pPr>
        <w:spacing w:after="0" w:line="270"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We have investments in certain debt securities, which we record at fair value and present as "Available-for-sale securities" in the consolidated balance sheets.</w:t>
      </w:r>
    </w:p>
    <w:p>
      <w:pPr>
        <w:spacing w:after="0" w:line="14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cost basis and fair value of available-for-sale debt securities with unrealized gains and losses included in “Accumulated other comprehensive loss” in the consolidated balance sheets were as follows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4"/>
                <w:szCs w:val="14"/>
                <w:color w:val="auto"/>
              </w:rPr>
            </w:pPr>
          </w:p>
        </w:tc>
        <w:tc>
          <w:tcPr>
            <w:tcW w:w="13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4"/>
                <w:szCs w:val="14"/>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Gains/(Losses),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3"/>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Gains/(Losses),</w:t>
            </w: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60" w:type="dxa"/>
            <w:vAlign w:val="bottom"/>
          </w:tcPr>
          <w:p>
            <w:pPr>
              <w:spacing w:after="0"/>
              <w:rPr>
                <w:sz w:val="21"/>
                <w:szCs w:val="21"/>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debt</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bonds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22,600</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5"/>
              </w:rPr>
              <w:t>141,003</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5"/>
              </w:rPr>
              <w:t>141,003</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169"/>
        </w:trPr>
        <w:tc>
          <w:tcPr>
            <w:tcW w:w="4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Available-for-sale securities in an unrealized loss position</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14"/>
                <w:szCs w:val="14"/>
                <w:color w:val="auto"/>
              </w:rPr>
            </w:pPr>
          </w:p>
        </w:tc>
        <w:tc>
          <w:tcPr>
            <w:tcW w:w="122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4"/>
                <w:szCs w:val="14"/>
                <w:color w:val="auto"/>
              </w:rPr>
            </w:pPr>
          </w:p>
        </w:tc>
        <w:tc>
          <w:tcPr>
            <w:tcW w:w="108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gridSpan w:val="3"/>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debt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bonds: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Less than 12 months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29"/>
        </w:trPr>
        <w:tc>
          <w:tcPr>
            <w:tcW w:w="32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12 months or more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available-for-sale securities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39,574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00" w:hanging="174"/>
        <w:spacing w:after="0"/>
        <w:tabs>
          <w:tab w:leader="none" w:pos="2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Indicates the length of time that individual securities have been in a continuous unrealized loss position.</w:t>
      </w:r>
    </w:p>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unrealized gains on our investments in government debt securities relate to changes in interest rates since the time of purchase. We may sell certain investments depending on liquidity needs of the business; however, it is not likely that we will be required to sell the investments before recovery of their respective amortized cost basis. In addition, there were no credit losses on these investments as of September 30, 2023.</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cost basis and fair value of available-for-sale debt securities at September 30, 2023, by contractual maturity, are shown below (in thousands). Expected maturities may differ from contractual maturities because borrowers may have the right to prepay and creditors may have the right to call obligations.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3"/>
        </w:trPr>
        <w:tc>
          <w:tcPr>
            <w:tcW w:w="8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 - available-for-sale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w:t>
      </w:r>
      <w:r>
        <w:rPr>
          <w:rFonts w:ascii="Times New Roman" w:cs="Times New Roman" w:eastAsia="Times New Roman" w:hAnsi="Times New Roman"/>
          <w:sz w:val="18"/>
          <w:szCs w:val="18"/>
          <w:b w:val="1"/>
          <w:bCs w:val="1"/>
          <w:color w:val="231F20"/>
        </w:rPr>
        <w:t>Subsequent Events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Subsequent to the filing of the Original Form 10-Q, and in connection with the filing of this Amended Form 10-Q, we evaluated our ability to continue as a going concern using the information available to us as of the date of this filing.</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and incurred losses and consumed cash through the date of this filing in excess of our budgets, due to increased cash utilization in operations and lower realization of actual revenues.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has raised substantial doubt about our ability to continue as a going concern.</w:t>
      </w:r>
    </w:p>
    <w:p>
      <w:pPr>
        <w:spacing w:after="0" w:line="17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We do not believe that our cash, short-term securities, and restricted cash are sufficient to fund our operations for the next 12 months, without raising additional capital in 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cannot conclude that it is probable we will be able to increase revenues substantially beyond levels that we have attained in the past in order to generate sustainable operating profit to continue doing business, and, as a result, we have concluded these plans do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20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Moreover, our growth plan includes marketing expense to incentivize clients with whom we develop partnerships to market our platform to their customers, which we expect would accelerate customer adoption of our platform and lower our overall customer acquisition cost.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19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19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19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reduction in a loss of transacting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1" w:name="page42"/>
    <w:bookmarkEnd w:id="41"/>
    <w:p>
      <w:pPr>
        <w:jc w:val="both"/>
        <w:spacing w:after="0" w:line="329" w:lineRule="auto"/>
        <w:rPr>
          <w:sz w:val="20"/>
          <w:szCs w:val="20"/>
          <w:color w:val="auto"/>
        </w:rPr>
      </w:pPr>
      <w:r>
        <w:rPr>
          <w:rFonts w:ascii="Times New Roman" w:cs="Times New Roman" w:eastAsia="Times New Roman" w:hAnsi="Times New Roman"/>
          <w:sz w:val="18"/>
          <w:szCs w:val="18"/>
          <w:color w:val="auto"/>
        </w:rPr>
        <w:t>accounts, transaction volume and revenue attributable to customers generated from that client relationship, and our business, financial condition, results of operations and future prospects would be materially and adversely affected.</w:t>
      </w:r>
    </w:p>
    <w:p>
      <w:pPr>
        <w:spacing w:after="0" w:line="14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Additionally, certain terms of our partner agreements remain subject to further discussion and refinement before they can be implemented, including the potential products and services to bring to market. Our ability to realize the intended benefits of these partnerships will depend on our ability to finalize such agreements, for such products and services, and to do so on terms sufficiently favorable to us. While we continue to negotiate partnership terms, we may be unable to agree to terms with such clients on commercially advantageous terms or at all, which may adversely affect our business and prospects.</w:t>
      </w:r>
    </w:p>
    <w:p>
      <w:pPr>
        <w:spacing w:after="0" w:line="19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Furthermore, our ability to retain existing, or obtain new, partners and customers may be impacted to the extent that clients choose not to partner with us, or customers choose not to transact or to engage in fewer transactions on our platform, in each case, because we do not currently offer or plan to cease offering certain crypto assets. For example, Bakkt has delisted or determined to delist a substantial majority of the crypto assets that had historically been available for trading on the Bakkt Crypto platform. The decision to delist those crypto assets has impacted, and may in the future further impact, our revenues as additional crypto assets are delisted and may impact the expected synergies and benefits from the Bakkt Crypto acquisition. If partners do not engage with us, or if customers choose not to transact or make fewer transactions on our platform, as a result of the decision to delist those crypto assets or our decision not to offer other crypto assets, our revenues will be adversely impacted.</w:t>
      </w:r>
    </w:p>
    <w:p>
      <w:pPr>
        <w:spacing w:after="0" w:line="18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Any of the foregoing could, among other things, adversely impact our stock price, make us less competitive compared to our peers and otherwise significantly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Excessive redemptions or withdrawals, or a suspension of redemptions or withdrawals, of crypto assets could adversely impact our business.</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have procedures to process redemptions and withdrawals promptly in accordance with the terms of the applicable user agreements. Although we have not experienced excessive redemptions or withdrawals, or suspensions of redemptions or withdrawals, of crypto assets to date, we could experience process-related withdrawal or redemption delays in the future if there were to be a significant and unexpected volume of withdrawal or redemption requests.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may be difficult to identify. We may not realize the anticipated benefits of past or future investments, strategic transactions or acquisitions, including our acquisition of Apex Crypto, and integration of these acquisitions may pose integration challenges, divert the attention of management, disrupt our business, dilute stockholder value or otherwise adversely affect our business, financial condition and results of operations.</w:t>
      </w:r>
    </w:p>
    <w:p>
      <w:pPr>
        <w:spacing w:after="0" w:line="20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 For example, on April 1, 2023, we consummated our agreement to acquire all of the membership interests of Apex Crypto, which we have since renamed Bakkt Crypto.</w:t>
      </w:r>
    </w:p>
    <w:p>
      <w:pPr>
        <w:spacing w:after="0" w:line="16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including the acquisition of Bakkt Crypto, and these transactions involve numerous risks that are not within our control. These risks include the following, among others:</w:t>
      </w:r>
    </w:p>
    <w:p>
      <w:pPr>
        <w:spacing w:after="0" w:line="40" w:lineRule="exact"/>
        <w:rPr>
          <w:sz w:val="20"/>
          <w:szCs w:val="20"/>
          <w:color w:val="auto"/>
        </w:rPr>
      </w:pPr>
    </w:p>
    <w:p>
      <w:pPr>
        <w:ind w:left="380" w:firstLine="6"/>
        <w:spacing w:after="0" w:line="329" w:lineRule="auto"/>
        <w:tabs>
          <w:tab w:leader="none" w:pos="6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the requisite regulatory approvals necessary to consummate the transaction the acquisition, or to integrate the acquired business with our own;</w:t>
      </w:r>
    </w:p>
    <w:p>
      <w:pPr>
        <w:spacing w:after="0" w:line="53"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systems, and personnel of the acquired business;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our current products and technologies;</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144" w:lineRule="exact"/>
        <w:rPr>
          <w:rFonts w:ascii="Times New Roman" w:cs="Times New Roman" w:eastAsia="Times New Roman" w:hAnsi="Times New Roman"/>
          <w:sz w:val="18"/>
          <w:szCs w:val="18"/>
          <w:color w:val="auto"/>
        </w:rPr>
      </w:pPr>
    </w:p>
    <w:p>
      <w:pPr>
        <w:ind w:left="380" w:firstLine="6"/>
        <w:spacing w:after="0" w:line="329" w:lineRule="auto"/>
        <w:tabs>
          <w:tab w:leader="none" w:pos="6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distraction of our management and employees from other opportunities and challenges due to integration issues;</w:t>
      </w:r>
    </w:p>
    <w:p>
      <w:pPr>
        <w:spacing w:after="0" w:line="40"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business’s accounting, management information and other administrative systems;</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clients of the acquired business;</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our results of operations;</w:t>
      </w:r>
    </w:p>
    <w:p>
      <w:pPr>
        <w:spacing w:after="0" w:line="157" w:lineRule="exact"/>
        <w:rPr>
          <w:rFonts w:ascii="Times New Roman" w:cs="Times New Roman" w:eastAsia="Times New Roman" w:hAnsi="Times New Roman"/>
          <w:sz w:val="18"/>
          <w:szCs w:val="18"/>
          <w:color w:val="auto"/>
        </w:rPr>
      </w:pPr>
    </w:p>
    <w:p>
      <w:pPr>
        <w:ind w:left="380" w:right="20" w:firstLine="6"/>
        <w:spacing w:after="0" w:line="313" w:lineRule="auto"/>
        <w:tabs>
          <w:tab w:leader="none" w:pos="6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6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post-acquisition investments which may lower the actual benefits realized through the acquisition;</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the due diligence process to identify significant issues with product quality, legal, and financial liabilities among other things;</w:t>
      </w:r>
    </w:p>
    <w:p>
      <w:pPr>
        <w:spacing w:after="0" w:line="4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assert that internal controls over financial reporting are effective.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the acquisition of Bakkt Crypto presents risks to our business, including because:</w:t>
      </w:r>
    </w:p>
    <w:p>
      <w:pPr>
        <w:spacing w:after="0" w:line="158" w:lineRule="exact"/>
        <w:rPr>
          <w:sz w:val="20"/>
          <w:szCs w:val="20"/>
          <w:color w:val="auto"/>
        </w:rPr>
      </w:pPr>
    </w:p>
    <w:p>
      <w:pPr>
        <w:ind w:left="660" w:hanging="27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legacy clients of Apex Crypto, and expand those relationships, is a key growth driver for us;</w:t>
      </w:r>
    </w:p>
    <w:p>
      <w:pPr>
        <w:spacing w:after="0" w:line="144" w:lineRule="exact"/>
        <w:rPr>
          <w:rFonts w:ascii="Times New Roman" w:cs="Times New Roman" w:eastAsia="Times New Roman" w:hAnsi="Times New Roman"/>
          <w:sz w:val="18"/>
          <w:szCs w:val="18"/>
          <w:color w:val="auto"/>
        </w:rPr>
      </w:pPr>
    </w:p>
    <w:p>
      <w:pPr>
        <w:ind w:left="380" w:firstLine="6"/>
        <w:spacing w:after="0" w:line="329" w:lineRule="auto"/>
        <w:tabs>
          <w:tab w:leader="none" w:pos="6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process of replacing and/or augmenting many of our existing systems and relationships (e.g., agreements with crypto liquidity providers) with those historically used by Apex Crypto;</w:t>
      </w:r>
    </w:p>
    <w:p>
      <w:pPr>
        <w:spacing w:after="0" w:line="40"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be able to accommodate the significantly increased volume on our platform;</w:t>
      </w:r>
    </w:p>
    <w:p>
      <w:pPr>
        <w:spacing w:after="0" w:line="157" w:lineRule="exact"/>
        <w:rPr>
          <w:rFonts w:ascii="Times New Roman" w:cs="Times New Roman" w:eastAsia="Times New Roman" w:hAnsi="Times New Roman"/>
          <w:sz w:val="18"/>
          <w:szCs w:val="18"/>
          <w:color w:val="auto"/>
        </w:rPr>
      </w:pPr>
    </w:p>
    <w:p>
      <w:pPr>
        <w:jc w:val="both"/>
        <w:ind w:left="380" w:firstLine="6"/>
        <w:spacing w:after="0" w:line="305" w:lineRule="auto"/>
        <w:tabs>
          <w:tab w:leader="none" w:pos="6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integration of the Bakkt Crypto business—which includes, among other things, merging legal entities, eliminating duplicative licenses, and adjusting the amount of regulatory capital associated therewith—remains subject to regulatory approval, the delay of which extends the timeline for our recognition of the full benefits of the transaction;</w:t>
      </w:r>
    </w:p>
    <w:p>
      <w:pPr>
        <w:spacing w:after="0" w:line="61" w:lineRule="exact"/>
        <w:rPr>
          <w:rFonts w:ascii="Times New Roman" w:cs="Times New Roman" w:eastAsia="Times New Roman" w:hAnsi="Times New Roman"/>
          <w:sz w:val="18"/>
          <w:szCs w:val="18"/>
          <w:color w:val="auto"/>
        </w:rPr>
      </w:pPr>
    </w:p>
    <w:p>
      <w:pPr>
        <w:ind w:left="380" w:firstLine="6"/>
        <w:spacing w:after="0" w:line="329" w:lineRule="auto"/>
        <w:tabs>
          <w:tab w:leader="none" w:pos="6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increased liability and/or regulatory risk from the list of additional crypto assets on our platform and from the pre-acquisition activities of Bakkt Crypto, even after we elected to delist certain of the crypto assets on the Bakkt Crypto platform; and</w:t>
      </w:r>
    </w:p>
    <w:p>
      <w:pPr>
        <w:spacing w:after="0" w:line="40" w:lineRule="exact"/>
        <w:rPr>
          <w:rFonts w:ascii="Times New Roman" w:cs="Times New Roman" w:eastAsia="Times New Roman" w:hAnsi="Times New Roman"/>
          <w:sz w:val="18"/>
          <w:szCs w:val="18"/>
          <w:color w:val="auto"/>
        </w:rPr>
      </w:pPr>
    </w:p>
    <w:p>
      <w:pPr>
        <w:ind w:left="380" w:right="20" w:firstLine="6"/>
        <w:spacing w:after="0" w:line="329" w:lineRule="auto"/>
        <w:tabs>
          <w:tab w:leader="none" w:pos="6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relationship with Apex Clearing Corporation that is a part of the acquisition is a key growth driver for us, but that relationship may not produce the benefits that we envision.</w:t>
      </w:r>
    </w:p>
    <w:p>
      <w:pPr>
        <w:spacing w:after="0" w:line="14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common stock could decline. For example, under the purchase agreement for the acquisition of Apex Crypto, we agreed to pay or issue an aggregate of $200 million in cash and/or common stock as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3" w:name="page44"/>
    <w:bookmarkEnd w:id="43"/>
    <w:p>
      <w:pPr>
        <w:jc w:val="both"/>
        <w:spacing w:after="0" w:line="329" w:lineRule="auto"/>
        <w:rPr>
          <w:sz w:val="20"/>
          <w:szCs w:val="20"/>
          <w:color w:val="auto"/>
        </w:rPr>
      </w:pPr>
      <w:r>
        <w:rPr>
          <w:rFonts w:ascii="Times New Roman" w:cs="Times New Roman" w:eastAsia="Times New Roman" w:hAnsi="Times New Roman"/>
          <w:sz w:val="18"/>
          <w:szCs w:val="18"/>
          <w:color w:val="auto"/>
        </w:rPr>
        <w:t>contingent consideration in respect of Bakkt Crypto achieving certain financial targets through 2025. Through November 13, 2023, we have delivered approximately $9.1 million of shares of Class A common stock in respect of such obligations.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safeguard and manage our customers’ crypto could adversely impact our business, operating results, and financial condition.</w:t>
      </w:r>
    </w:p>
    <w:p>
      <w:pPr>
        <w:spacing w:after="0" w:line="24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In our capacity as a crypto custodian, our platform holds crypto for individual and institutional customers, and buys, sells, sends and receives crypto to fulfill buy and sell orders of such customers. Specifically, Bakkt Trust Company LLC (“Bakkt Trust”) provides custody services to customers of Bakkt Marketplace and to its own institutional customers with respect to all crypto assets which we support for trading. In addition, Bakkt Crypto provides custodial services that support the crypto tokens offered on the consumer platform through both third-party providers of custodial services and self-custody through. the Fireblocks Vault service. Should we or one of our third-party custodians fail to implement or maintain the policies, procedures and controls necessary to secure the custody of the crypto assets entrusted to us by our customers in full compliance with applicable law and regulation, the Company could suffer reputational harm and/or significant financial losses; face litigation or regulatory enforcement action potentially leading to significant fines, penalties, and additional restrictions; and see its customers discontinue or reduce their use of our and our partners’ products. Any of these occurrences could adversely impact our business, operating results, and financial condition.</w:t>
      </w:r>
    </w:p>
    <w:p>
      <w:pPr>
        <w:spacing w:after="0" w:line="19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regard the crypto assets that we hold in custody for customers as the property of those customers, who benefit from the rewards and bear the risks associated with their ownership, and we believe that customer crypto assets, consistent with the nature and terms of the services we offer and applicable law, would not be made available to satisfy the claims of our general creditors in the event of our bankruptcy. In addition, since the acquisition of Bakkt Crypto, we have utilized the services of third-party custodians to hold crypto assets in custody for the benefit of Bakkt Crypto customers. These third-party custodians maintain their own bankruptcy protection procedures and contractual protections designed with the goal that the crypto assets held in custody by these third-party custodians would not be made available to satisfy the claims of such custodian’s general creditors in the event of bankruptcy. However, insolvency law is not fully developed with respect to the holding of crypto assets in custodial arrangements and continues to develop. As a result, there is a risk that crypto assets held in custody could be considered to be the property of a bankruptcy estate in the event of a bankruptcy, and that the crypto assets held in custody on behalf of our customers could be subject to bankruptcy proceedings and such customers could be treated as general unsecured creditors. This prospect may result in customers finding our custodial services more risky and less attractive.</w:t>
      </w:r>
    </w:p>
    <w:p>
      <w:pPr>
        <w:spacing w:after="0" w:line="18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Both Bakkt Trust and Bakkt Crypto use omnibus wallets to hold crypto assets belonging to the Company as well as crypto assets held for the benefit of and on behalf of customers. The balances of Bakkt Crypto-owned assets in such wallets are de minimis and are maintained solely to facilitate customer transactions, such as by funding the payment of transfer fees and addressing rounding conventions and trade errors. Although the Company maintains detailed internal ledgers recording the ownership of crypto assets held in Company-controlled omnibus wallets, the use of omnibus wallets could complicate the disposition or treatment of customer crypto assets in the event of our bankruptcy, including by increasing the risk that crypto assets held in the omnibus wallets are considered to be the property of our bankruptcy estate.</w:t>
      </w:r>
    </w:p>
    <w:p>
      <w:pPr>
        <w:spacing w:after="0" w:line="17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Further, on March 31, 2022, the SEC issued Staff Accounting Bulletin No. 121, which represents a significant change regarding how a company safeguarding crypto held for its platform users reports such crypto on its balance sheet. Any future changes in U.S. generally accepted accounting principles (“GAAP”) that require us to change the manner in which we account for our crypto held for our customers could have a material adverse effect on our financial results and the market price of our securities.</w:t>
      </w:r>
    </w:p>
    <w:p>
      <w:pPr>
        <w:spacing w:after="0" w:line="171" w:lineRule="exact"/>
        <w:rPr>
          <w:sz w:val="20"/>
          <w:szCs w:val="20"/>
          <w:color w:val="auto"/>
        </w:rPr>
      </w:pPr>
    </w:p>
    <w:p>
      <w:pPr>
        <w:jc w:val="both"/>
        <w:ind w:right="20" w:firstLine="648"/>
        <w:spacing w:after="0" w:line="33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Risks Related to Risk Management and Financial Reporting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Future changes in financial accounting standards may significantly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reported results of operations.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4" w:name="page45"/>
    <w:bookmarkEnd w:id="44"/>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business is subject to laws, rules, regulations, policies and legal interpretations in the markets in which we operate, including, but not limited to, those governing money transmission, crypto asset business activity, consumer protection, anti-money laundering, counter-terrorist financing, privacy and data protection, cybersecurity, economic and trade sanctions, commodities, derivatives, and securities.</w:t>
      </w:r>
    </w:p>
    <w:p>
      <w:pPr>
        <w:spacing w:after="0" w:line="18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each of Bakkt Marketplace and Bakkt Crypto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each of Bakkt Marketplace and Bakkt Crypto is subject to reporting requirements, restrictions with respect to the investment of consumer funds, bonding requirements and inspection by state regulatory agencies.</w:t>
      </w:r>
    </w:p>
    <w:p>
      <w:pPr>
        <w:spacing w:after="0" w:line="192"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As we expand our business activities, both as to the products and services offered and into jurisdictions beyond the United States, including as a result of the Bakkt Crypto acquisition,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 practices. Our failure to successfully manage regulatory risks could harm our international operations and have an adverse effect on our business, operating results, and financial condition.</w:t>
      </w:r>
    </w:p>
    <w:p>
      <w:pPr>
        <w:spacing w:after="0" w:line="19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we expand our international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crypto asset platforms over time, such as by requiring crypto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18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p>
    <w:p>
      <w:pPr>
        <w:spacing w:after="0" w:line="18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Significant parts of our business, such as our product and service offerings involving crypto, are subject to uncertain and/or evolving regulatory regimes. As crypto has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crypto platforms and the crypto industry. Legislation, regulations and enforcement actions applicable to crypto in the United States include, but are not limited to the following:</w:t>
      </w:r>
    </w:p>
    <w:p>
      <w:pPr>
        <w:spacing w:after="0" w:line="83" w:lineRule="exact"/>
        <w:rPr>
          <w:sz w:val="20"/>
          <w:szCs w:val="20"/>
          <w:color w:val="auto"/>
        </w:rPr>
      </w:pPr>
    </w:p>
    <w:p>
      <w:pPr>
        <w:jc w:val="both"/>
        <w:ind w:left="380" w:firstLine="6"/>
        <w:spacing w:after="0" w:line="305" w:lineRule="auto"/>
        <w:tabs>
          <w:tab w:leader="none" w:pos="6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SEC initiated lawsuits against certain crypto asset exchanges, including Bittrex, Coinbase, Binance, and Kraken alleging among other things that those entities operated as unregistered national securities exchanges, unregistered broker-dealers and unregistered clearing agencies and alleging that certain crypto assets available on their platforms are securities.</w:t>
      </w:r>
    </w:p>
    <w:p>
      <w:pPr>
        <w:spacing w:after="0" w:line="61"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Commodity Futures Trading Commission (“CFTC”) staff has publicly taken the position that certain crypto assets are commodities, and as</w:t>
      </w:r>
    </w:p>
    <w:p>
      <w:pPr>
        <w:spacing w:after="0" w:line="49" w:lineRule="exact"/>
        <w:rPr>
          <w:rFonts w:ascii="Times New Roman" w:cs="Times New Roman" w:eastAsia="Times New Roman" w:hAnsi="Times New Roman"/>
          <w:sz w:val="18"/>
          <w:szCs w:val="18"/>
          <w:color w:val="auto"/>
        </w:rPr>
      </w:pPr>
    </w:p>
    <w:p>
      <w:pPr>
        <w:jc w:val="both"/>
        <w:ind w:left="3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61"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CFTC won a default judgment against Ooki DAO, a decentralized autonomous organization that the CFTC charged with</w:t>
      </w:r>
    </w:p>
    <w:p>
      <w:pPr>
        <w:spacing w:after="0" w:line="49" w:lineRule="exact"/>
        <w:rPr>
          <w:rFonts w:ascii="Times New Roman" w:cs="Times New Roman" w:eastAsia="Times New Roman" w:hAnsi="Times New Roman"/>
          <w:sz w:val="18"/>
          <w:szCs w:val="18"/>
          <w:color w:val="auto"/>
        </w:rPr>
      </w:pPr>
    </w:p>
    <w:p>
      <w:pPr>
        <w:jc w:val="both"/>
        <w:ind w:left="3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 illegal trading platform and unlawfully offering leveraged and margined retail commodity transactions in crypto assets outside of a registered exchange, unlawfully acting as a Futures Commission Merchant (FCM), and unlawfully failing to comply with Bank Secrecy Act obligations applicable to FCMs.</w:t>
      </w:r>
    </w:p>
    <w:p>
      <w:pPr>
        <w:spacing w:after="0" w:line="61"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a court in the Southern District of New York held that Ripple’s sales of XRP to sophisticated investors pursuant to written contracts</w:t>
      </w:r>
    </w:p>
    <w:p>
      <w:pPr>
        <w:spacing w:after="0" w:line="49" w:lineRule="exact"/>
        <w:rPr>
          <w:rFonts w:ascii="Times New Roman" w:cs="Times New Roman" w:eastAsia="Times New Roman" w:hAnsi="Times New Roman"/>
          <w:sz w:val="18"/>
          <w:szCs w:val="18"/>
          <w:color w:val="auto"/>
        </w:rPr>
      </w:pPr>
    </w:p>
    <w:p>
      <w:pPr>
        <w:ind w:lef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constitute the unregistered offer and sale of investment contracts while sales of XRP to purchasers through blind bid/ask transactions on crypto asset exchanges did not constitute the sale of unregistered securities.</w:t>
      </w:r>
    </w:p>
    <w:p>
      <w:pPr>
        <w:spacing w:after="0" w:line="67" w:lineRule="exact"/>
        <w:rPr>
          <w:rFonts w:ascii="Times New Roman" w:cs="Times New Roman" w:eastAsia="Times New Roman" w:hAnsi="Times New Roman"/>
          <w:sz w:val="18"/>
          <w:szCs w:val="18"/>
          <w:color w:val="auto"/>
        </w:rPr>
      </w:pPr>
    </w:p>
    <w:p>
      <w:pPr>
        <w:ind w:left="380" w:firstLine="6"/>
        <w:spacing w:after="0" w:line="313" w:lineRule="auto"/>
        <w:tabs>
          <w:tab w:leader="none" w:pos="6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2023, a different court in the Southern District of New York held that the SEC had asserted a plausible claim that certain inter-related crypto assets offered by Terraform Labs qualified as investment contracts.</w:t>
      </w:r>
    </w:p>
    <w:p>
      <w:pPr>
        <w:spacing w:after="0" w:line="67" w:lineRule="exact"/>
        <w:rPr>
          <w:rFonts w:ascii="Times New Roman" w:cs="Times New Roman" w:eastAsia="Times New Roman" w:hAnsi="Times New Roman"/>
          <w:sz w:val="18"/>
          <w:szCs w:val="18"/>
          <w:color w:val="auto"/>
        </w:rPr>
      </w:pPr>
    </w:p>
    <w:p>
      <w:pPr>
        <w:ind w:left="380" w:right="20" w:firstLine="6"/>
        <w:spacing w:after="0" w:line="329" w:lineRule="auto"/>
        <w:tabs>
          <w:tab w:leader="none" w:pos="6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CFTC issued orders and simultaneously filed and settled charges against Opyn, Inc., ZeroEx, Inc., and Deridex, Inc., alleging that each had offered users the ability to trade crypto asset derivatives without registering with the CFTC as one or more regulated entities.</w:t>
      </w:r>
    </w:p>
    <w:p>
      <w:pPr>
        <w:spacing w:after="0" w:line="40"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Congress has expressed the need for both greater federal oversight of the crypto industry and comprehensive crypto asset legislation. In</w:t>
      </w:r>
    </w:p>
    <w:p>
      <w:pPr>
        <w:spacing w:after="0" w:line="49" w:lineRule="exact"/>
        <w:rPr>
          <w:rFonts w:ascii="Times New Roman" w:cs="Times New Roman" w:eastAsia="Times New Roman" w:hAnsi="Times New Roman"/>
          <w:sz w:val="18"/>
          <w:szCs w:val="18"/>
          <w:color w:val="auto"/>
        </w:rPr>
      </w:pPr>
    </w:p>
    <w:p>
      <w:pPr>
        <w:jc w:val="both"/>
        <w:ind w:left="3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2023, a bill was introduced in the U.S. House of Representatives that would place certain crypto assets under SEC oversight, while placing others that qualify as commodities, under the jurisdiction of the CFTC. Under the draft bill, whether a particularly crypto asset is as a security or</w:t>
      </w:r>
    </w:p>
    <w:p>
      <w:pPr>
        <w:spacing w:after="0" w:line="1" w:lineRule="exact"/>
        <w:rPr>
          <w:rFonts w:ascii="Times New Roman" w:cs="Times New Roman" w:eastAsia="Times New Roman" w:hAnsi="Times New Roman"/>
          <w:sz w:val="18"/>
          <w:szCs w:val="18"/>
          <w:color w:val="auto"/>
        </w:rPr>
      </w:pPr>
    </w:p>
    <w:p>
      <w:pPr>
        <w:ind w:left="38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would depend, among other things, on how decentralized its underlying blockchain is. The bill would also require crypto asset intermediaries, such as certain of our subsidiaries, to register with and be regulated by the CFTC, the SEC or both.</w:t>
      </w:r>
    </w:p>
    <w:p>
      <w:pPr>
        <w:spacing w:after="0" w:line="67" w:lineRule="exact"/>
        <w:rPr>
          <w:rFonts w:ascii="Times New Roman" w:cs="Times New Roman" w:eastAsia="Times New Roman" w:hAnsi="Times New Roman"/>
          <w:sz w:val="18"/>
          <w:szCs w:val="18"/>
          <w:color w:val="auto"/>
        </w:rPr>
      </w:pPr>
    </w:p>
    <w:p>
      <w:pPr>
        <w:jc w:val="both"/>
        <w:ind w:left="380" w:firstLine="6"/>
        <w:spacing w:after="0" w:line="289" w:lineRule="auto"/>
        <w:tabs>
          <w:tab w:leader="none" w:pos="6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regulators, such as NYDFS, have created or are in the process of creating new regulatory frameworks with respect to crypto. For example, in 2015, the State of New York adopted the “BitLicense,” the first U.S. regulatory framework for licensing participants in crypto business</w:t>
      </w:r>
    </w:p>
    <w:p>
      <w:pPr>
        <w:spacing w:after="0" w:line="1" w:lineRule="exact"/>
        <w:rPr>
          <w:rFonts w:ascii="Times New Roman" w:cs="Times New Roman" w:eastAsia="Times New Roman" w:hAnsi="Times New Roman"/>
          <w:sz w:val="18"/>
          <w:szCs w:val="18"/>
          <w:color w:val="auto"/>
        </w:rPr>
      </w:pPr>
    </w:p>
    <w:p>
      <w:pPr>
        <w:jc w:val="both"/>
        <w:ind w:left="3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activity. Each of Bakkt Marketplace and Bakkt Crypto currently operates under a BitLicense. On January 25, 2023, NYDFS released guidance regarding crypto custody practices, providing that a “virtual currency entity custodian” must: (1) separately account for and segregate customer assets</w:t>
      </w:r>
    </w:p>
    <w:p>
      <w:pPr>
        <w:spacing w:after="0" w:line="1" w:lineRule="exact"/>
        <w:rPr>
          <w:rFonts w:ascii="Times New Roman" w:cs="Times New Roman" w:eastAsia="Times New Roman" w:hAnsi="Times New Roman"/>
          <w:sz w:val="18"/>
          <w:szCs w:val="18"/>
          <w:color w:val="auto"/>
        </w:rPr>
      </w:pPr>
    </w:p>
    <w:p>
      <w:pPr>
        <w:jc w:val="both"/>
        <w:ind w:left="3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proprietary assets, (2) take possession of customer assets only for the limited purpose of carrying out custody and safekeeping services, (3) request approval before implementing any sub-custody arrangements, and (4) provide adequate disclosure to customers. In addition, Louisiana has adopted a virtual currency regulation, effective as of January 1, 2023, which requires operators of virtual currency businesses to obtain a virtual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46" w:name="page47"/>
    <w:bookmarkEnd w:id="46"/>
    <w:p>
      <w:pPr>
        <w:jc w:val="both"/>
        <w:ind w:left="380"/>
        <w:spacing w:after="0" w:line="297" w:lineRule="auto"/>
        <w:rPr>
          <w:sz w:val="20"/>
          <w:szCs w:val="20"/>
          <w:color w:val="auto"/>
        </w:rPr>
      </w:pPr>
      <w:r>
        <w:rPr>
          <w:rFonts w:ascii="Times New Roman" w:cs="Times New Roman" w:eastAsia="Times New Roman" w:hAnsi="Times New Roman"/>
          <w:sz w:val="18"/>
          <w:szCs w:val="18"/>
          <w:color w:val="auto"/>
        </w:rPr>
        <w:t>currency license in order to conduct business in Louisiana, and as such, we are in the process of applying for this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83" w:lineRule="exact"/>
        <w:rPr>
          <w:sz w:val="20"/>
          <w:szCs w:val="20"/>
          <w:color w:val="auto"/>
        </w:rPr>
      </w:pPr>
    </w:p>
    <w:p>
      <w:pPr>
        <w:ind w:left="660" w:hanging="27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FinCEN has released guidance regarding how it considers its regulations to interact with crypto businesses.</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released guidance treating crypto as property that is not currency for U.S. federal income tax purposes.</w:t>
      </w:r>
    </w:p>
    <w:p>
      <w:pPr>
        <w:spacing w:after="0" w:line="157" w:lineRule="exact"/>
        <w:rPr>
          <w:rFonts w:ascii="Times New Roman" w:cs="Times New Roman" w:eastAsia="Times New Roman" w:hAnsi="Times New Roman"/>
          <w:sz w:val="18"/>
          <w:szCs w:val="18"/>
          <w:color w:val="auto"/>
        </w:rPr>
      </w:pPr>
    </w:p>
    <w:p>
      <w:pPr>
        <w:jc w:val="both"/>
        <w:ind w:left="380" w:firstLine="6"/>
        <w:spacing w:after="0" w:line="305" w:lineRule="auto"/>
        <w:tabs>
          <w:tab w:leader="none" w:pos="6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IRS published proposed regulations on tax reporting requirements for cryptocurrency brokers, which are generally expected to expand the scope of companies that are required to report basis, adjusted basis, gross proceeds and amounts realized from sales of covered crypto assets.</w:t>
      </w:r>
    </w:p>
    <w:p>
      <w:pPr>
        <w:spacing w:after="0" w:line="61"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governor of California signed into law the Digital Financial Assets Law (“DFAL”), which establishes a required licensing</w:t>
      </w:r>
    </w:p>
    <w:p>
      <w:pPr>
        <w:spacing w:after="0" w:line="49" w:lineRule="exact"/>
        <w:rPr>
          <w:rFonts w:ascii="Times New Roman" w:cs="Times New Roman" w:eastAsia="Times New Roman" w:hAnsi="Times New Roman"/>
          <w:sz w:val="18"/>
          <w:szCs w:val="18"/>
          <w:color w:val="auto"/>
        </w:rPr>
      </w:pPr>
    </w:p>
    <w:p>
      <w:pPr>
        <w:jc w:val="both"/>
        <w:ind w:left="3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framework administered by the California Department of Financial Protection and Innovation (“DFPI”) for entities engaged in digital financial asset business activity in the state of California. The Company expects that its business will require licensure under the DFAL and will therefore take steps</w:t>
      </w:r>
    </w:p>
    <w:p>
      <w:pPr>
        <w:spacing w:after="0" w:line="1" w:lineRule="exact"/>
        <w:rPr>
          <w:rFonts w:ascii="Times New Roman" w:cs="Times New Roman" w:eastAsia="Times New Roman" w:hAnsi="Times New Roman"/>
          <w:sz w:val="18"/>
          <w:szCs w:val="18"/>
          <w:color w:val="auto"/>
        </w:rPr>
      </w:pPr>
    </w:p>
    <w:p>
      <w:pPr>
        <w:jc w:val="both"/>
        <w:ind w:left="3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necessary licenses prior to the enactment’s effective date of July 1, 2025.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17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Governmental and regulatory bodies may continue to adopt new laws and regulations, issue new guidance or bring new enforcement actions relating to crypto and the crypto industry generally, and crypto platforms in particular, the direction and timing of which may be influenced by changes in the governing administrations and major events in the crypto industry. In addition, regulators may establish self-regulatory bodies to set guidelines regarding crypto,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 contested in litigation, which could take years to resolve, and can also lead to an uncertain regulatory environment.</w:t>
      </w:r>
    </w:p>
    <w:p>
      <w:pPr>
        <w:spacing w:after="0" w:line="19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technologies underlying crypto are novel technologies and relatively untested, and the application of securities and other laws to aspects of these technologies and crypto is unclear in certain respects. It is difficult to predict how or whether regulatory agencies may apply existing or new regulation with respect to this technology and its applications, and whether regulators will bring enforcement actions on specific issues. For instance, U.S. bankruptcy courts are now faced with a number of questions of first impression that may determine the status of crypto in bankruptcy, and the rights and obligations of platforms that custody crypto for their customers.</w:t>
      </w:r>
    </w:p>
    <w:p>
      <w:pPr>
        <w:spacing w:after="0" w:line="17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New interpretations of, or changes to, existing laws, regulations and guidance, and new enforcement actions, may adversely impact the development of the crypto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policies and procedures, imposing new licensing requirements, or imposing a total ban on certain crypto transactions, as has occurred in certain jurisdictions in the past. In addition, new or changing laws, regulations, guidance or enforcement actions, could severely or materially adversely impact, among other things, the permissibility of the operation of the blockchain networks underlying crypto and our operations; adversely impact the value or liquidity of crypto; limit the ability to access marketplaces or exchanges on which to trade crypto; adversely impact the structure, rights and transferability of crypto and the treatment of crypto and holders of crypto in insolvency proceedings; and result in further negative publicity relating to particular crypto assets or platforms or the crypto industry more generally. Any of the foregoing could significantly adversely impact our business.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7" w:name="page48"/>
    <w:bookmarkEnd w:id="47"/>
    <w:p>
      <w:pPr>
        <w:jc w:val="both"/>
        <w:ind w:firstLine="648"/>
        <w:spacing w:after="0" w:line="306" w:lineRule="auto"/>
        <w:rPr>
          <w:sz w:val="20"/>
          <w:szCs w:val="20"/>
          <w:color w:val="auto"/>
        </w:rPr>
      </w:pPr>
      <w:r>
        <w:rPr>
          <w:rFonts w:ascii="Times New Roman" w:cs="Times New Roman" w:eastAsia="Times New Roman" w:hAnsi="Times New Roman"/>
          <w:sz w:val="18"/>
          <w:szCs w:val="18"/>
          <w:color w:val="auto"/>
        </w:rPr>
        <w:t xml:space="preserve">See also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Risks Related to Regulation, Taxation and Law—A crypto asset’s status as a “security” in any relevant jurisdiction is subject 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1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0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SEC and its staff have taken the position that certain crypto assets fall within the definition of a “security” under the U.S. federal securities laws, and it is possible the SEC may take this position with respect to other assets that may be transacted on our platform. Certain legal tests for determining whether any given asset is a security may require highly complex and fact-driven analyses, and the outcome is difficult to predict. The SEC, as well as other regulators, have been increasingly focused on the regulation of crypto, which has impacted and will continue to impact our business. In recent months, the SEC has alleged a number of additional crypto assets to be securities in the course of enforcement actions and lawsuits brought against crypto market participants, including lawsuits brought against the crypto exchanges Bittrex, Coinbase, Binance, and Kraken. Among the crypto assets identified as securities in these actions are assets that were previously listed on Bakkt Crypto’s platform, which Bakkt has since delisted. Prior SEC enforcement activity had not alleged crypto assets made available for trading on or through a Bakkt platform to be securities. It is not clear what actions the SEC will take with respect to those or other crypto assets, including in the course of the SEC inquiry regarding the Bakkt Crypto platform that began prior to Bakkt’s acquisition, or what decisions the courts will reach regarding the status of specific crypto assets as securities. For example, in December 2020, the SEC initiated a lawsuit against Ripple Labs, Inc. (“Ripple”) and two of its executives, alleging that they engaged in the unlawful offer and sale of unregistered securities through sales of XRP, Ripple’s crypto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crypto asset exchanges did not constitute the sale of unregistered securities. There also remains a significant lack of clarity over whether individual crypto assets that purport to maintain a fixed or “stable” value relative to a fiat currency or other underlying asset, known as “stablecoins,” will be deemed to be “securities.”</w:t>
      </w:r>
    </w:p>
    <w:p>
      <w:pPr>
        <w:spacing w:after="0" w:line="19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19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We could be subject to legal or regulatory action in the event the SEC, a foreign regulatory authority, or a court were to determine that a supported crypto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crypto assets on our platform, we currently only permit transactions in crypto assets that we have determined are not securities. We intend to offer other crypto assets on our platform in the future, although which crypto assets will be allowed on our platform, and the timing for such crypto assets to be allowed on our platform, is uncertain. We will only allow those crypto assets for which we determine there are reasonably strong arguments to conclude that the crypto asset is not a security.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8" w:name="page49"/>
    <w:bookmarkEnd w:id="48"/>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However, the application of securities laws to the specific facts and circumstances of crypto may be complex and subject to change, and a listing determination does not guarantee any conclusion under the United States federal securities laws. While we have policies that are designed to help us analyze whether a particular crypto asset is a “security”, our policies and procedures are not a legal standard, but rather a framework for analysis that permits us to make a risk-based assessment regarding the likelihood that a particular crypto asset could be deemed a “security” under applicable laws. Regardless of our conclusions, we could be subject to legal or regulatory action in the event the SEC, a state or foreign regulatory authority, or a court, were to determine that a crypto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 these crypto assets, these developments and changes may occur more rapidly than we are able to change our related policies and procedures. Actions may also be brought by private individuals or entities alleging illegal transactions involving crypto assets that they claim are securities, and seeking rescission of those transactions, and/or other legal and equitable relief under federal or state securities laws.</w:t>
      </w:r>
    </w:p>
    <w:p>
      <w:pPr>
        <w:spacing w:after="0" w:line="20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 xml:space="preserve">In addition, in connection with our acquisition of Bakkt Crypto we have needed to, and if we engage in any other acquisitions in the future, may further need to, update our policies and procedures to account for additional types of crypto assets or additional functionalities, and there may be a delay in adopting uniform policies and procedures relating to the acquired company or in applying such policies and procedures to an acquired company’s crypto assets. In applying our policies and procedures to an acquired company’s crypto assets, we may determine to delist some or all of such company’s crypto assets. See also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we are unable to attract, retain or grow our relationships with our existing clients, our business, financial condition,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and future prospects would be materially and adversely affected. Moreover, sales efforts to large clients involve risks that may not be present or that are present to a lesser extent with respect to sales to smaller organizations.”</w:t>
      </w:r>
    </w:p>
    <w:p>
      <w:pPr>
        <w:spacing w:after="0" w:line="196"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There can be no assurances that we will properly characterize any given crypto asset as a security or non-security for purposes of determining if that crypto asset is allowed to be offered through our platform, or that the SEC, foreign regulatory authority, or a court, if the question was presented to it, would agree with our assessment. If the SEC, foreign regulatory authority, or a court were to determine that bitcoin or any other crypto asset to be offered, sold, or traded on our platform in the future is a security, we would not be able to offer such crypto asset for trading until we are able to do so in a compliant manner, such as through an alternative trading system approved to trade crypto assets that constitute securities, and such determination may have adverse consequences for such supported crypto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crypto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w:t>
      </w:r>
    </w:p>
    <w:p>
      <w:pPr>
        <w:spacing w:after="0" w:line="18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seeking damages as well as fees and costs. On March 14, 2023, the parties reached a settlement in principle. On</w:t>
      </w:r>
    </w:p>
    <w:p>
      <w:pPr>
        <w:spacing w:after="0" w:line="17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April 12, 2023, the parties completed a stipulation of settlement resolving the litigation for $3.0 million, subject to Court approval. A motion for preliminary approval was filed with the Court on April 17, 2023. The motion remains pending. We expect the settlement will be covered by our insurance less our contractual retention. On June 23, 2023, an “opt-out” action related to the foregoing class action was filed against Bakkt Holdings, Inc. and the individuals named in the class action. 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are in the process of responding to the SEC and cannot estimate the potential impact, if any, of the resolution of this matter on our business or financial statements at this time, which could be material.</w:t>
      </w:r>
    </w:p>
    <w:p>
      <w:pPr>
        <w:spacing w:after="0" w:line="181"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17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7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light of our business model based on crypto, we are also subject to substantial regulatory risks. For more information about the regulatory risks to which our business is subject, see “A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“Regulatory regimes governing blockchain technologies and crypto are evolving and uncertain, and new legislation, regulations, guidance and enforcement actions have in the past required, and may in the future require, us to alter our business practices” and “Our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7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Adverse resolution of any lawsuit or claim or regulatory proceeding against us, or any regulatory investigation involving us, could have a material adverse effect on our business and our reputation. To the extent we are found to have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0" w:name="page51"/>
    <w:bookmarkEnd w:id="50"/>
    <w:p>
      <w:pPr>
        <w:jc w:val="both"/>
        <w:spacing w:after="0" w:line="305" w:lineRule="auto"/>
        <w:rPr>
          <w:sz w:val="20"/>
          <w:szCs w:val="20"/>
          <w:color w:val="auto"/>
        </w:rPr>
      </w:pPr>
      <w:r>
        <w:rPr>
          <w:rFonts w:ascii="Times New Roman" w:cs="Times New Roman" w:eastAsia="Times New Roman" w:hAnsi="Times New Roman"/>
          <w:sz w:val="18"/>
          <w:szCs w:val="18"/>
          <w:color w:val="auto"/>
        </w:rPr>
        <w:t>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continue as a going concern.</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as of September 30, 2023 were prepared under the assumption that we would continue as a going concern for the next twelve months from the date we filed the Original Form 10-Q, which contemplated the realization of assets and the satisfaction of liabilities in the normal course of business and did not include any adjustments relating to recoverability and the classification of recorded asset amounts or the amounts and classification of liabilities that might result from the outcome of certain uncertainties.</w:t>
      </w:r>
    </w:p>
    <w:p>
      <w:pPr>
        <w:spacing w:after="0" w:line="17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Subsequent to the filing of the Original Form 10-Q and in connection with the filing of this Amended Form 10-Q we have determined that we do not believe that our cash and restricted cash are sufficient to fund our operations for the 12 months following the date of this Amended Form 10-Q. Specifically, as of January 31, 2024, the Company had approximately $50.0 million of cash and cash equivalents that was not restricted and approximately $8.2 million in available-for-sale securities. We intend to use our unrestricted cash and proceeds from maturity of available-for-sale debt securities to (i) fund our day-to-day operations, including regulatory capital, compensating balance arrangements and other similar commitments which may be subject to change, (ii) activate new crypto clients, (iii)maintain our product development efforts, and (iv) optimize our technology infrastructure. Our cash and proceeds from the maturity of available-for-sale debt securities as of the date of the filing of this Amended Form 10-Q are estimated to fund our operations into the second or third quarter of 2024, depending on the results from our ongoing negotiations of requests for increased cash collateral or revised credit terms with certain of our providers.</w:t>
      </w:r>
    </w:p>
    <w:p>
      <w:pPr>
        <w:spacing w:after="0" w:line="18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There is significant uncertainty associated with our expansion to new markets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 As a result of our expected operating losses and cash burn for the foreseeable future and recurring losses from operations, if we are unable to raise sufficient capital through additional debt or equity arrangements, there will be uncertainty regarding our ability to maintain liquidity sufficient to operate our business effectively, which has raised substantial doubt as to our ability to continue as a going concern. If we cannot continue as a viable entity, our stockholders would likely lose most or all of their investment in us.</w:t>
      </w:r>
    </w:p>
    <w:p>
      <w:pPr>
        <w:spacing w:after="0" w:line="19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As a result, we have experienced and may continue to experience additional impacts to our business as a result of our partners and customers concern regarding our ability to continue as a going concern. For example, since the filing of Amendment No. 2 to the Original Form 10-Q, (i) one of our partners has closed out of all customer positions, (ii) we have received inquiries from partners and prospective partners about the financial position of the Company, (iii) certain of our surety bond providers have requested additional collateral, (iv) our purchasing card provider has requested an additional collateral pledge of between $8 million and 13 million, depending on the amount of the purchasing limit thereunder, and (v) certain of our liquidity providers have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our going concerns.</w:t>
      </w:r>
    </w:p>
    <w:p>
      <w:pPr>
        <w:spacing w:after="0" w:line="1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we are currently unable to generate sustainable operating profit and sufficient cash flows, we have determined that our future success will depend on our ability to raise sufficient additional capital.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common stock, and our current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1" w:name="page52"/>
    <w:bookmarkEnd w:id="51"/>
    <w:p>
      <w:pPr>
        <w:jc w:val="both"/>
        <w:spacing w:after="0" w:line="302" w:lineRule="auto"/>
        <w:rPr>
          <w:sz w:val="20"/>
          <w:szCs w:val="20"/>
          <w:color w:val="auto"/>
        </w:rPr>
      </w:pPr>
      <w:r>
        <w:rPr>
          <w:rFonts w:ascii="Times New Roman" w:cs="Times New Roman" w:eastAsia="Times New Roman" w:hAnsi="Times New Roman"/>
          <w:sz w:val="18"/>
          <w:szCs w:val="18"/>
          <w:color w:val="auto"/>
        </w:rPr>
        <w:t>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if we are able to mitigate or alleviate our going concern status, we may be unable to recover with investors, partners and customers due to the adverse reputational effects.</w:t>
      </w:r>
    </w:p>
    <w:p>
      <w:pPr>
        <w:spacing w:after="0" w:line="16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maintain effective internal controls over financial reporting, we may not be able to produce timely and accurate financial statements, which could have a material adverse effect on our business.</w:t>
      </w:r>
    </w:p>
    <w:p>
      <w:pPr>
        <w:spacing w:after="0" w:line="14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have limited accounting and finance personnel and other resources and must develop our own internal controls and procedures consistent with SEC regulations. We intend to continue to evaluate actions to enhance our internal controls over financial reporting, but there is no assurance that we will not identify control deficiencies or material weaknesses in the future. Furthermore, in accordance with SEC guidance, our assessment of our internal controls over financial reporting has excluded Bakkt Crypto. There is no assurance that we will not identify control deficiencies or material weaknesses when our assessment include Bakkt Crypto in future periods.</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once we cease to be an “emerging growth company” under the JOBS Act, we will also be required to include an attestation report on internal control over financial reporting issued by our independent registered public accounting firm.</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To comply with Section 404 of the Sarbanes-Oxley Act, we have incurred substantial cost, expended significant management time on compliance-related issues and hired additional accounting and financial staff with appropriate public company experience and technical accounting knowledge. We expect these costs to increase once we cease to be an emerging growth company and be required to provide an attestation report on internal controls over financial reporting. Moreover, if we are not able to comply with the requirements of Section 404 of the Sarbanes-Oxley Act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w:t>
      </w:r>
    </w:p>
    <w:p>
      <w:pPr>
        <w:spacing w:after="0" w:line="19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4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b w:val="1"/>
          <w:bCs w:val="1"/>
          <w:i w:val="1"/>
          <w:iCs w:val="1"/>
          <w:color w:val="1D1C1D"/>
        </w:rPr>
        <w:t>The NYSE may delist our securities from trading on its exchange, which could limit investors’ ability to make transactions in our securities and subject us to additional trading restrictions.</w:t>
      </w:r>
    </w:p>
    <w:p>
      <w:pPr>
        <w:spacing w:after="0" w:line="185"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Our securities are currently listed on NYSE. However, we cannot assure you that we will be able to meet the NYSE’s continued listing requirements for our common stock or our warrants in the future. For example, as of November 13, 2023, our stock price had closed below $1.00 for the preceding nine consecutive trading days and, if it does not increase, we may receive a written notification from the NYSE that we are not in compliance with the continued listing standard set forth in Section 802.01C of the NYSE Listed Company Manual, which requires that the closing price of our Class A Common Stock is not less than an average of $1.00 per share over a consecutive 30 trading-day period. While the NYSE rules generally provide for a six-month period to return to compliance following delivery of a noncompliance notice including by taking an action that will require approval of our shareholders, there can be no assurances that we will be able to achieve compliance with the minimum bid price requirements or any other listing requirements during such period, or at all.</w:t>
      </w:r>
    </w:p>
    <w:p>
      <w:pPr>
        <w:spacing w:after="0" w:line="192" w:lineRule="exact"/>
        <w:rPr>
          <w:sz w:val="20"/>
          <w:szCs w:val="20"/>
          <w:color w:val="auto"/>
        </w:rPr>
      </w:pPr>
    </w:p>
    <w:p>
      <w:pPr>
        <w:ind w:right="40" w:firstLine="648"/>
        <w:spacing w:after="0" w:line="305" w:lineRule="auto"/>
        <w:rPr>
          <w:sz w:val="20"/>
          <w:szCs w:val="20"/>
          <w:color w:val="auto"/>
        </w:rPr>
      </w:pPr>
      <w:r>
        <w:rPr>
          <w:rFonts w:ascii="Times New Roman" w:cs="Times New Roman" w:eastAsia="Times New Roman" w:hAnsi="Times New Roman"/>
          <w:sz w:val="18"/>
          <w:szCs w:val="18"/>
          <w:color w:val="auto"/>
        </w:rPr>
        <w:t>If the NYSE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3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1D1C1D"/>
        </w:rPr>
        <w:t>• a limited availability of market quotations for our securities;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2" w:name="page53"/>
    <w:bookmarkEnd w:id="52"/>
    <w:p>
      <w:pPr>
        <w:ind w:left="120" w:hanging="114"/>
        <w:spacing w:after="0"/>
        <w:tabs>
          <w:tab w:leader="none" w:pos="120" w:val="left"/>
        </w:tabs>
        <w:numPr>
          <w:ilvl w:val="0"/>
          <w:numId w:val="29"/>
        </w:numPr>
        <w:rPr>
          <w:rFonts w:ascii="Times New Roman" w:cs="Times New Roman" w:eastAsia="Times New Roman" w:hAnsi="Times New Roman"/>
          <w:sz w:val="18"/>
          <w:szCs w:val="18"/>
          <w:color w:val="1D1C1D"/>
        </w:rPr>
      </w:pPr>
      <w:r>
        <w:rPr>
          <w:rFonts w:ascii="Times New Roman" w:cs="Times New Roman" w:eastAsia="Times New Roman" w:hAnsi="Times New Roman"/>
          <w:sz w:val="18"/>
          <w:szCs w:val="18"/>
          <w:color w:val="1D1C1D"/>
        </w:rPr>
        <w:t>reduced liquidity for our securities;</w:t>
      </w:r>
    </w:p>
    <w:p>
      <w:pPr>
        <w:spacing w:after="0" w:line="157" w:lineRule="exact"/>
        <w:rPr>
          <w:rFonts w:ascii="Times New Roman" w:cs="Times New Roman" w:eastAsia="Times New Roman" w:hAnsi="Times New Roman"/>
          <w:sz w:val="18"/>
          <w:szCs w:val="18"/>
          <w:color w:val="1D1C1D"/>
        </w:rPr>
      </w:pPr>
    </w:p>
    <w:p>
      <w:pPr>
        <w:ind w:firstLine="6"/>
        <w:spacing w:after="0" w:line="313" w:lineRule="auto"/>
        <w:tabs>
          <w:tab w:leader="none" w:pos="133" w:val="left"/>
        </w:tabs>
        <w:numPr>
          <w:ilvl w:val="0"/>
          <w:numId w:val="29"/>
        </w:numPr>
        <w:rPr>
          <w:rFonts w:ascii="Times New Roman" w:cs="Times New Roman" w:eastAsia="Times New Roman" w:hAnsi="Times New Roman"/>
          <w:sz w:val="18"/>
          <w:szCs w:val="18"/>
          <w:color w:val="1D1C1D"/>
        </w:rPr>
      </w:pPr>
      <w:r>
        <w:rPr>
          <w:rFonts w:ascii="Times New Roman" w:cs="Times New Roman" w:eastAsia="Times New Roman" w:hAnsi="Times New Roman"/>
          <w:sz w:val="18"/>
          <w:szCs w:val="18"/>
          <w:color w:val="1D1C1D"/>
        </w:rPr>
        <w:t>determination that our Class A Common Stock is a “penny stock,” which will require brokers trading in the common stock to adhere to more stringent rules and possibly result in a reduced level of trading activity in the secondary trading market for our securities;</w:t>
      </w:r>
    </w:p>
    <w:p>
      <w:pPr>
        <w:spacing w:after="0" w:line="67" w:lineRule="exact"/>
        <w:rPr>
          <w:rFonts w:ascii="Times New Roman" w:cs="Times New Roman" w:eastAsia="Times New Roman" w:hAnsi="Times New Roman"/>
          <w:sz w:val="18"/>
          <w:szCs w:val="18"/>
          <w:color w:val="1D1C1D"/>
        </w:rPr>
      </w:pPr>
    </w:p>
    <w:p>
      <w:pPr>
        <w:ind w:left="120" w:hanging="114"/>
        <w:spacing w:after="0"/>
        <w:tabs>
          <w:tab w:leader="none" w:pos="120" w:val="left"/>
        </w:tabs>
        <w:numPr>
          <w:ilvl w:val="0"/>
          <w:numId w:val="29"/>
        </w:numPr>
        <w:rPr>
          <w:rFonts w:ascii="Times New Roman" w:cs="Times New Roman" w:eastAsia="Times New Roman" w:hAnsi="Times New Roman"/>
          <w:sz w:val="18"/>
          <w:szCs w:val="18"/>
          <w:color w:val="1D1C1D"/>
        </w:rPr>
      </w:pPr>
      <w:r>
        <w:rPr>
          <w:rFonts w:ascii="Times New Roman" w:cs="Times New Roman" w:eastAsia="Times New Roman" w:hAnsi="Times New Roman"/>
          <w:sz w:val="18"/>
          <w:szCs w:val="18"/>
          <w:color w:val="1D1C1D"/>
        </w:rPr>
        <w:t>a limited amount of news and analyst coverage; and</w:t>
      </w:r>
    </w:p>
    <w:p>
      <w:pPr>
        <w:spacing w:after="0" w:line="144" w:lineRule="exact"/>
        <w:rPr>
          <w:rFonts w:ascii="Times New Roman" w:cs="Times New Roman" w:eastAsia="Times New Roman" w:hAnsi="Times New Roman"/>
          <w:sz w:val="18"/>
          <w:szCs w:val="18"/>
          <w:color w:val="1D1C1D"/>
        </w:rPr>
      </w:pPr>
    </w:p>
    <w:p>
      <w:pPr>
        <w:ind w:left="120" w:hanging="114"/>
        <w:spacing w:after="0"/>
        <w:tabs>
          <w:tab w:leader="none" w:pos="120" w:val="left"/>
        </w:tabs>
        <w:numPr>
          <w:ilvl w:val="0"/>
          <w:numId w:val="29"/>
        </w:numPr>
        <w:rPr>
          <w:rFonts w:ascii="Times New Roman" w:cs="Times New Roman" w:eastAsia="Times New Roman" w:hAnsi="Times New Roman"/>
          <w:sz w:val="18"/>
          <w:szCs w:val="18"/>
          <w:color w:val="1D1C1D"/>
        </w:rPr>
      </w:pPr>
      <w:r>
        <w:rPr>
          <w:rFonts w:ascii="Times New Roman" w:cs="Times New Roman" w:eastAsia="Times New Roman" w:hAnsi="Times New Roman"/>
          <w:sz w:val="18"/>
          <w:szCs w:val="18"/>
          <w:color w:val="1D1C1D"/>
        </w:rPr>
        <w:t>a decreased ability to issue additional securities or obtain additional financing in the future.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5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providing an update to our business activities following our acquisition of Bakkt Crypto, formerly Apex Crypto, on April 1, 2023. Effective June 12, 2023, we changed the name of Apex Crypto to Bakkt Crypto. This business update should be read together with “Item 1. Business” and “Item 1A. Risk Factors” in the Company’s Annual Report on Form 10-K for the fiscal year ended December 31, 2023, “Item 2. Management’s Discussion and Analysis of Financial Condition and Results of Operations – Recent Developments” in the Original Form 10-Q and “Item 1A. Risk Factors” in this Amended Form 10-Q.</w:t>
      </w:r>
    </w:p>
    <w:p>
      <w:pPr>
        <w:spacing w:after="0" w:line="17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Some of the information contained in this update,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in “Cautionary Statement Regarding Forward-Looking Statements” and “Item 1A. Risk Factors” in this Amended Form 10-Q.</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Amended Form 10-Q, we use the following terms, which are defined as follows:</w:t>
      </w:r>
    </w:p>
    <w:p>
      <w:pPr>
        <w:spacing w:after="0" w:line="100" w:lineRule="exact"/>
        <w:rPr>
          <w:sz w:val="20"/>
          <w:szCs w:val="20"/>
          <w:color w:val="auto"/>
        </w:rPr>
      </w:pPr>
    </w:p>
    <w:p>
      <w:pPr>
        <w:jc w:val="both"/>
        <w:ind w:left="660" w:right="40" w:hanging="327"/>
        <w:spacing w:after="0" w:line="24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Client </w:t>
      </w:r>
      <w:r>
        <w:rPr>
          <w:rFonts w:ascii="Times New Roman" w:cs="Times New Roman" w:eastAsia="Times New Roman" w:hAnsi="Times New Roman"/>
          <w:sz w:val="18"/>
          <w:szCs w:val="18"/>
          <w:color w:val="auto"/>
        </w:rPr>
        <w:t>means businesses with whom we contract to provide services to customers on our platform, and includes financial institutions, hedge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funds, merchants, retailers, third party partners, and other businesses (except in the accompanying notes to the consolidated financial statements, where we refer to revenue earned from customers, instead of clients). The term customers is in accordance with the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jc w:val="both"/>
        <w:ind w:left="660" w:right="40" w:hanging="327"/>
        <w:spacing w:after="0" w:line="25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assets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crypto</w:t>
      </w:r>
      <w:r>
        <w:rPr>
          <w:rFonts w:ascii="Times New Roman" w:cs="Times New Roman" w:eastAsia="Times New Roman" w:hAnsi="Times New Roman"/>
          <w:sz w:val="18"/>
          <w:szCs w:val="18"/>
          <w:color w:val="auto"/>
        </w:rPr>
        <w:t>) means an asset that is built using blockchain technology, including virtual currencies (as used in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coins, cryptocurrencies, stablecoins, and other tokens. Our platform enables transactions in certain supported crypto assets. For purposes of this Amended Form 10-Q, we use crypto assets, virtual currency, coins, and tokens interchangeably.</w:t>
      </w:r>
    </w:p>
    <w:p>
      <w:pPr>
        <w:spacing w:after="0" w:line="63" w:lineRule="exact"/>
        <w:rPr>
          <w:rFonts w:ascii="Times New Roman" w:cs="Times New Roman" w:eastAsia="Times New Roman" w:hAnsi="Times New Roman"/>
          <w:sz w:val="18"/>
          <w:szCs w:val="18"/>
          <w:color w:val="auto"/>
        </w:rPr>
      </w:pPr>
    </w:p>
    <w:p>
      <w:pPr>
        <w:jc w:val="both"/>
        <w:ind w:left="660" w:right="40" w:hanging="327"/>
        <w:spacing w:after="0" w:line="25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loyalty clients who use our platform to transact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loyalty points, as well as customers of our clients who transact in crypto through, and have accounts on, our platform (except as defined for ASC 606 purposes above).</w:t>
      </w:r>
    </w:p>
    <w:p>
      <w:pPr>
        <w:spacing w:after="0" w:line="63"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Loyalty points </w:t>
      </w:r>
      <w:r>
        <w:rPr>
          <w:rFonts w:ascii="Times New Roman" w:cs="Times New Roman" w:eastAsia="Times New Roman" w:hAnsi="Times New Roman"/>
          <w:sz w:val="18"/>
          <w:szCs w:val="18"/>
          <w:color w:val="auto"/>
        </w:rPr>
        <w:t>means loyalty and/or reward points that are issued by clients to their customers.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Our Corporate Structure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operate primarily through the following entities:</w:t>
      </w:r>
    </w:p>
    <w:p>
      <w:pPr>
        <w:spacing w:after="0" w:line="131" w:lineRule="exact"/>
        <w:rPr>
          <w:sz w:val="20"/>
          <w:szCs w:val="20"/>
          <w:color w:val="auto"/>
        </w:rPr>
      </w:pPr>
    </w:p>
    <w:p>
      <w:pPr>
        <w:jc w:val="both"/>
        <w:ind w:left="660" w:right="40" w:hanging="327"/>
        <w:spacing w:after="0" w:line="23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Marketplace, LLC (“Bakkt Marketplace”) and Bakkt Crypto – through these entities we operate integrated platforms that provide customers with the ability to buy, sell and store crypto in a simple, intuitive digital experience accessed via application programming interfaces (“APIs”) or embedded web experience. Bakkt Marketplace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United States Department of the Treasury. Bakkt Crypto similarly holds a BitLicense and money transmitter licenses in various states, where its business requires. Currently, all of the outstanding equity interests of Bakkt Crypto are held by Bakkt Marketplace. The Bakkt Crypto and Bakkt Marketplace platforms generally are operated separately, though Bakkt Marketplace provides fiat funding services to Bakkt Crypto in instances where a client does not have that capability. The Bakkt Marketplace platform was originally conceived and built in connection with a consumer app that enabled crypto asset transactions, and, at the time, represented a direct-to consumer business model, which is no longer being pursued by the Company. In contrast, the Bakkt Crypto platform was originally conceived and built as an embedded crypto trading platform that would be integrated into client environments to service customers in those environments. Subject to applicable regulatory approvals, which we are presently pursuing, we intend to merge Bakkt Crypto with and into Bakkt Marketplace, with the surviving entity of the merger to be renamed Bakkt Crypto Solutions, LLC. The two platforms will then be combined into one business, which will be operated by the surviving entity. Similar to the Bakkt Crypto business model, the combined business will focus on a client-led, or “business-to-business-to-consumer” (“B2B2C”), strategy in which crypto asset solutions can be embedded into client environments.</w:t>
      </w:r>
    </w:p>
    <w:p>
      <w:pPr>
        <w:spacing w:after="0" w:line="64" w:lineRule="exact"/>
        <w:rPr>
          <w:rFonts w:ascii="Times New Roman" w:cs="Times New Roman" w:eastAsia="Times New Roman" w:hAnsi="Times New Roman"/>
          <w:sz w:val="18"/>
          <w:szCs w:val="18"/>
          <w:color w:val="auto"/>
        </w:rPr>
      </w:pPr>
    </w:p>
    <w:p>
      <w:pPr>
        <w:jc w:val="both"/>
        <w:ind w:left="660" w:right="40" w:hanging="327"/>
        <w:spacing w:after="0" w:line="24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Bakkt Trust is a New York limited-purpose trust company that is chartered by and subject to the supervision and oversight of New York Department of Financial Services and governed by an independent Board of Managers. Bakkt Trust provides our institutional-grade qualified custody solution, which caters to more experienced market participants and also supports our consumer-facing crypto business. Bakkt Trust’s custody solution also provides support to Bakkt Marketplace with respect to all crypto assets supported by the Company. See “</w:t>
      </w:r>
      <w:r>
        <w:rPr>
          <w:rFonts w:ascii="Times New Roman" w:cs="Times New Roman" w:eastAsia="Times New Roman" w:hAnsi="Times New Roman"/>
          <w:sz w:val="18"/>
          <w:szCs w:val="18"/>
          <w:i w:val="1"/>
          <w:iCs w:val="1"/>
          <w:color w:val="auto"/>
        </w:rPr>
        <w:t>—Crypto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Services Offered by Bakkt.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160" w:firstLine="648"/>
        <w:spacing w:after="0" w:line="329" w:lineRule="auto"/>
        <w:rPr>
          <w:sz w:val="20"/>
          <w:szCs w:val="20"/>
          <w:color w:val="auto"/>
        </w:rPr>
      </w:pPr>
      <w:r>
        <w:rPr>
          <w:rFonts w:ascii="Times New Roman" w:cs="Times New Roman" w:eastAsia="Times New Roman" w:hAnsi="Times New Roman"/>
          <w:sz w:val="18"/>
          <w:szCs w:val="18"/>
          <w:color w:val="auto"/>
        </w:rPr>
        <w:t>We acquired Bumped Financial, LLC (“Bumped”) (renamed Bakkt Brokerage), a registered broker-dealer, in February 2023. Bakkt Brokerage is not engaged in any business activities at this time and we have no current plans for it to engage in future business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Bakkt Crypto</w:t>
      </w:r>
    </w:p>
    <w:p>
      <w:pPr>
        <w:spacing w:after="0" w:line="24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In April 2023, we acquired Apex Crypto, a platform for integrated crypto trading, which we renamed Bakkt Crypto. This platform supports clients with a range of crypto solutions.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7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both"/>
        <w:spacing w:after="0" w:line="329" w:lineRule="auto"/>
        <w:rPr>
          <w:sz w:val="20"/>
          <w:szCs w:val="20"/>
          <w:color w:val="auto"/>
        </w:rPr>
      </w:pPr>
      <w:r>
        <w:rPr>
          <w:rFonts w:ascii="Times New Roman" w:cs="Times New Roman" w:eastAsia="Times New Roman" w:hAnsi="Times New Roman"/>
          <w:sz w:val="18"/>
          <w:szCs w:val="18"/>
          <w:color w:val="auto"/>
        </w:rPr>
        <w:t>assets offered to each client through its platform and, in some cases, exclusivity covenants pursuant to which clients have agreed not to refer their customers to other crypto asset trading platforms.</w:t>
      </w:r>
    </w:p>
    <w:p>
      <w:pPr>
        <w:spacing w:after="0" w:line="14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Bakkt Crypto is regularly exploring additional ways to innovate and provide additional products and services to its clients. Bakkt Crypto is in the process of developing, subject to applicable regulatory approvals, a solution to facilitate international remittances where users can remit fiat currency, with Bakkt leveraging crypto rails to settle the transaction, and conversion of certain loyalty and rewards points into supported crypto assets.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Hapi Crypto. Bakkt Crypto executes a de minimis amount of trades for entity accounts in jurisdictions other than the State of New York. Subject to applicable regulatory approvals, Bakkt Crypto intends to expand the provision of trading services for institutional clients.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Market Developments</w:t>
      </w:r>
    </w:p>
    <w:p>
      <w:pPr>
        <w:spacing w:after="0" w:line="243" w:lineRule="exact"/>
        <w:rPr>
          <w:sz w:val="20"/>
          <w:szCs w:val="20"/>
          <w:color w:val="auto"/>
        </w:rPr>
      </w:pPr>
    </w:p>
    <w:p>
      <w:pPr>
        <w:jc w:val="both"/>
        <w:ind w:firstLine="991"/>
        <w:spacing w:after="0" w:line="295" w:lineRule="auto"/>
        <w:rPr>
          <w:sz w:val="20"/>
          <w:szCs w:val="20"/>
          <w:color w:val="auto"/>
        </w:rPr>
      </w:pPr>
      <w:r>
        <w:rPr>
          <w:rFonts w:ascii="Times New Roman" w:cs="Times New Roman" w:eastAsia="Times New Roman" w:hAnsi="Times New Roman"/>
          <w:sz w:val="18"/>
          <w:szCs w:val="18"/>
          <w:color w:val="auto"/>
        </w:rPr>
        <w:t>Over approximately the last eighteen months, the crypto markets were impacted by, among other developments, significant decreases and volatility in crypto asset prices, a loss of confidence in many participants in the crypto asset ecosystem, regulatory actions and adverse publicity around specific companies, the crypto industry and crypto assets more broadly, including as a result of continued industry-wide consequences from the Chapter 11 bankruptcy filings of crypto asset exchange FTX, crypto hedge fund Three Arrows, crypto miners Compute North and Core Scientific, and crypto lenders Celsius Network, Voyager Digital and BlockFi. In addition, the liquidity of the crypto asset markets has been adversely impacted by these bankruptcy filings as, among other things, certain entities affiliated with FTX and other former participants had engaged in significant trading activity. Although we did not have any exposure to these companies, and we do not have material assets that may not be recovered or may otherwise be lost or misappropriated due to the bankruptcies, we were nonetheless impacted by, and continue to be impacted by, the broader conditions in the crypto markets.</w:t>
      </w:r>
    </w:p>
    <w:p>
      <w:pPr>
        <w:spacing w:after="0" w:line="179" w:lineRule="exact"/>
        <w:rPr>
          <w:sz w:val="20"/>
          <w:szCs w:val="20"/>
          <w:color w:val="auto"/>
        </w:rPr>
      </w:pPr>
    </w:p>
    <w:p>
      <w:pPr>
        <w:jc w:val="both"/>
        <w:ind w:firstLine="991"/>
        <w:spacing w:after="0" w:line="313" w:lineRule="auto"/>
        <w:rPr>
          <w:sz w:val="20"/>
          <w:szCs w:val="20"/>
          <w:color w:val="auto"/>
        </w:rPr>
      </w:pPr>
      <w:r>
        <w:rPr>
          <w:rFonts w:ascii="Times New Roman" w:cs="Times New Roman" w:eastAsia="Times New Roman" w:hAnsi="Times New Roman"/>
          <w:sz w:val="18"/>
          <w:szCs w:val="18"/>
          <w:color w:val="auto"/>
        </w:rPr>
        <w:t>The crypto markets also have been and continue to be impacted by the broader macroeconomic conditions, including the strength of the overall macroeconomic environment, high and rising interest rates, spikes in inflation rates, general market volatility, and geopolitical concerns. We expect the macroeconomic environment and the state of the crypto markets to remain dynamic in the near-term.</w:t>
      </w:r>
    </w:p>
    <w:p>
      <w:pPr>
        <w:spacing w:after="0" w:line="162" w:lineRule="exact"/>
        <w:rPr>
          <w:sz w:val="20"/>
          <w:szCs w:val="20"/>
          <w:color w:val="auto"/>
        </w:rPr>
      </w:pPr>
    </w:p>
    <w:p>
      <w:pPr>
        <w:jc w:val="both"/>
        <w:ind w:firstLine="991"/>
        <w:spacing w:after="0" w:line="297" w:lineRule="auto"/>
        <w:rPr>
          <w:sz w:val="20"/>
          <w:szCs w:val="20"/>
          <w:color w:val="auto"/>
        </w:rPr>
      </w:pPr>
      <w:r>
        <w:rPr>
          <w:rFonts w:ascii="Times New Roman" w:cs="Times New Roman" w:eastAsia="Times New Roman" w:hAnsi="Times New Roman"/>
          <w:sz w:val="18"/>
          <w:szCs w:val="18"/>
          <w:color w:val="auto"/>
        </w:rPr>
        <w:t>In addition, crypto assets and crypto market participants have recently faced increased scrutiny by regulators. For example, in 2023, the SEC has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 For more information see “</w:t>
      </w:r>
      <w:r>
        <w:rPr>
          <w:rFonts w:ascii="Times New Roman" w:cs="Times New Roman" w:eastAsia="Times New Roman" w:hAnsi="Times New Roman"/>
          <w:sz w:val="18"/>
          <w:szCs w:val="18"/>
          <w:i w:val="1"/>
          <w:iCs w:val="1"/>
          <w:color w:val="auto"/>
        </w:rPr>
        <w:t>—Regulation—Regulation of Our Virtual Currency Business</w:t>
      </w:r>
      <w:r>
        <w:rPr>
          <w:rFonts w:ascii="Times New Roman" w:cs="Times New Roman" w:eastAsia="Times New Roman" w:hAnsi="Times New Roman"/>
          <w:sz w:val="18"/>
          <w:szCs w:val="18"/>
          <w:color w:val="auto"/>
        </w:rPr>
        <w:t>,”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 Assets and Services Offered by Bakkt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Customers</w:t>
      </w:r>
    </w:p>
    <w:p>
      <w:pPr>
        <w:spacing w:after="0" w:line="24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We currently provide, or intend to provide, the following crypto-related services for retail customers. These services are provided through our clients which have a direct relationship with such customers and utilize our trading platform and custody services.</w:t>
      </w:r>
    </w:p>
    <w:p>
      <w:pPr>
        <w:spacing w:after="0" w:line="68" w:lineRule="exact"/>
        <w:rPr>
          <w:sz w:val="20"/>
          <w:szCs w:val="20"/>
          <w:color w:val="auto"/>
        </w:rPr>
      </w:pPr>
    </w:p>
    <w:p>
      <w:pPr>
        <w:ind w:left="660" w:hanging="27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asset trading;</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custody services for the crypto assets supported for trading;</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transfers of crypto assets (through Bakkt Crypto); and</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rewards (expected to become available in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6" w:name="page57"/>
    <w:bookmarkEnd w:id="56"/>
    <w:p>
      <w:pPr>
        <w:ind w:firstLine="648"/>
        <w:spacing w:after="0" w:line="329" w:lineRule="auto"/>
        <w:rPr>
          <w:sz w:val="20"/>
          <w:szCs w:val="20"/>
          <w:color w:val="auto"/>
        </w:rPr>
      </w:pPr>
      <w:r>
        <w:rPr>
          <w:rFonts w:ascii="Times New Roman" w:cs="Times New Roman" w:eastAsia="Times New Roman" w:hAnsi="Times New Roman"/>
          <w:sz w:val="18"/>
          <w:szCs w:val="18"/>
          <w:color w:val="auto"/>
        </w:rPr>
        <w:t>Our management regularly considers whether to make any potential additional crypto assets available on our platform, consistent with our policies and procedures. See “</w:t>
      </w:r>
      <w:r>
        <w:rPr>
          <w:rFonts w:ascii="Times New Roman" w:cs="Times New Roman" w:eastAsia="Times New Roman" w:hAnsi="Times New Roman"/>
          <w:sz w:val="18"/>
          <w:szCs w:val="18"/>
          <w:i w:val="1"/>
          <w:iCs w:val="1"/>
          <w:color w:val="auto"/>
        </w:rPr>
        <w:t>—Policies and Procedures—Listing-Related Policies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Bakkt Crypto, Bakkt Marketplace and Bakkt Trust facilitate transactions in, and provide services for, the crypto assets listed in the tables below.</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C0C0C"/>
        </w:rPr>
        <w:t>Bakkt Marketplace / Bakkt Crypto</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color w:val="auto"/>
              </w:rPr>
              <w:t>Supported For</w:t>
            </w:r>
          </w:p>
        </w:tc>
        <w:tc>
          <w:tcPr>
            <w:tcW w:w="1780" w:type="dxa"/>
            <w:vAlign w:val="bottom"/>
            <w:tcBorders>
              <w:bottom w:val="single" w:sz="8" w:color="auto"/>
            </w:tcBorders>
          </w:tcPr>
          <w:p>
            <w:pPr>
              <w:spacing w:after="0"/>
              <w:rPr>
                <w:sz w:val="18"/>
                <w:szCs w:val="18"/>
                <w:color w:val="auto"/>
              </w:rPr>
            </w:pP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Crypto Asset</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Symbol</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Trading</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9"/>
              </w:rPr>
              <w:t>Transfers</w:t>
            </w: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9"/>
              </w:rPr>
              <w:t>Rewards</w:t>
            </w:r>
          </w:p>
        </w:tc>
      </w:tr>
      <w:tr>
        <w:trPr>
          <w:trHeight w:val="207"/>
        </w:trPr>
        <w:tc>
          <w:tcPr>
            <w:tcW w:w="3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80" w:type="dxa"/>
            <w:vAlign w:val="bottom"/>
          </w:tcPr>
          <w:p>
            <w:pPr>
              <w:spacing w:after="0"/>
              <w:rPr>
                <w:sz w:val="17"/>
                <w:szCs w:val="17"/>
                <w:color w:val="auto"/>
              </w:rPr>
            </w:pPr>
          </w:p>
        </w:tc>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BTC</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Yes*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Planned Q1 2024</w:t>
            </w: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Bitcoin Cash</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BCH</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7"/>
              </w:rPr>
              <w:t>Yes*</w:t>
            </w: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Dogecoin</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7"/>
              </w:rPr>
              <w:t>Yes*</w:t>
            </w: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Ethereum</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7"/>
              </w:rPr>
              <w:t>Yes*</w:t>
            </w: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Etherum Classic</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ETC</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7"/>
              </w:rPr>
              <w:t>Yes*</w:t>
            </w: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Litecoin</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LTC</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Yes</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7"/>
              </w:rPr>
              <w:t>Yes*</w:t>
            </w: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Shiba Inu</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7"/>
              </w:rPr>
              <w:t>Yes*</w:t>
            </w: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w:t>
            </w:r>
          </w:p>
        </w:tc>
      </w:tr>
      <w:tr>
        <w:trPr>
          <w:trHeight w:val="216"/>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 Coin</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USDC</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Yes*</w:t>
            </w:r>
          </w:p>
        </w:tc>
        <w:tc>
          <w:tcPr>
            <w:tcW w:w="16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w w:val="97"/>
              </w:rPr>
              <w:t>Yes*</w:t>
            </w:r>
          </w:p>
        </w:tc>
        <w:tc>
          <w:tcPr>
            <w:tcW w:w="17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w:t>
            </w:r>
          </w:p>
        </w:tc>
      </w:tr>
    </w:tbl>
    <w:p>
      <w:pPr>
        <w:spacing w:after="0" w:line="204" w:lineRule="exact"/>
        <w:rPr>
          <w:sz w:val="20"/>
          <w:szCs w:val="20"/>
          <w:color w:val="auto"/>
        </w:rPr>
      </w:pPr>
    </w:p>
    <w:p>
      <w:pPr>
        <w:ind w:left="660" w:right="7900" w:firstLine="146"/>
        <w:spacing w:after="0" w:line="433" w:lineRule="auto"/>
        <w:tabs>
          <w:tab w:leader="none" w:pos="9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State of New York </w:t>
      </w:r>
      <w:r>
        <w:rPr>
          <w:rFonts w:ascii="Times New Roman" w:cs="Times New Roman" w:eastAsia="Times New Roman" w:hAnsi="Times New Roman"/>
          <w:sz w:val="18"/>
          <w:szCs w:val="18"/>
          <w:u w:val="single" w:color="auto"/>
          <w:color w:val="0C0C0C"/>
        </w:rPr>
        <w:t>Bakkt Trust</w:t>
      </w:r>
    </w:p>
    <w:tbl>
      <w:tblPr>
        <w:tblLayout w:type="fixed"/>
        <w:tblInd w:w="138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16"/>
                <w:szCs w:val="16"/>
                <w:color w:val="auto"/>
              </w:rPr>
              <w:t>Supported for</w:t>
            </w:r>
          </w:p>
        </w:tc>
        <w:tc>
          <w:tcPr>
            <w:tcW w:w="1180" w:type="dxa"/>
            <w:vAlign w:val="bottom"/>
            <w:tcBorders>
              <w:bottom w:val="single" w:sz="8" w:color="auto"/>
            </w:tcBorders>
          </w:tcPr>
          <w:p>
            <w:pPr>
              <w:spacing w:after="0"/>
              <w:rPr>
                <w:sz w:val="18"/>
                <w:szCs w:val="18"/>
                <w:color w:val="auto"/>
              </w:rPr>
            </w:pPr>
          </w:p>
        </w:tc>
      </w:tr>
      <w:tr>
        <w:trPr>
          <w:trHeight w:val="21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Crypto Asset</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Symbol</w:t>
            </w:r>
          </w:p>
        </w:tc>
        <w:tc>
          <w:tcPr>
            <w:tcW w:w="2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Custody</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Transfers</w:t>
            </w:r>
          </w:p>
        </w:tc>
      </w:tr>
      <w:tr>
        <w:trPr>
          <w:trHeight w:val="207"/>
        </w:trPr>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Bitcoin</w:t>
            </w:r>
          </w:p>
        </w:tc>
        <w:tc>
          <w:tcPr>
            <w:tcW w:w="100" w:type="dxa"/>
            <w:vAlign w:val="bottom"/>
          </w:tcPr>
          <w:p>
            <w:pPr>
              <w:spacing w:after="0"/>
              <w:rPr>
                <w:sz w:val="17"/>
                <w:szCs w:val="17"/>
                <w:color w:val="auto"/>
              </w:rPr>
            </w:pP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BTC</w:t>
            </w:r>
          </w:p>
        </w:tc>
        <w:tc>
          <w:tcPr>
            <w:tcW w:w="100" w:type="dxa"/>
            <w:vAlign w:val="bottom"/>
          </w:tcPr>
          <w:p>
            <w:pPr>
              <w:spacing w:after="0"/>
              <w:rPr>
                <w:sz w:val="17"/>
                <w:szCs w:val="17"/>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c>
          <w:tcPr>
            <w:tcW w:w="100" w:type="dxa"/>
            <w:vAlign w:val="bottom"/>
          </w:tcPr>
          <w:p>
            <w:pPr>
              <w:spacing w:after="0"/>
              <w:rPr>
                <w:sz w:val="17"/>
                <w:szCs w:val="17"/>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Bitcoin Cash</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BCH</w:t>
            </w: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Dogecoin</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DOGE</w:t>
            </w: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Ethereum</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ETH</w:t>
            </w: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Etherum Classic</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ETC</w:t>
            </w: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Litecoin</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LTC</w:t>
            </w: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Shiba Inu</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SHIB</w:t>
            </w: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r>
        <w:trPr>
          <w:trHeight w:val="21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USD Coin</w:t>
            </w:r>
          </w:p>
        </w:tc>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USDC</w:t>
            </w:r>
          </w:p>
        </w:tc>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Yes</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Yes</w:t>
            </w:r>
          </w:p>
        </w:tc>
      </w:tr>
    </w:tbl>
    <w:p>
      <w:pPr>
        <w:spacing w:after="0" w:line="298" w:lineRule="exact"/>
        <w:rPr>
          <w:sz w:val="20"/>
          <w:szCs w:val="20"/>
          <w:color w:val="auto"/>
        </w:rPr>
      </w:pPr>
    </w:p>
    <w:p>
      <w:pPr>
        <w:jc w:val="both"/>
        <w:ind w:right="160" w:firstLine="991"/>
        <w:spacing w:after="0" w:line="292" w:lineRule="auto"/>
        <w:rPr>
          <w:sz w:val="20"/>
          <w:szCs w:val="20"/>
          <w:color w:val="auto"/>
        </w:rPr>
      </w:pPr>
      <w:r>
        <w:rPr>
          <w:rFonts w:ascii="Times New Roman" w:cs="Times New Roman" w:eastAsia="Times New Roman" w:hAnsi="Times New Roman"/>
          <w:sz w:val="18"/>
          <w:szCs w:val="18"/>
          <w:color w:val="auto"/>
        </w:rPr>
        <w:t>Following the acquisition of Bakkt Crypto, and as further detailed in the table below, we delisted 37 of the 45 crypto assets that had historically been available for trading on the Bakkt Crypto platform. We first requested the delisting of certain crypto assets from the Bakkt Crypto platform in connection with our due diligence review of the Bakkt Crypto business in 2022.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This review took into account a number of factors, including: (i) scores assigned to each crypto asset based on a rating framework that weighs various factors drawn from SEC and judicial sources; (ii) whether the crypto asset was sold in an initial coin offering; (iii) whether the crypto asset was backed by a single entity; and (iv) whether the crypto asset used “proof of stake” validation. Our review also accounted for the potential impacts of delisting on our clients and customers. We have also directed the delisting of certain crypto assets in response to charges recently filed by the SEC against crypto asset exchanges alleging that those crypto assets are securities. We believe that these delistings will not have a material impact on our business and results of operations in future periods. While the delisted crypto assets represented approximately 15% of gross profit of Bakkt Crypto at the time of its acquisition by the Company, many of these crypto assets constitute what is referred to in the fintech industry as “meme coins.” Historically, many meme coins have been subject to anecdotal spikes in trading activity that may not repeat for a protracted period of time if at all. In implementing our coin delisting decisions, we have attempted to mitigate impacts on our business and our clients and customers by affording customers a period in which to exit their positions in the impacted crypto assets as part of an orderly wind-down. We expect our listing and delisting decisions to continue to evolve based on relevant regulatory and judicial precedent.</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7" w:name="page58"/>
    <w:bookmarkEnd w:id="57"/>
    <w:tbl>
      <w:tblPr>
        <w:tblLayout w:type="fixed"/>
        <w:tblInd w:w="260" w:type="dxa"/>
        <w:tblCellMar>
          <w:top w:w="0" w:type="dxa"/>
          <w:left w:w="0" w:type="dxa"/>
          <w:bottom w:w="0" w:type="dxa"/>
          <w:right w:w="0" w:type="dxa"/>
        </w:tblCellMar>
      </w:tblPr>
      <w:tr>
        <w:trPr>
          <w:trHeight w:val="215"/>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Crypto Asset (Symbol)</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Delisting</w:t>
            </w:r>
          </w:p>
        </w:tc>
      </w:tr>
      <w:tr>
        <w:trPr>
          <w:trHeight w:val="207"/>
        </w:trPr>
        <w:tc>
          <w:tcPr>
            <w:tcW w:w="6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AMP</w:t>
            </w:r>
          </w:p>
        </w:tc>
        <w:tc>
          <w:tcPr>
            <w:tcW w:w="80" w:type="dxa"/>
            <w:vAlign w:val="bottom"/>
          </w:tcPr>
          <w:p>
            <w:pPr>
              <w:spacing w:after="0"/>
              <w:rPr>
                <w:sz w:val="17"/>
                <w:szCs w:val="17"/>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6, 2022</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CRO; DASH; ONE; LUNA; LUNC; ZEC</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15, 2023</w:t>
            </w: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ALGO; MANA</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21, 2023</w:t>
            </w:r>
          </w:p>
        </w:tc>
      </w:tr>
      <w:tr>
        <w:trPr>
          <w:trHeight w:val="168"/>
        </w:trPr>
        <w:tc>
          <w:tcPr>
            <w:tcW w:w="652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COMP; GALA; YFI; LRC; ICP; BAT; LINK; APE; MKR; REN;</w:t>
            </w:r>
          </w:p>
        </w:tc>
        <w:tc>
          <w:tcPr>
            <w:tcW w:w="42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September 19, 2023</w:t>
            </w:r>
          </w:p>
        </w:tc>
      </w:tr>
      <w:tr>
        <w:trPr>
          <w:trHeight w:val="162"/>
        </w:trPr>
        <w:tc>
          <w:tcPr>
            <w:tcW w:w="65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BNT; SNX; ATOM; GRT; AAVE; FIL; XTZ; AVAX; UNI; XLM;</w:t>
            </w:r>
          </w:p>
        </w:tc>
        <w:tc>
          <w:tcPr>
            <w:tcW w:w="4220" w:type="dxa"/>
            <w:vAlign w:val="bottom"/>
          </w:tcPr>
          <w:p>
            <w:pPr>
              <w:spacing w:after="0"/>
              <w:rPr>
                <w:sz w:val="14"/>
                <w:szCs w:val="14"/>
                <w:color w:val="auto"/>
              </w:rPr>
            </w:pP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CHZ; SUSHI; CRV; ENJ; FTM; SOL; ADA; MATIC</w:t>
            </w:r>
          </w:p>
        </w:tc>
        <w:tc>
          <w:tcPr>
            <w:tcW w:w="4220" w:type="dxa"/>
            <w:vAlign w:val="bottom"/>
          </w:tcPr>
          <w:p>
            <w:pPr>
              <w:spacing w:after="0"/>
              <w:rPr>
                <w:sz w:val="18"/>
                <w:szCs w:val="18"/>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 Asset Trading</w:t>
      </w:r>
    </w:p>
    <w:p>
      <w:pPr>
        <w:spacing w:after="0" w:line="216"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We have agreements with clients that entitle us to receive recurring subscription revenues in the form of platform fees from clients for the use of our platforms by their customers.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may purchase approved crypto assets directly through Bakkt Crypto utilizing one of four funding sources:</w:t>
      </w:r>
    </w:p>
    <w:p>
      <w:pPr>
        <w:spacing w:after="0" w:line="144" w:lineRule="exact"/>
        <w:rPr>
          <w:sz w:val="20"/>
          <w:szCs w:val="20"/>
          <w:color w:val="auto"/>
        </w:rPr>
      </w:pPr>
    </w:p>
    <w:p>
      <w:pPr>
        <w:ind w:left="660" w:hanging="274"/>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1 below);</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Banking as a Service (“BaaS”) provider account (see Fig. 2 below);</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3 below); or</w:t>
      </w:r>
    </w:p>
    <w:p>
      <w:pPr>
        <w:spacing w:after="0" w:line="144" w:lineRule="exact"/>
        <w:rPr>
          <w:rFonts w:ascii="Times New Roman" w:cs="Times New Roman" w:eastAsia="Times New Roman" w:hAnsi="Times New Roman"/>
          <w:sz w:val="18"/>
          <w:szCs w:val="18"/>
          <w:color w:val="auto"/>
        </w:rPr>
      </w:pPr>
    </w:p>
    <w:p>
      <w:pPr>
        <w:ind w:left="380" w:right="360" w:firstLine="6"/>
        <w:spacing w:after="0" w:line="329" w:lineRule="auto"/>
        <w:tabs>
          <w:tab w:leader="none" w:pos="6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points/rewards account with a participating loyalty client (see Fig. 4 below; expected to become available in the first quarter of 2024).</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Customers may sell crypto assets through Bakkt Crypto. The sale proceeds from a sale can be directed to one of three potential customer accounts:</w:t>
      </w:r>
    </w:p>
    <w:p>
      <w:pPr>
        <w:spacing w:after="0" w:line="158" w:lineRule="exact"/>
        <w:rPr>
          <w:sz w:val="20"/>
          <w:szCs w:val="20"/>
          <w:color w:val="auto"/>
        </w:rPr>
      </w:pPr>
    </w:p>
    <w:p>
      <w:pPr>
        <w:ind w:left="660" w:hanging="27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5 below);</w:t>
      </w:r>
    </w:p>
    <w:p>
      <w:pPr>
        <w:spacing w:after="0" w:line="144"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BaaS account (see Fig. 6 below); or</w:t>
      </w:r>
    </w:p>
    <w:p>
      <w:pPr>
        <w:spacing w:after="0" w:line="157" w:lineRule="exact"/>
        <w:rPr>
          <w:rFonts w:ascii="Times New Roman" w:cs="Times New Roman" w:eastAsia="Times New Roman" w:hAnsi="Times New Roman"/>
          <w:sz w:val="18"/>
          <w:szCs w:val="18"/>
          <w:color w:val="auto"/>
        </w:rPr>
      </w:pPr>
    </w:p>
    <w:p>
      <w:pPr>
        <w:ind w:left="660" w:hanging="274"/>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7 below).</w:t>
      </w:r>
    </w:p>
    <w:p>
      <w:pPr>
        <w:spacing w:after="0" w:line="25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With respect to customer purchase and sale orders, Bakkt Crypto operates as a riskless principal and offsets each customer order it fills by routing a corresponding order to a liquidity provider on a one-to-one basis. Bakkt Crypto settles its transactions with liquidity providers on a net basis. For more information, see “</w:t>
      </w:r>
      <w:r>
        <w:rPr>
          <w:rFonts w:ascii="Times New Roman" w:cs="Times New Roman" w:eastAsia="Times New Roman" w:hAnsi="Times New Roman"/>
          <w:sz w:val="18"/>
          <w:szCs w:val="18"/>
          <w:i w:val="1"/>
          <w:iCs w:val="1"/>
          <w:color w:val="auto"/>
        </w:rPr>
        <w:t>—Crypto Assets and Services Offered by Bakkt–Crypto Asset Trading–Liquidity Providers</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Customers can submit an order request to purchase crypto assets by specifying the dollar value or coin quantity that they wish to purchase. The client’s user interface displays the estimated price or quantity, as applicable, as well as any transaction fees.</w:t>
      </w:r>
    </w:p>
    <w:p>
      <w:pPr>
        <w:spacing w:after="0" w:line="17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Before sending a purchase order request, the client must verify that sufficient funds are available in the applicable customer funding source. If the customer account has sufficient funds, the client then sends the order to Bakkt Crypto. Upon receipt of the purchase order, Bakkt Crypto accepts and processes the purchase order and records any order fill transactions on Bakkt Crypto’s internal ledger. Bakkt Crypto recognizes the revenue from markup and/or trade fees at this time in the flow using explicit journal types in the transaction ledgering.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58" w:name="page59"/>
    <w:bookmarkEnd w:id="58"/>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If the customer’s funding source is a fiat wallet, Bakkt Marketplace will debit the customer’s fiat wallet on its internal ledger. During the daily net settlement period fiat funds are transmitted from the for benefit of (“FBO”) account to the Bakkt Crypto transaction account.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 1 Crypto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494655" cy="20656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9465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If the customer’s funding source is a BaaS account, Bakkt Crypto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Bakkt Crypto transaction account.</w:t>
      </w:r>
    </w:p>
    <w:p>
      <w:pPr>
        <w:spacing w:after="0" w:line="17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crypto assets from Bakkt Crypto, as depicted in Figure 2, below, and to deposit the proceeds of sales of supported crypto assets to Bakkt Cyrpto, as depicted in Figure 6, below. Our client, not the Company, maintains the relationship with the BaaS provider and the Company is not itself regulated as a bank.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 2 Crypto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163195</wp:posOffset>
            </wp:positionV>
            <wp:extent cx="5134610" cy="2177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3461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60" w:firstLine="648"/>
        <w:spacing w:after="0" w:line="329" w:lineRule="auto"/>
        <w:rPr>
          <w:sz w:val="20"/>
          <w:szCs w:val="20"/>
          <w:color w:val="auto"/>
        </w:rPr>
      </w:pPr>
      <w:r>
        <w:rPr>
          <w:rFonts w:ascii="Times New Roman" w:cs="Times New Roman" w:eastAsia="Times New Roman" w:hAnsi="Times New Roman"/>
          <w:sz w:val="18"/>
          <w:szCs w:val="18"/>
          <w:color w:val="auto"/>
        </w:rPr>
        <w:t>If the customer’s funding source is a brokerage account, Bakkt Crypto sends a message to ledger the funds from the customer’s brokerage account at the brokerage’s clearing firm to Bakkt Crypto brokerage account at the brokerage’s</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59" w:name="page60"/>
    <w:bookmarkEnd w:id="59"/>
    <w:p>
      <w:pPr>
        <w:ind w:right="60"/>
        <w:spacing w:after="0" w:line="329" w:lineRule="auto"/>
        <w:rPr>
          <w:sz w:val="20"/>
          <w:szCs w:val="20"/>
          <w:color w:val="auto"/>
        </w:rPr>
      </w:pPr>
      <w:r>
        <w:rPr>
          <w:rFonts w:ascii="Times New Roman" w:cs="Times New Roman" w:eastAsia="Times New Roman" w:hAnsi="Times New Roman"/>
          <w:sz w:val="18"/>
          <w:szCs w:val="18"/>
          <w:color w:val="auto"/>
        </w:rPr>
        <w:t>clearing firm. During the daily batch settlement period, fiat funds are transmitted from the Bakkt Crypto brokerage account to the Bakkt Crypto transaction account.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 3 Crypto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171450</wp:posOffset>
            </wp:positionV>
            <wp:extent cx="5503545" cy="23660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035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If the customer’s funding source is a points account at points/rewards client, Bakkt Crypto will debit the customer’s points account. During the daily batch settlement, funds are transferred from the rewards client account to the Bakkt Crypto transaction account.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 4 Crypto Assets Purchase Through A Customer’s Points/Rewards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163195</wp:posOffset>
            </wp:positionV>
            <wp:extent cx="5340350" cy="2186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035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For sales, customers submit an order request via the client with which they have a relationship to Bakkt Crypto to sell crypto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Bakkt Crypto by the client. Upon receipt of the order, Bakkt Crypto accepts and processes the sale order and records the order fill transaction on Bakkt Crypto’s internal ledger by recording a debit to the customer’s crypto asset account.</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If the customer’s funding source is a fiat wallet, Bakkt Marketplace will credit the customer’s fiat wallet on its internal ledger. During the daily batch settlement period, fiat funds are transmitted from the Bakkt Crypto transaction account to the FBO account.</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u w:val="single" w:color="auto"/>
          <w:color w:val="auto"/>
        </w:rPr>
        <w:t>Fig. 5 Crypto Assets Sale with proceeds to the Customer’s Fiat Wallet Hosted by Bakkt Crypto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5357495" cy="20142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57495"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If the customer’s funding source is a BaaS account, Bakkt Crypto sends a message to the client that a trade has been executed. The client then instructs the BaaS provider to transfer the funds from its BaaS FBO account to the customer’s BaaS account. The BaaS will credit the customer’s fiat wallet on its internal ledger. During the daily batch settlement period, fiat funds are transmitted from the Bakkt Crypto transaction account to the BaaS FBO account.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 6 Crypto Assets Sale with Proceeds to the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163195</wp:posOffset>
            </wp:positionV>
            <wp:extent cx="5237480" cy="20916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374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If the customer’s funding source is a brokerage account, Bakkt Crypto sends a message to ledger the funds from the Bakkt Crypto brokerage account at the brokerage’s clearing firm to the customer’s brokerage account at the brokerage’s clearing firm. During the daily batch settlement period, fiat funds are transmitted from the Bakkt Crypto transaction account to the Bakkt Crypto brokerage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u w:val="single" w:color="auto"/>
          <w:color w:val="auto"/>
        </w:rPr>
        <w:t>Fig. 7 Crypto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163195</wp:posOffset>
            </wp:positionV>
            <wp:extent cx="5297805" cy="19888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978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Providers</w:t>
      </w:r>
    </w:p>
    <w:p>
      <w:pPr>
        <w:spacing w:after="0" w:line="24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Bakkt Crypto currently has relationships with seven liquidity providers, with at least three providers servicing each supported crypto asset in order to provide consistent liquidity. Bakkt Crypto utilizes a proprietary, internal system to aggregate quotes from its liquidity providers by asset, side, price and size, which Bakkt Crypto uses to determine what quotes to provide, as principal, to its clients for display to customers.</w:t>
      </w:r>
    </w:p>
    <w:p>
      <w:pPr>
        <w:spacing w:after="0" w:line="169"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To fill customer orders as riskless principal, the Bakkt Crypto platform compares customer orders to the aggregated best bid or offer prices quoted by Bakkt Crypto’s liquidity providers. If a customer order is marketable, Bakkt Crypto routes an offsetting order for its own account, on a one-to-one basis, to the liquidity provider quoting the best price. Customers may place market orders or limit orders on the Bakkt Crypto platform. Market orders are, by definition, marketable when they are placed. As such, when a customer market order is received, Bakkt Crypto will offset that order by routing an order for its own account to the relevant liquidity provider on an “immediate or cancel” basis. Limit orders may be marketable when they are placed or may become marketable when the aggregated market price, as determined by Bakkt Crypto’s proprietary internal system, aligns with the limit price selected by the customer. The Bakkt Crypto platform holds customer limit orders that are not marketable at the time they are placed on Bakkt Crypto’s internal order book and evaluates such orders for marketability on an ongoing basis as liquidity providers change their best bid or offer prices. Should a customer limit order become marketable as the aggregated best price changes, the Bakkt Crypto platform would, at that point, place an offsetting order for its own account with a liquidity provider.</w:t>
      </w:r>
    </w:p>
    <w:p>
      <w:pPr>
        <w:spacing w:after="0" w:line="20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Upon receipt of a fill confirmation from the liquidity provider servicing one of Bakkt Crypto’s offsetting orders, Bakkt Crypto will fill the corresponding customer transaction out of its own account, as riskless principal. In other words, the Bakkt Crypto platform is structured to execute the offsetting order for Bakkt Crypto’s own account prior to executing the corresponding customer order.</w:t>
      </w:r>
    </w:p>
    <w:p>
      <w:pPr>
        <w:spacing w:after="0" w:line="169"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Bakkt Crypto has written agreements with all of its liquidity providers. Under these agreements, Bakkt Crypto is granted access to proprietary trading platforms of the liquidity providers for the purpose of placing orders for purchase or sale of crypto assets. Bakkt Crypto acts as principal in such transactions with liquidity providers. Orders cannot be withdrawn, cancelled or amended. After the liquidity provider accepts the order, it issues a transaction confirmation. The parties then are obligated to deliver fiat currency and crypto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2" w:name="page63"/>
    <w:bookmarkEnd w:id="62"/>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Settlement is conducted on a net basis on the blockchain supporting the crypto asset. Bakkt Crypto is not required to pre- fund any transactions with liquidity providers. Instead, Bakkt Crypto settles with liquidity providers on a daily basis; however, in instances where a liquidity provider’s settlement balance is less than $30,000 for a given token, or $50,000 across all tokens, Bakkt Crypto will settle with those liquidity providers on the last business day of the applicable month, or when the settlement balance exceeds those levels, if sooner. At settlement, fiat currency and crypto assets are exchanged to settle trading obligations from the previous period. In periods of heavy trading volumes, Bakkt Crypto and the liquidity providers may agree to perform more frequent settlements in order to decrease the exposure of unsettled transactions.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Custody Services for the Crypto Assets Supported for Trading</w:t>
      </w:r>
    </w:p>
    <w:p>
      <w:pPr>
        <w:spacing w:after="0" w:line="24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Prior to the acquisition of Bakkt Crypto, we did not use third party custodians, other than minimal amounts at liquidity providers that also provide custody for the purpose of facilitating trading and settlement. In connection with our acquisition of Bakkt Crypto, we acquired third-party custodial relationships with Coinbase Custody Trust Company (“Coinbase Custody”) and BitGo Trust Company (“BitGo”), which are currently used by Bakkt Crypto for custody and crypto asset transfers, where applicable. In addition, Bakkt Crypto also self-custodies select crypto assets (less than 7.6% of total customer crypto assets were self-custodied as of December 31, 2023) to facilitate customer withdrawals utilizing the Fireblocks Vault service. Self-custodying customer crypto assets through the use of Fireblocks third-party custody software involves risks related to our reliance on the third party for the certain services. These include the implementation of Secure Multi-Party Computation (MPC) key creation software, the provision of software that facilitates a Secure Transfer Environment for the transfer of crypto assets, and workflow authorization functionality ensuring that only Bakkt Crypto specified authorized persons are able to access the wallets for authorized purposes.</w:t>
      </w:r>
    </w:p>
    <w:p>
      <w:pPr>
        <w:spacing w:after="0" w:line="18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Under the BitGo Custody Agreement, BitGo, at Bakkt Crypto’s direction, establishes and maintains wallets for the storage of crypto assets, including cold wallets where BitGo holds all of the keys, and all of those keys are stored offline (“Vault”). BitGo serves as custodian of crypto assets stored in these wallets. BitGo is required to use reasonable best efforts to keep all custodial coins received by BitGo in safe custody on behalf of Bakkt Crypto and to keep all keys to the custodial wallet held by BitGo secure and to maintain at least one backup key. BitGo is also required to exercise all reasonable best efforts to prevent unauthorized access to or use of the keys held by BitGo to the custodial wallet. Bakkt Crypto does not have inspection rights under the BitGo Custody Agreement. The BitGo Custody Agreement has an initial one year term and renews automatically for successive one- year periods unless either party provides notice to the other party of its intent not to renew at least 60 days prior to the expiration of the then-current term.</w:t>
      </w:r>
    </w:p>
    <w:p>
      <w:pPr>
        <w:spacing w:after="0" w:line="19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Under the Coinbase Custody Agreement, Coinbase Custody provides Bakkt with a segregated custody account controlled and secured by Coinbase Custody to store certain crypto assets supported by Coinbase Custody on Bakkt Crypto’s behalf. Crypto assets in the custodial account are not treated as general assets of Coinbase Custody, and Coinbase Custody is a fiduciary and custodian on Bakkt Crypto’s behalf. Under the Coinbase Custody Agreement, Coinbase Custody securely stores crypto asset private keys in offline storage. Under the Coinbase Custody Agreement, Coinbase Custody has implemented and agrees to maintain a reasonable information security program with policies and procedures reasonably designed to safeguard its electronic systems and Bakkt Crypto’s confidential information. Coinbase Custody is required to keep timely and accurate records as to the deposit, disbursement, investment and reinvestment of crypto assets and maintain accurate books and records of the custody services in accordance with applicable law and its own internal document retention policies. Bakkt Crypto does not have inspection rights under the Coinbase Custody Agreement. The Coinbase Custody Agreement remains effective until terminated by either party by providing at least 30 days’ prior written notice to the other party.</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Under the Fireblocks License Agreement, Fireblocks has granted Bakkt Crypto a non-exclusive, non-sublicensable, non- transferable license to generate wallets through the Fireblocks Vault service. The service allows Bakkt Crypto to access and use crypto asset wallets that store private and public keys, interact with various blockchains and monitor its balances of crypto assets.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Our intention is to consolidate our self-custodial services while still offering diversification across custodians for clients that request it.</w:t>
      </w:r>
    </w:p>
    <w:p>
      <w:pPr>
        <w:spacing w:after="0" w:line="26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Bakkt Trust holds at least 90% of the crypto assets held in custody in cold storage and up to 10% of crypto assets (not to exceed $25.0 million in notional value at any one time) in warm or hot wallets.</w:t>
      </w:r>
    </w:p>
    <w:p>
      <w:pPr>
        <w:spacing w:after="0" w:line="17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Bakkt Crypto holds all crypto assets, including customer crypto assets and the immaterial inventory of crypto assets that Bakkt Crypto maintains for purposes such as facilitating blockchain fee payments and accommodating the impacts of rounding, in omnibus wallets. With respect to mode of storage, a small percentage of all crypto assets (generally not more than 2%) are held in warm or hot storage in order to facilitate daily settlement and customer withdrawals, while the vast majority of crypto assets are held in cold storage and accessed, as needed, to replenish the warm or hot wallets. The amounts of crypto assets held in warm/hot storage and cold storage are monitored daily by our custody operations team and reviewed by management on a monthly basis.</w:t>
      </w:r>
    </w:p>
    <w:p>
      <w:pPr>
        <w:spacing w:after="0" w:line="1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Assets stored by Coinbase Custody and BitGo are held 100% in segregated cold storage. “Segregated” means that Bakkt Crypto customer assets are held in unique addresses on the respective blockchains and do not include assets of other BitGo or Coinbase clients, or of BitGo or Coinbase themselves. Both entities are SOC 1 certified. At this time, Bakkt Crypto does not utilize third parties other than Coinbase Custody and BitGo to hold customer crypto assets as custodian.</w:t>
      </w:r>
    </w:p>
    <w:p>
      <w:pPr>
        <w:spacing w:after="0" w:line="19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To ensure the security of crypto assets, we do not disclose the geographic location where such assets are held or the identity of the persons who have access to them or the authority to release those assets from wallets. 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trainings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and provided to external auditors at least annually, or as otherwise requested.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 The existence, exclusive ownership and software functionality of private digital keys and other ownership records are subject to annual audits conducted by external auditors.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insurance provider has inspection rights in respect of the crypto assets held in storage.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Transfers of Crypto Assets (through Bakkt Crypto)</w:t>
      </w:r>
    </w:p>
    <w:p>
      <w:pPr>
        <w:spacing w:after="0" w:line="24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Other than in the State of New York, we make available to customers the ability to transfer crypto assets to external wallets. Because we have structured our platforms to be client-configurable in several aspects, each client has the discretion to enable this transfer feature for its customers. Crypto assets made available to customers residing in the State of New York will not be transferable to external wallets until that capability is approved by NYDFS, which we plan to seek in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 Client Business – Crypto Custody Services</w:t>
      </w:r>
    </w:p>
    <w:p>
      <w:pPr>
        <w:spacing w:after="0" w:line="24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Bakkt Trust currently provides custody services to customers of Bakkt Marketplace and to its own institutional customers with respect to all of the crypto assets which we support for trading. For a list of these crypto assets, see the table for Bakkt Trust under “</w:t>
      </w:r>
      <w:r>
        <w:rPr>
          <w:rFonts w:ascii="Times New Roman" w:cs="Times New Roman" w:eastAsia="Times New Roman" w:hAnsi="Times New Roman"/>
          <w:sz w:val="18"/>
          <w:szCs w:val="18"/>
          <w:i w:val="1"/>
          <w:iCs w:val="1"/>
          <w:color w:val="auto"/>
        </w:rPr>
        <w:t>—Crypto Assets and Services Offered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Bakkt</w:t>
      </w:r>
      <w:r>
        <w:rPr>
          <w:rFonts w:ascii="Times New Roman" w:cs="Times New Roman" w:eastAsia="Times New Roman" w:hAnsi="Times New Roman"/>
          <w:sz w:val="18"/>
          <w:szCs w:val="18"/>
          <w:color w:val="auto"/>
        </w:rPr>
        <w:t>”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Bakkt Rewards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4" w:name="page65"/>
    <w:bookmarkEnd w:id="64"/>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are in the process of enabling clients to offer their customers the ability to convert loyalty points earned through participation in the client’s loyalty program into bitcoin (and, in the future, to other crypto assets depending on demand). We initially expect to offer this service in the first quarter of 2024.</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Customers that elect this service will opt into the program through the client’s loyalty program user interface and then be referred to a Bakkt-managed front end to authorize account creation and conversion of certain client loyalty points into bitcoin. The exchange rate governing the conversion will be determined by (i) the redemption rate of client loyalty points to USD (which is set by the client), and (ii) the prevailing market price for bitcoin, which includes a markup agreed upon between the client and Bakkt. The bitcoin will then be accessible to the customer via a Bakkt-managed interface, which will allow customers to sell bitcoin for USD, link their account at the client with their bank account, deposit or withdraw fiat currency, and buy, sell and hold other approved crypto assets. The Bakkt-managed interface will not allow customers to open an account directly unless they are referred via a supported client.</w:t>
      </w:r>
    </w:p>
    <w:p>
      <w:pPr>
        <w:spacing w:after="0" w:line="183"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Bakkt Rewards will initially be supported by the Bakkt Marketplace platform and, once it combines with Bakkt Crypto, by the platform of the combined entity.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Services</w:t>
      </w:r>
    </w:p>
    <w:p>
      <w:pPr>
        <w:spacing w:after="0" w:line="24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As part of our ongoing review of potential services, we continually evaluate how we can most effectively improve our platform and service offerings in a manner that is compliance with applicable governance and regulatory considerations. In such review, we may determine to stop pursuing a potential service offering in light of, among other things, revenue expectations and compliance with applicable laws. For example, we have de-prioritized investment in Bakkt Payouts as a service offering as we work with our clients to understand the desired feature set and their timelines to implementation. As such, we have elected to suspend the development of the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our subsidiaries have a comprehensive set of policies and procedures relating to crypto assets and crypto asset- related services.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there are segregations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Custody-Related Policies</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Bakkt Trust stores client and internal assets on an omnibus basis in a combination of warm and cold wallets. Bakkt Trust uses an internal ledger to delineate client and internal assets. Bakkt Trust completes hourly automated reconciliations to confirm balances across the internal ledger, internal node, and external node match. Every deposit into Bakkt Trust is checked using industry- leading “know-your-customer” (“KYC”) providers to check the provenance of the assets deposited before moving the funds out of the deposit wallet. Deposited funds may be moved into a segregated quarantine wallet if they do not pass the KYC screening and require further investigation.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Bakkt Crypto makes use of third-party providers of custodial services, including Coinbase Custody Trust Company, LLC and BitGo Trust Company, to hold customer crypto assets as custodian in cold storage as well as in hot or warm wallets as necessary. Bakkt Crypto also self-custodies customer crypto assets using the Fireblocks Vault service. All wallets hosted by Bakkt Crypto are omnibus wallets, which may contain both crypto assets held for the benefit of customers and the limited quantity of crypto assets held by Bakkt Crypto in its own account as inventory. Bakkt Crypto does not, and historically did not, operate a proprietary trading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Listing-Related Policies</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maintain crypto asset listing policies for each of Bakkt Marketplace (which policy also covers Bakkt Crypto, as its wholly owned subsidiary) and Bakkt Trust (the “Listing Policies”), the purpose of which is to provide a framework for the review and approval of new crypto assets for customer transactions and custody services, respectively. The Listing Policies are based on guidance from NYDFS and were approved by the NYDFS. Material revisions to the Listing Policies require prior written approval from the NYDFS.</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Listing Policies require the covered entity to undertake and document a risk assessment for each new crypto asset, which considers a number of risks, including legal and regulatory risk, and entails a review of the regulatory status of the crypto asset. Other risks covered by the risk assessment include integrity and legitimacy risk (i.e., risks associated with the creation, governance, issuance, and design of the crypto asset); reputational risk; liquidity, pricing, and manipulation risk; operational risk; and cyber security risk. The Listing Policies also provide for an evaluation of actual or potential conflicts of interest with respect to the potential listing of a crypto asset, and updates to policies and procedures to ensure that monitoring and control measures are in place to manage money laundering and financial crime risk associated with the crypto asset.</w:t>
      </w:r>
    </w:p>
    <w:p>
      <w:pPr>
        <w:spacing w:after="0" w:line="1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Under the Listing Policies, we utilize the risk assessment to consider various factors when making a decision to approve a new crypto asset for listing, including, among others, the appropriateness of the crypto asset to our business model and client base and whether the crypto asset is supported by other reputable markets or trading venues. In order to assess the regulatory status of a crypto asset, we consider the applicable laws, rules and case law, and other factors relevant to the determination of the security status of a crypto asset, and the positions of the SEC as expressed in various crypto-related enforcement actions and lawsuits. We may also solicit the opinion of outside counsel.</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Listing Policies do not ascribe specific weighting to particular factors or inputs to be considered in connection with the potential listing or delisting of crypto assets.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3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market our platform to our clients. We do not engage in any direct-to-consumer marketing for the acquisition or engagement of end consumers, or customers. As part of client engagement, we may assist them in developing their crypto assets marketing strategy but any such strategy is ultimately executed by clients at their discretion. We also have a sponsorship agreement with Caesars Entertainment pursuant to which the theater at Planet Hollywood Resort &amp; Casino in Las Vegas is branded as the “Bakkt Theater.” However, potential customers are not able to sign up directly with us and need to access our platform through a client environment.</w:t>
      </w:r>
    </w:p>
    <w:p>
      <w:pPr>
        <w:spacing w:after="0" w:line="17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Clients may choose to market our crypto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8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8"/>
          <w:szCs w:val="18"/>
          <w:color w:val="auto"/>
        </w:rPr>
        <w:t>We market our products and services to potential clients using multiple business-to-business channels, such as (i) Company-owned domains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6" w:name="page67"/>
    <w:bookmarkEnd w:id="66"/>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Customer Identification Program and KYC verification) and to service customers.</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We have built an extensive vendor network across various industries including financial services, travel and entertainment, retail and platform companies. While we have made significant headway building partnerships in these industries, there remain significant untapped growth opportunities in each area. For example, traditional financial institutions are facing increased competition from a broader group of fintech entrants. We expect that the pressure on them to provide innovative products and increased competition will continue to grow. Our ability to stand up capabilities within client ecosystems makes our platform an attractive solution for such financial institutions seeking an intuitive, tightly integrated, low risk solution to offer crypto and loyalty services.</w:t>
      </w:r>
    </w:p>
    <w:p>
      <w:pPr>
        <w:spacing w:after="0" w:line="1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believe our growing network of clients provides potential for increased scale and substantiates the viability of our business plan. As our partnerships go live, we will deploy marketing resources to drive consumer adoption and usage of our platform. The successful activation and implementation of these partnerships are expected to be a significant driver for our transaction growth and associated revenue, including crypto trading revenue. We believe we will benefit from a positive network effect, where the value of our network will generally increase as we add new clients, vendors, customers and crypto to our platform.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Matters</w:t>
      </w:r>
    </w:p>
    <w:p>
      <w:pPr>
        <w:spacing w:after="0" w:line="24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directors’, employee and fiduciary liability and officers’ liability.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also be covered for certain liabilities by insurance policies issued to third parties, including, but not limited to, our dealers and vendors.</w:t>
      </w:r>
    </w:p>
    <w:p>
      <w:pPr>
        <w:spacing w:after="0" w:line="252"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We maintain $230 million of insurance coverage, which includes $200 million of cold storage coverage and $30 million of hot storage coverage. The $30 million of hot storage coverage is in excess of a $10 million loss retention. There is no retention applicable to the $200 million of cold storage coverage. All supporting insurers maintain a minimum A.M. Best rating of “A”. The</w:t>
      </w:r>
    </w:p>
    <w:p>
      <w:pPr>
        <w:spacing w:after="0" w:line="162"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$30 million of hot storage coverage has a three-year term, expiring October 2024. The $200 million of cold storage coverage has a one-year term, expiring November 2024.</w:t>
      </w:r>
    </w:p>
    <w:p>
      <w:pPr>
        <w:spacing w:after="0" w:line="14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AXA XL-led $30 million of hot storage coverage policy is non-cancellable, other than due to non-payment of premium. The Lloyds-led $200 million of cold storage coverage policy may only be cancelled upon: 1) the Company’s election to cancel, 2) the insurer’s election to cancel, on 90 days’ notice to the Company, 3) the Company’s change in ownership or control or seizure by a receiver, trustee, or government entity, 4) voluntary liquidation of the Company, 5) exhaustion of the coverage limit, or 6) non-payment of premium. The AXA XL-led $30 million of hot storage coverage policy has no automatic or guaranteed renewal provisions, although we expect to renew such coverage prior to its expiration. The Lloyds-led $200 million of cold storage policy has a one-year guaranteed renewal provision. There are no carrier inspection rights, but an affirmative proof of loss statement would need to be completed in the event of a loss.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7" w:name="page68"/>
    <w:bookmarkEnd w:id="67"/>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22"/>
          <w:szCs w:val="22"/>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560" w:type="dxa"/>
            <w:vAlign w:val="bottom"/>
            <w:gridSpan w:val="3"/>
            <w:vMerge w:val="restart"/>
          </w:tcPr>
          <w:p>
            <w:pPr>
              <w:ind w:left="2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560" w:type="dxa"/>
            <w:vAlign w:val="bottom"/>
            <w:tcBorders>
              <w:bottom w:val="single" w:sz="8" w:color="auto"/>
            </w:tcBorders>
            <w:gridSpan w:val="3"/>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55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Amendment No. 1 To Membership Interest Purchase Agreement, dated as of</w:t>
              </w:r>
            </w:hyperlink>
          </w:p>
        </w:tc>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001-39544</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3, 2023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560" w:type="dxa"/>
            <w:vAlign w:val="bottom"/>
            <w:gridSpan w:val="3"/>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March 30, 2023, by and among the Company, Bakkt Marketplace, Apex</w:t>
              </w:r>
            </w:hyperlink>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3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Fintech Solutions Inc. and Apex Crypto, LLC.</w:t>
              </w:r>
            </w:hyperlink>
          </w:p>
        </w:tc>
        <w:tc>
          <w:tcPr>
            <w:tcW w:w="2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1022" w:right="339" w:bottom="1440" w:gutter="0" w:footer="0" w:header="0"/>
        </w:sectPr>
      </w:pP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Certificate of Incorporation of the Company, as currently in effect</w:t>
              </w:r>
            </w:hyperlink>
          </w:p>
        </w:tc>
        <w:tc>
          <w:tcPr>
            <w:tcW w:w="7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October 21, 2021</w:t>
            </w:r>
          </w:p>
        </w:tc>
      </w:tr>
      <w:tr>
        <w:trPr>
          <w:trHeight w:val="358"/>
        </w:trPr>
        <w:tc>
          <w:tcPr>
            <w:tcW w:w="336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By-laws of the Company, as currently in effect</w:t>
              </w:r>
            </w:hyperlink>
          </w:p>
        </w:tc>
        <w:tc>
          <w:tcPr>
            <w:tcW w:w="216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October 21, 2021</w:t>
            </w:r>
          </w:p>
        </w:tc>
      </w:tr>
      <w:tr>
        <w:trPr>
          <w:trHeight w:val="358"/>
        </w:trPr>
        <w:tc>
          <w:tcPr>
            <w:tcW w:w="552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Amendment Agreement by and between Bakkt Holdings, Inc., Apex Fintech</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001-39544</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4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August 10, 2023</w:t>
            </w:r>
          </w:p>
        </w:tc>
      </w:tr>
    </w:tbl>
    <w:p>
      <w:pPr>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Solutions Inc. and PEAK6 Investments LLC</w:t>
        </w:r>
      </w:hyperlink>
    </w:p>
    <w:p>
      <w:pPr>
        <w:spacing w:after="0" w:line="112" w:lineRule="exact"/>
        <w:rPr>
          <w:sz w:val="20"/>
          <w:szCs w:val="20"/>
          <w:color w:val="auto"/>
        </w:rPr>
      </w:pPr>
    </w:p>
    <w:p>
      <w:pPr>
        <w:jc w:val="both"/>
        <w:ind w:right="444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35" w:lineRule="exact"/>
        <w:rPr>
          <w:sz w:val="20"/>
          <w:szCs w:val="20"/>
          <w:color w:val="auto"/>
        </w:rPr>
      </w:pPr>
    </w:p>
    <w:p>
      <w:pPr>
        <w:jc w:val="both"/>
        <w:ind w:right="444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35" w:lineRule="exact"/>
        <w:rPr>
          <w:sz w:val="20"/>
          <w:szCs w:val="20"/>
          <w:color w:val="auto"/>
        </w:rPr>
      </w:pPr>
    </w:p>
    <w:p>
      <w:pPr>
        <w:jc w:val="both"/>
        <w:ind w:right="444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135" w:lineRule="exact"/>
        <w:rPr>
          <w:sz w:val="20"/>
          <w:szCs w:val="20"/>
          <w:color w:val="auto"/>
        </w:rPr>
      </w:pPr>
    </w:p>
    <w:p>
      <w:pPr>
        <w:jc w:val="both"/>
        <w:ind w:right="444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135" w:lineRule="exact"/>
        <w:rPr>
          <w:sz w:val="20"/>
          <w:szCs w:val="20"/>
          <w:color w:val="auto"/>
        </w:rPr>
      </w:pPr>
    </w:p>
    <w:p>
      <w:pPr>
        <w:jc w:val="both"/>
        <w:ind w:right="4440"/>
        <w:spacing w:after="0" w:line="266"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85" w:lineRule="exact"/>
        <w:rPr>
          <w:sz w:val="20"/>
          <w:szCs w:val="20"/>
          <w:color w:val="auto"/>
        </w:rPr>
      </w:pPr>
    </w:p>
    <w:p>
      <w:pPr>
        <w:jc w:val="both"/>
        <w:ind w:right="4440"/>
        <w:spacing w:after="0" w:line="282"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460"/>
            <w:col w:w="9980"/>
          </w:cols>
          <w:pgMar w:left="320" w:top="1022" w:right="339" w:bottom="1440" w:gutter="0" w:footer="0" w:header="0"/>
          <w:type w:val="continuous"/>
        </w:sectPr>
      </w:pPr>
    </w:p>
    <w:p>
      <w:pPr>
        <w:spacing w:after="0" w:line="16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69" w:name="page70"/>
    <w:bookmarkEnd w:id="69"/>
    <w:p>
      <w:pPr>
        <w:jc w:val="right"/>
        <w:ind w:left="440" w:hanging="432"/>
        <w:spacing w:after="0" w:line="289" w:lineRule="auto"/>
        <w:tabs>
          <w:tab w:leader="none" w:pos="2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w:t>
      </w:r>
    </w:p>
    <w:p>
      <w:pPr>
        <w:spacing w:after="0" w:line="1" w:lineRule="exact"/>
        <w:rPr>
          <w:sz w:val="20"/>
          <w:szCs w:val="20"/>
          <w:color w:val="auto"/>
        </w:rPr>
      </w:pPr>
    </w:p>
    <w:p>
      <w:pPr>
        <w:jc w:val="center"/>
        <w:ind w:left="380" w:right="380"/>
        <w:spacing w:after="0" w:line="282" w:lineRule="auto"/>
        <w:rPr>
          <w:sz w:val="20"/>
          <w:szCs w:val="20"/>
          <w:color w:val="auto"/>
        </w:rPr>
      </w:pPr>
      <w:r>
        <w:rPr>
          <w:rFonts w:ascii="Times New Roman" w:cs="Times New Roman" w:eastAsia="Times New Roman" w:hAnsi="Times New Roman"/>
          <w:sz w:val="18"/>
          <w:szCs w:val="18"/>
          <w:color w:val="auto"/>
        </w:rPr>
        <w:t xml:space="preserve">1934, as amended, whether made before or after the date hereof and irrespective of any general incorporation language contained in such filings. </w:t>
      </w: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2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w w:val="99"/>
              </w:rPr>
              <w:t>Bakkt Holdings, Inc.</w:t>
            </w:r>
          </w:p>
        </w:tc>
        <w:tc>
          <w:tcPr>
            <w:tcW w:w="4560" w:type="dxa"/>
            <w:vAlign w:val="bottom"/>
          </w:tcPr>
          <w:p>
            <w:pPr>
              <w:spacing w:after="0"/>
              <w:rPr>
                <w:sz w:val="20"/>
                <w:szCs w:val="20"/>
                <w:color w:val="auto"/>
              </w:rPr>
            </w:pPr>
          </w:p>
        </w:tc>
      </w:tr>
      <w:tr>
        <w:trPr>
          <w:trHeight w:val="44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2024</w:t>
            </w:r>
          </w:p>
        </w:tc>
        <w:tc>
          <w:tcPr>
            <w:tcW w:w="32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/s/ Gavin Michael</w:t>
            </w:r>
          </w:p>
        </w:tc>
      </w:tr>
      <w:tr>
        <w:trPr>
          <w:trHeight w:val="218"/>
        </w:trPr>
        <w:tc>
          <w:tcPr>
            <w:tcW w:w="3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rPr>
              <w:t>Gavin Michael</w:t>
            </w:r>
          </w:p>
        </w:tc>
      </w:tr>
      <w:tr>
        <w:trPr>
          <w:trHeight w:val="180"/>
        </w:trPr>
        <w:tc>
          <w:tcPr>
            <w:tcW w:w="3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10"/>
              <w:spacing w:after="0" w:line="181" w:lineRule="exact"/>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34"/>
        </w:trPr>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2024</w:t>
            </w:r>
          </w:p>
        </w:tc>
        <w:tc>
          <w:tcPr>
            <w:tcW w:w="32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/s/ Karen Alexander</w:t>
            </w:r>
          </w:p>
        </w:tc>
      </w:tr>
      <w:tr>
        <w:trPr>
          <w:trHeight w:val="218"/>
        </w:trPr>
        <w:tc>
          <w:tcPr>
            <w:tcW w:w="3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rPr>
              <w:t>Karen Alexander</w:t>
            </w:r>
          </w:p>
        </w:tc>
      </w:tr>
      <w:tr>
        <w:trPr>
          <w:trHeight w:val="180"/>
        </w:trPr>
        <w:tc>
          <w:tcPr>
            <w:tcW w:w="3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30"/>
              <w:spacing w:after="0" w:line="181"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50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2024</w:t>
            </w:r>
          </w:p>
        </w:tc>
        <w:tc>
          <w:tcPr>
            <w:tcW w:w="32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 Chip Goodroe</w:t>
            </w:r>
          </w:p>
        </w:tc>
      </w:tr>
      <w:tr>
        <w:trPr>
          <w:trHeight w:val="218"/>
        </w:trPr>
        <w:tc>
          <w:tcPr>
            <w:tcW w:w="3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9"/>
              </w:rPr>
              <w:t>Chip Goodroe</w:t>
            </w:r>
          </w:p>
        </w:tc>
      </w:tr>
      <w:tr>
        <w:trPr>
          <w:trHeight w:val="180"/>
        </w:trPr>
        <w:tc>
          <w:tcPr>
            <w:tcW w:w="34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560" w:type="dxa"/>
            <w:vAlign w:val="bottom"/>
          </w:tcPr>
          <w:p>
            <w:pPr>
              <w:jc w:val="center"/>
              <w:ind w:right="1030"/>
              <w:spacing w:after="0" w:line="181" w:lineRule="exact"/>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927"/>
        </w:trPr>
        <w:tc>
          <w:tcPr>
            <w:tcW w:w="3440" w:type="dxa"/>
            <w:vAlign w:val="bottom"/>
          </w:tcPr>
          <w:p>
            <w:pPr>
              <w:spacing w:after="0"/>
              <w:rPr>
                <w:sz w:val="24"/>
                <w:szCs w:val="24"/>
                <w:color w:val="auto"/>
              </w:rPr>
            </w:pPr>
          </w:p>
        </w:tc>
        <w:tc>
          <w:tcPr>
            <w:tcW w:w="320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70</w:t>
            </w:r>
          </w:p>
        </w:tc>
        <w:tc>
          <w:tcPr>
            <w:tcW w:w="4560" w:type="dxa"/>
            <w:vAlign w:val="bottom"/>
          </w:tcPr>
          <w:p>
            <w:pPr>
              <w:spacing w:after="0"/>
              <w:rPr>
                <w:sz w:val="24"/>
                <w:szCs w:val="24"/>
                <w:color w:val="auto"/>
              </w:rPr>
            </w:pPr>
          </w:p>
        </w:tc>
      </w:tr>
    </w:tbl>
    <w:p>
      <w:pPr>
        <w:sectPr>
          <w:pgSz w:w="11900" w:h="16838" w:orient="portrait"/>
          <w:cols w:equalWidth="0" w:num="1">
            <w:col w:w="11240"/>
          </w:cols>
          <w:pgMar w:left="320" w:top="985" w:right="339" w:bottom="1440" w:gutter="0" w:footer="0" w:header="0"/>
        </w:sectPr>
      </w:pPr>
    </w:p>
    <w:bookmarkStart w:id="70" w:name="page71"/>
    <w:bookmarkEnd w:id="7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72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7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Gavin Michael</w:t>
      </w:r>
    </w:p>
    <w:p>
      <w:pPr>
        <w:spacing w:after="0" w:line="5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Executive Officer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71" w:name="page72"/>
    <w:bookmarkEnd w:id="7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64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5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ind w:left="73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10-Q/A for the period ending September 30, 2023 as filed</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with the Securities and Exchange Commission on the date hereof (the “Report”), I, Gavin Michael, the Chief Executive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620" w:val="left"/>
          <w:tab w:leader="none" w:pos="7980" w:val="left"/>
        </w:tabs>
        <w:rPr>
          <w:sz w:val="20"/>
          <w:szCs w:val="20"/>
          <w:color w:val="auto"/>
        </w:rPr>
      </w:pPr>
      <w:r>
        <w:rPr>
          <w:rFonts w:ascii="Times New Roman" w:cs="Times New Roman" w:eastAsia="Times New Roman" w:hAnsi="Times New Roman"/>
          <w:sz w:val="18"/>
          <w:szCs w:val="18"/>
          <w:color w:val="auto"/>
        </w:rPr>
        <w:t>Date: February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Gavin Michael</w:t>
      </w:r>
    </w:p>
    <w:p>
      <w:pPr>
        <w:spacing w:after="0" w:line="5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10-Q/A for the period ending September 30, 2023 as filed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with the Securities and Exchange Commission on the date hereof (the “Report”), I, Karen Alexander, the Chief Financial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February 14,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43180</wp:posOffset>
            </wp:positionV>
            <wp:extent cx="33686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decimal"/>
      <w:start w:val="2"/>
    </w:lvl>
  </w:abstractNum>
  <w:abstractNum w:abstractNumId="11">
    <w:nsid w:val="B03E0C6"/>
    <w:multiLevelType w:val="hybridMultilevel"/>
    <w:lvl w:ilvl="0">
      <w:lvlJc w:val="left"/>
      <w:lvlText w:val="%1."/>
      <w:numFmt w:val="decimal"/>
      <w:start w:val="3"/>
    </w:lvl>
  </w:abstractNum>
  <w:abstractNum w:abstractNumId="12">
    <w:nsid w:val="189A769B"/>
    <w:multiLevelType w:val="hybridMultilevel"/>
    <w:lvl w:ilvl="0">
      <w:lvlJc w:val="left"/>
      <w:lvlText w:val="(%1)"/>
      <w:numFmt w:val="lowerLetter"/>
      <w:start w:val="1"/>
    </w:lvl>
  </w:abstractNum>
  <w:abstractNum w:abstractNumId="13">
    <w:nsid w:val="54E49EB4"/>
    <w:multiLevelType w:val="hybridMultilevel"/>
    <w:lvl w:ilvl="0">
      <w:lvlJc w:val="left"/>
      <w:lvlText w:val="(%1)"/>
      <w:numFmt w:val="lowerLetter"/>
      <w:start w:val="2"/>
    </w:lvl>
  </w:abstractNum>
  <w:abstractNum w:abstractNumId="14">
    <w:nsid w:val="71F32454"/>
    <w:multiLevelType w:val="hybridMultilevel"/>
    <w:lvl w:ilvl="0">
      <w:lvlJc w:val="left"/>
      <w:lvlText w:val="%1."/>
      <w:numFmt w:val="decimal"/>
      <w:start w:val="4"/>
    </w:lvl>
  </w:abstractNum>
  <w:abstractNum w:abstractNumId="15">
    <w:nsid w:val="2CA88611"/>
    <w:multiLevelType w:val="hybridMultilevel"/>
    <w:lvl w:ilvl="0">
      <w:lvlJc w:val="left"/>
      <w:lvlText w:val="%1."/>
      <w:numFmt w:val="decimal"/>
      <w:start w:val="7"/>
    </w:lvl>
  </w:abstractNum>
  <w:abstractNum w:abstractNumId="16">
    <w:nsid w:val="836C40E"/>
    <w:multiLevelType w:val="hybridMultilevel"/>
    <w:lvl w:ilvl="0">
      <w:lvlJc w:val="left"/>
      <w:lvlText w:val="%1."/>
      <w:numFmt w:val="decimal"/>
      <w:start w:val="8"/>
    </w:lvl>
  </w:abstractNum>
  <w:abstractNum w:abstractNumId="17">
    <w:nsid w:val="2901D82"/>
    <w:multiLevelType w:val="hybridMultilevel"/>
    <w:lvl w:ilvl="0">
      <w:lvlJc w:val="left"/>
      <w:lvlText w:val="%1."/>
      <w:numFmt w:val="decimal"/>
      <w:start w:val="9"/>
    </w:lvl>
  </w:abstractNum>
  <w:abstractNum w:abstractNumId="18">
    <w:nsid w:val="3A95F874"/>
    <w:multiLevelType w:val="hybridMultilevel"/>
    <w:lvl w:ilvl="0">
      <w:lvlJc w:val="left"/>
      <w:lvlText w:val="%1."/>
      <w:numFmt w:val="decimal"/>
      <w:start w:val="10"/>
    </w:lvl>
  </w:abstractNum>
  <w:abstractNum w:abstractNumId="19">
    <w:nsid w:val="8138641"/>
    <w:multiLevelType w:val="hybridMultilevel"/>
    <w:lvl w:ilvl="0">
      <w:lvlJc w:val="left"/>
      <w:lvlText w:val="%1."/>
      <w:numFmt w:val="decimal"/>
      <w:start w:val="11"/>
    </w:lvl>
  </w:abstractNum>
  <w:abstractNum w:abstractNumId="20">
    <w:nsid w:val="1E7FF521"/>
    <w:multiLevelType w:val="hybridMultilevel"/>
    <w:lvl w:ilvl="0">
      <w:lvlJc w:val="left"/>
      <w:lvlText w:val="%1."/>
      <w:numFmt w:val="decimal"/>
      <w:start w:val="11"/>
    </w:lvl>
    <w:lvl w:ilvl="1">
      <w:lvlJc w:val="left"/>
      <w:lvlText w:val="•"/>
      <w:numFmt w:val="bullet"/>
      <w:start w:val="1"/>
    </w:lvl>
  </w:abstractNum>
  <w:abstractNum w:abstractNumId="21">
    <w:nsid w:val="7C3DBD3D"/>
    <w:multiLevelType w:val="hybridMultilevel"/>
    <w:lvl w:ilvl="0">
      <w:lvlJc w:val="left"/>
      <w:lvlText w:val="%1."/>
      <w:numFmt w:val="decimal"/>
      <w:start w:val="19"/>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06" Type="http://schemas.openxmlformats.org/officeDocument/2006/relationships/hyperlink" Target="https://www.sec.gov/Archives/edgar/data/1820302/000119312523089016/d482123dex22.htm" TargetMode="External"/><Relationship Id="rId107" Type="http://schemas.openxmlformats.org/officeDocument/2006/relationships/hyperlink" Target="https://www.sec.gov/Archives/edgar/data/0001820302/000119312521303985/d219325dex31.htm" TargetMode="External"/><Relationship Id="rId108" Type="http://schemas.openxmlformats.org/officeDocument/2006/relationships/hyperlink" Target="https://www.sec.gov/Archives/edgar/data/0001820302/000119312521303985/d219325dex32.htm" TargetMode="External"/><Relationship Id="rId109" Type="http://schemas.openxmlformats.org/officeDocument/2006/relationships/hyperlink" Target="https://www.sec.gov/Archives/edgar/data/1820302/000182030223000080/exhibit42amendment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2024-02-14T11:30:32Z</dcterms:created>
  <dcterms:modified xsi:type="dcterms:W3CDTF">2024-02-14T11:30:32Z</dcterms:modified>
</cp:coreProperties>
</file>