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SCHEDULE 13D</w:t>
      </w:r>
    </w:p>
    <w:p>
      <w:pPr>
        <w:spacing w:after="0" w:line="223"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6"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(Amendment No. 5)</w:t>
      </w:r>
    </w:p>
    <w:p>
      <w:pPr>
        <w:spacing w:after="0" w:line="206"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178"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178"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05759B107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178"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Andrew J. Surdykowski</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Intercontinental Exchange, Inc.</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color w:val="auto"/>
        </w:rPr>
        <w:t>5660 New Northside Drive</w:t>
      </w:r>
    </w:p>
    <w:p>
      <w:pPr>
        <w:jc w:val="center"/>
        <w:ind w:right="-59"/>
        <w:spacing w:after="0" w:line="231" w:lineRule="auto"/>
        <w:rPr>
          <w:sz w:val="20"/>
          <w:szCs w:val="20"/>
          <w:color w:val="auto"/>
        </w:rPr>
      </w:pPr>
      <w:r>
        <w:rPr>
          <w:rFonts w:ascii="Times New Roman" w:cs="Times New Roman" w:eastAsia="Times New Roman" w:hAnsi="Times New Roman"/>
          <w:sz w:val="22"/>
          <w:szCs w:val="22"/>
          <w:b w:val="1"/>
          <w:bCs w:val="1"/>
          <w:color w:val="auto"/>
        </w:rPr>
        <w:t>Atlanta, GA 30328</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770-857-4700</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With a Copy to:</w:t>
      </w:r>
    </w:p>
    <w:p>
      <w:pPr>
        <w:spacing w:after="0" w:line="20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Rory B. O’Halloran</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Cody Wright</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color w:val="auto"/>
        </w:rPr>
        <w:t>Allen Overy Shearman Sterling LLP</w:t>
      </w:r>
    </w:p>
    <w:p>
      <w:pPr>
        <w:jc w:val="center"/>
        <w:ind w:right="-59"/>
        <w:spacing w:after="0" w:line="231" w:lineRule="auto"/>
        <w:rPr>
          <w:sz w:val="20"/>
          <w:szCs w:val="20"/>
          <w:color w:val="auto"/>
        </w:rPr>
      </w:pPr>
      <w:r>
        <w:rPr>
          <w:rFonts w:ascii="Times New Roman" w:cs="Times New Roman" w:eastAsia="Times New Roman" w:hAnsi="Times New Roman"/>
          <w:sz w:val="22"/>
          <w:szCs w:val="22"/>
          <w:b w:val="1"/>
          <w:bCs w:val="1"/>
          <w:color w:val="auto"/>
        </w:rPr>
        <w:t>599 Lexington Avenue</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color w:val="auto"/>
        </w:rPr>
        <w:t>New York, NY 10022-6069</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212-848-4000</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(Name, Address and Telephone Number of Person Authorized</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to Receive Notices and Communications)</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July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182" w:lineRule="exact"/>
        <w:rPr>
          <w:sz w:val="24"/>
          <w:szCs w:val="24"/>
          <w:color w:val="auto"/>
        </w:rPr>
      </w:pPr>
    </w:p>
    <w:p>
      <w:pPr>
        <w:ind w:right="120"/>
        <w:spacing w:after="0" w:line="285" w:lineRule="exact"/>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w:t>
      </w:r>
    </w:p>
    <w:p>
      <w:pPr>
        <w:spacing w:after="0" w:line="142" w:lineRule="exact"/>
        <w:rPr>
          <w:sz w:val="24"/>
          <w:szCs w:val="24"/>
          <w:color w:val="auto"/>
        </w:rPr>
      </w:pPr>
    </w:p>
    <w:p>
      <w:pPr>
        <w:ind w:right="220"/>
        <w:spacing w:after="0" w:line="262" w:lineRule="auto"/>
        <w:rPr>
          <w:sz w:val="20"/>
          <w:szCs w:val="20"/>
          <w:color w:val="auto"/>
        </w:rPr>
      </w:pPr>
      <w:r>
        <w:rPr>
          <w:rFonts w:ascii="Times New Roman" w:cs="Times New Roman" w:eastAsia="Times New Roman" w:hAnsi="Times New Roman"/>
          <w:sz w:val="22"/>
          <w:szCs w:val="22"/>
          <w:b w:val="1"/>
          <w:bCs w:val="1"/>
          <w:color w:val="auto"/>
        </w:rPr>
        <w:t>Note</w:t>
      </w:r>
      <w:r>
        <w:rPr>
          <w:rFonts w:ascii="Times New Roman" w:cs="Times New Roman" w:eastAsia="Times New Roman" w:hAnsi="Times New Roman"/>
          <w:sz w:val="22"/>
          <w:szCs w:val="22"/>
          <w:color w:val="auto"/>
        </w:rPr>
        <w:t>: Schedules filed in paper format shall include a signed original and five copies of the schedule, including all exhibits. See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Rule 13d-7 for other parties to whom copies are to be sent.</w:t>
      </w:r>
    </w:p>
    <w:p>
      <w:pPr>
        <w:spacing w:after="0" w:line="154" w:lineRule="exact"/>
        <w:rPr>
          <w:sz w:val="24"/>
          <w:szCs w:val="24"/>
          <w:color w:val="auto"/>
        </w:rPr>
      </w:pPr>
    </w:p>
    <w:p>
      <w:pPr>
        <w:ind w:right="40" w:firstLine="8"/>
        <w:spacing w:after="0" w:line="244"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3"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1" w:name="page2"/>
    <w:bookmarkEnd w:id="1"/>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SCHEDULE 13D</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CUSIP No. 05759B107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91" w:orient="portrait"/>
          <w:cols w:equalWidth="0" w:num="1">
            <w:col w:w="11240"/>
          </w:cols>
          <w:pgMar w:left="320" w:top="567" w:right="339" w:bottom="0" w:gutter="0" w:footer="0" w:header="0"/>
        </w:sectPr>
      </w:pPr>
    </w:p>
    <w:p>
      <w:pPr>
        <w:spacing w:after="0" w:line="200" w:lineRule="exact"/>
        <w:rPr>
          <w:sz w:val="20"/>
          <w:szCs w:val="20"/>
          <w:color w:val="auto"/>
        </w:rPr>
      </w:pP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9"/>
          <w:szCs w:val="29"/>
          <w:color w:val="auto"/>
        </w:rPr>
        <w:t>2</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-148590</wp:posOffset>
            </wp:positionV>
            <wp:extent cx="7132320" cy="8263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63890"/>
                    </a:xfrm>
                    <a:prstGeom prst="rect">
                      <a:avLst/>
                    </a:prstGeom>
                    <a:noFill/>
                  </pic:spPr>
                </pic:pic>
              </a:graphicData>
            </a:graphic>
          </wp:anchor>
        </w:drawing>
      </w:r>
    </w:p>
    <w:p>
      <w:pPr>
        <w:spacing w:after="0" w:line="19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Intercontinental Exchange, Inc.</w:t>
      </w:r>
    </w:p>
    <w:p>
      <w:pPr>
        <w:spacing w:after="0" w:line="21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b w:val="1"/>
          <w:bCs w:val="1"/>
          <w:color w:val="auto"/>
        </w:rPr>
        <w:t>CHECK THE APPROPRIATE BOX IF A MEMBER OF A GROUP</w:t>
      </w:r>
    </w:p>
    <w:p>
      <w:pPr>
        <w:spacing w:after="0" w:line="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(See Instructions)</w:t>
      </w:r>
    </w:p>
    <w:p>
      <w:pPr>
        <w:spacing w:after="0" w:line="161" w:lineRule="exact"/>
        <w:rPr>
          <w:sz w:val="20"/>
          <w:szCs w:val="20"/>
          <w:color w:val="auto"/>
        </w:rPr>
      </w:pPr>
    </w:p>
    <w:p>
      <w:pPr>
        <w:ind w:left="287" w:hanging="287"/>
        <w:spacing w:after="0" w:line="253" w:lineRule="exact"/>
        <w:tabs>
          <w:tab w:leader="none" w:pos="287" w:val="left"/>
        </w:tabs>
        <w:numPr>
          <w:ilvl w:val="0"/>
          <w:numId w:val="2"/>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75" w:lineRule="exact"/>
        <w:rPr>
          <w:rFonts w:ascii="Times New Roman" w:cs="Times New Roman" w:eastAsia="Times New Roman" w:hAnsi="Times New Roman"/>
          <w:sz w:val="22"/>
          <w:szCs w:val="22"/>
          <w:color w:val="auto"/>
        </w:rPr>
      </w:pPr>
    </w:p>
    <w:p>
      <w:pPr>
        <w:ind w:left="307" w:hanging="307"/>
        <w:spacing w:after="0" w:line="253" w:lineRule="exact"/>
        <w:tabs>
          <w:tab w:leader="none" w:pos="307" w:val="left"/>
        </w:tabs>
        <w:numPr>
          <w:ilvl w:val="0"/>
          <w:numId w:val="2"/>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1" w:lineRule="exact"/>
        <w:rPr>
          <w:sz w:val="20"/>
          <w:szCs w:val="20"/>
          <w:color w:val="auto"/>
        </w:rPr>
      </w:pPr>
    </w:p>
    <w:p>
      <w:pPr>
        <w:sectPr>
          <w:pgSz w:w="11900" w:h="16891" w:orient="portrait"/>
          <w:cols w:equalWidth="0" w:num="2">
            <w:col w:w="660" w:space="593"/>
            <w:col w:w="9987"/>
          </w:cols>
          <w:pgMar w:left="320" w:top="567" w:right="339" w:bottom="0" w:gutter="0" w:footer="0" w:header="0"/>
          <w:type w:val="continuous"/>
        </w:sectPr>
      </w:pPr>
    </w:p>
    <w:p>
      <w:pPr>
        <w:ind w:left="1260" w:hanging="750"/>
        <w:spacing w:after="0" w:line="184" w:lineRule="auto"/>
        <w:tabs>
          <w:tab w:leader="none" w:pos="1260" w:val="left"/>
        </w:tabs>
        <w:numPr>
          <w:ilvl w:val="0"/>
          <w:numId w:val="3"/>
        </w:numPr>
        <w:rPr>
          <w:rFonts w:ascii="Times New Roman" w:cs="Times New Roman" w:eastAsia="Times New Roman" w:hAnsi="Times New Roman"/>
          <w:sz w:val="54"/>
          <w:szCs w:val="54"/>
          <w:color w:val="auto"/>
          <w:vertAlign w:val="subscript"/>
        </w:rPr>
      </w:pPr>
      <w:r>
        <w:rPr>
          <w:rFonts w:ascii="Times New Roman" w:cs="Times New Roman" w:eastAsia="Times New Roman" w:hAnsi="Times New Roman"/>
          <w:sz w:val="21"/>
          <w:szCs w:val="21"/>
          <w:b w:val="1"/>
          <w:bCs w:val="1"/>
          <w:color w:val="auto"/>
        </w:rPr>
        <w:t>SEC USE ONLY</w:t>
      </w:r>
    </w:p>
    <w:p>
      <w:pPr>
        <w:sectPr>
          <w:pgSz w:w="11900" w:h="16891" w:orient="portrait"/>
          <w:cols w:equalWidth="0" w:num="1">
            <w:col w:w="11240"/>
          </w:cols>
          <w:pgMar w:left="320" w:top="567" w:right="339" w:bottom="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9"/>
          <w:szCs w:val="29"/>
          <w:color w:val="auto"/>
        </w:rPr>
        <w:t>4</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SOURCE OF FUNDS </w:t>
      </w:r>
      <w:r>
        <w:rPr>
          <w:rFonts w:ascii="Times New Roman" w:cs="Times New Roman" w:eastAsia="Times New Roman" w:hAnsi="Times New Roman"/>
          <w:sz w:val="17"/>
          <w:szCs w:val="17"/>
          <w:b w:val="1"/>
          <w:bCs w:val="1"/>
          <w:color w:val="auto"/>
        </w:rPr>
        <w:t>(See Instructions)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200" w:lineRule="exact"/>
        <w:rPr>
          <w:sz w:val="20"/>
          <w:szCs w:val="20"/>
          <w:color w:val="auto"/>
        </w:rPr>
      </w:pPr>
    </w:p>
    <w:p>
      <w:pPr>
        <w:sectPr>
          <w:pgSz w:w="11900" w:h="16891" w:orient="portrait"/>
          <w:cols w:equalWidth="0" w:num="2">
            <w:col w:w="660" w:space="600"/>
            <w:col w:w="9980"/>
          </w:cols>
          <w:pgMar w:left="320" w:top="567" w:right="339" w:bottom="0" w:gutter="0" w:footer="0" w:header="0"/>
          <w:type w:val="continuous"/>
        </w:sectPr>
      </w:pPr>
    </w:p>
    <w:p>
      <w:pPr>
        <w:spacing w:after="0" w:line="16" w:lineRule="exact"/>
        <w:rPr>
          <w:sz w:val="20"/>
          <w:szCs w:val="20"/>
          <w:color w:val="auto"/>
        </w:rPr>
      </w:pPr>
    </w:p>
    <w:p>
      <w:pPr>
        <w:ind w:left="1160" w:right="1180" w:hanging="650"/>
        <w:spacing w:after="0" w:line="287" w:lineRule="exact"/>
        <w:tabs>
          <w:tab w:leader="none" w:pos="1160" w:val="left"/>
        </w:tabs>
        <w:numPr>
          <w:ilvl w:val="0"/>
          <w:numId w:val="4"/>
        </w:numPr>
        <w:rPr>
          <w:rFonts w:ascii="Times New Roman" w:cs="Times New Roman" w:eastAsia="Times New Roman" w:hAnsi="Times New Roman"/>
          <w:sz w:val="47"/>
          <w:szCs w:val="47"/>
          <w:color w:val="auto"/>
          <w:vertAlign w:val="subscript"/>
        </w:rPr>
      </w:pPr>
      <w:r>
        <w:rPr>
          <w:rFonts w:ascii="Times New Roman" w:cs="Times New Roman" w:eastAsia="Times New Roman" w:hAnsi="Times New Roman"/>
          <w:sz w:val="19"/>
          <w:szCs w:val="19"/>
          <w:b w:val="1"/>
          <w:bCs w:val="1"/>
          <w:color w:val="auto"/>
        </w:rPr>
        <w:t xml:space="preserve">CHECK BOX IF DISCLOSURE OF LEGAL PROCEEDINGS IS REQUIRED PURSUANT TO ITEMS 2(d) or 2(e) </w:t>
      </w:r>
      <w:r>
        <w:rPr>
          <w:rFonts w:ascii="MS PGothic" w:cs="MS PGothic" w:eastAsia="MS PGothic" w:hAnsi="MS PGothic"/>
          <w:sz w:val="19"/>
          <w:szCs w:val="19"/>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11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rPr>
              <w:t>6</w:t>
            </w:r>
          </w:p>
        </w:tc>
        <w:tc>
          <w:tcPr>
            <w:tcW w:w="1008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b w:val="1"/>
                <w:bCs w:val="1"/>
                <w:color w:val="auto"/>
              </w:rPr>
              <w:t>CITIZENSHIP OR PLACE OF ORGANIZATION</w:t>
            </w:r>
          </w:p>
        </w:tc>
        <w:tc>
          <w:tcPr>
            <w:tcW w:w="0" w:type="dxa"/>
            <w:vAlign w:val="bottom"/>
          </w:tcPr>
          <w:p>
            <w:pPr>
              <w:spacing w:after="0"/>
              <w:rPr>
                <w:sz w:val="1"/>
                <w:szCs w:val="1"/>
                <w:color w:val="auto"/>
              </w:rPr>
            </w:pPr>
          </w:p>
        </w:tc>
      </w:tr>
      <w:tr>
        <w:trPr>
          <w:trHeight w:val="234"/>
        </w:trPr>
        <w:tc>
          <w:tcPr>
            <w:tcW w:w="1160" w:type="dxa"/>
            <w:vAlign w:val="bottom"/>
            <w:vMerge w:val="continue"/>
          </w:tcPr>
          <w:p>
            <w:pPr>
              <w:spacing w:after="0"/>
              <w:rPr>
                <w:sz w:val="20"/>
                <w:szCs w:val="20"/>
                <w:color w:val="auto"/>
              </w:rPr>
            </w:pPr>
          </w:p>
        </w:tc>
        <w:tc>
          <w:tcPr>
            <w:tcW w:w="19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12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6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w w:val="96"/>
              </w:rPr>
              <w:t>7</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SOLE VOTING POWER</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vMerge w:val="continue"/>
          </w:tcPr>
          <w:p>
            <w:pPr>
              <w:spacing w:after="0"/>
              <w:rPr>
                <w:sz w:val="20"/>
                <w:szCs w:val="20"/>
                <w:color w:val="auto"/>
              </w:rPr>
            </w:pPr>
          </w:p>
        </w:tc>
        <w:tc>
          <w:tcPr>
            <w:tcW w:w="69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6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6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w w:val="96"/>
              </w:rPr>
              <w:t>8</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SHARED VOTING POWER</w:t>
            </w:r>
          </w:p>
        </w:tc>
        <w:tc>
          <w:tcPr>
            <w:tcW w:w="0" w:type="dxa"/>
            <w:vAlign w:val="bottom"/>
          </w:tcPr>
          <w:p>
            <w:pPr>
              <w:spacing w:after="0"/>
              <w:rPr>
                <w:sz w:val="1"/>
                <w:szCs w:val="1"/>
                <w:color w:val="auto"/>
              </w:rPr>
            </w:pPr>
          </w:p>
        </w:tc>
      </w:tr>
      <w:tr>
        <w:trPr>
          <w:trHeight w:val="274"/>
        </w:trPr>
        <w:tc>
          <w:tcPr>
            <w:tcW w:w="30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NUMBER OF SHARES</w:t>
            </w:r>
          </w:p>
        </w:tc>
        <w:tc>
          <w:tcPr>
            <w:tcW w:w="1240" w:type="dxa"/>
            <w:vAlign w:val="bottom"/>
            <w:tcBorders>
              <w:right w:val="single" w:sz="8" w:color="auto"/>
            </w:tcBorders>
            <w:vMerge w:val="continue"/>
          </w:tcPr>
          <w:p>
            <w:pPr>
              <w:spacing w:after="0"/>
              <w:rPr>
                <w:sz w:val="23"/>
                <w:szCs w:val="23"/>
                <w:color w:val="auto"/>
              </w:rPr>
            </w:pPr>
          </w:p>
        </w:tc>
        <w:tc>
          <w:tcPr>
            <w:tcW w:w="6940" w:type="dxa"/>
            <w:vAlign w:val="bottom"/>
            <w:vMerge w:val="restart"/>
          </w:tcPr>
          <w:p>
            <w:pPr>
              <w:ind w:left="80"/>
              <w:spacing w:after="0" w:line="441" w:lineRule="exact"/>
              <w:rPr>
                <w:sz w:val="20"/>
                <w:szCs w:val="20"/>
                <w:color w:val="auto"/>
              </w:rPr>
            </w:pPr>
            <w:r>
              <w:rPr>
                <w:rFonts w:ascii="Times New Roman" w:cs="Times New Roman" w:eastAsia="Times New Roman" w:hAnsi="Times New Roman"/>
                <w:sz w:val="22"/>
                <w:szCs w:val="22"/>
                <w:color w:val="auto"/>
              </w:rPr>
              <w:t xml:space="preserve">7,914,472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43"/>
                <w:szCs w:val="43"/>
                <w:color w:val="auto"/>
                <w:vertAlign w:val="superscript"/>
              </w:rPr>
              <w:t>1</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168"/>
        </w:trPr>
        <w:tc>
          <w:tcPr>
            <w:tcW w:w="3060" w:type="dxa"/>
            <w:vAlign w:val="bottom"/>
            <w:tcBorders>
              <w:right w:val="single" w:sz="8" w:color="auto"/>
            </w:tcBorders>
            <w:gridSpan w:val="2"/>
            <w:vMerge w:val="continue"/>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6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6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5"/>
                <w:szCs w:val="15"/>
                <w:color w:val="auto"/>
              </w:rPr>
              <w:t>BENEFICIALLY OWNED BY</w:t>
            </w:r>
          </w:p>
        </w:tc>
        <w:tc>
          <w:tcPr>
            <w:tcW w:w="1240" w:type="dxa"/>
            <w:vAlign w:val="bottom"/>
            <w:tcBorders>
              <w:right w:val="single" w:sz="8" w:color="auto"/>
            </w:tcBorders>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Borders>
              <w:right w:val="single" w:sz="8" w:color="auto"/>
            </w:tcBorders>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EACH REPORTING PERSON</w:t>
            </w:r>
          </w:p>
        </w:tc>
        <w:tc>
          <w:tcPr>
            <w:tcW w:w="1240" w:type="dxa"/>
            <w:vAlign w:val="bottom"/>
            <w:tcBorders>
              <w:bottom w:val="single" w:sz="8" w:color="auto"/>
              <w:right w:val="single" w:sz="8" w:color="auto"/>
            </w:tcBorders>
          </w:tcPr>
          <w:p>
            <w:pPr>
              <w:spacing w:after="0"/>
              <w:rPr>
                <w:sz w:val="11"/>
                <w:szCs w:val="11"/>
                <w:color w:val="auto"/>
              </w:rPr>
            </w:pPr>
          </w:p>
        </w:tc>
        <w:tc>
          <w:tcPr>
            <w:tcW w:w="6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060" w:type="dxa"/>
            <w:vAlign w:val="bottom"/>
            <w:tcBorders>
              <w:right w:val="single" w:sz="8" w:color="auto"/>
            </w:tcBorders>
            <w:gridSpan w:val="2"/>
            <w:vMerge w:val="continue"/>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6940" w:type="dxa"/>
            <w:vAlign w:val="bottom"/>
            <w:vMerge w:val="restart"/>
          </w:tcPr>
          <w:p>
            <w:pPr>
              <w:ind w:left="80"/>
              <w:spacing w:after="0"/>
              <w:rPr>
                <w:sz w:val="20"/>
                <w:szCs w:val="20"/>
                <w:color w:val="auto"/>
              </w:rPr>
            </w:pPr>
            <w:r>
              <w:rPr>
                <w:rFonts w:ascii="Times New Roman" w:cs="Times New Roman" w:eastAsia="Times New Roman" w:hAnsi="Times New Roman"/>
                <w:sz w:val="22"/>
                <w:szCs w:val="22"/>
                <w:b w:val="1"/>
                <w:bCs w:val="1"/>
                <w:color w:val="auto"/>
              </w:rPr>
              <w:t>SOLE DISPOSITIVE POWER</w:t>
            </w: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19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WITH</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w w:val="96"/>
              </w:rPr>
              <w:t>9</w:t>
            </w:r>
          </w:p>
        </w:tc>
        <w:tc>
          <w:tcPr>
            <w:tcW w:w="6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1160" w:type="dxa"/>
            <w:vAlign w:val="bottom"/>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6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1160" w:type="dxa"/>
            <w:vAlign w:val="bottom"/>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vMerge w:val="continue"/>
          </w:tcPr>
          <w:p>
            <w:pPr>
              <w:spacing w:after="0"/>
              <w:rPr>
                <w:sz w:val="12"/>
                <w:szCs w:val="12"/>
                <w:color w:val="auto"/>
              </w:rPr>
            </w:pPr>
          </w:p>
        </w:tc>
        <w:tc>
          <w:tcPr>
            <w:tcW w:w="69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6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6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rPr>
              <w:t>10</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SHARED DISPOSITIVE POWER</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c>
          <w:tcPr>
            <w:tcW w:w="1240" w:type="dxa"/>
            <w:vAlign w:val="bottom"/>
            <w:tcBorders>
              <w:right w:val="single" w:sz="8" w:color="auto"/>
            </w:tcBorders>
            <w:vMerge w:val="continue"/>
          </w:tcPr>
          <w:p>
            <w:pPr>
              <w:spacing w:after="0"/>
              <w:rPr>
                <w:sz w:val="23"/>
                <w:szCs w:val="23"/>
                <w:color w:val="auto"/>
              </w:rPr>
            </w:pPr>
          </w:p>
        </w:tc>
        <w:tc>
          <w:tcPr>
            <w:tcW w:w="69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 xml:space="preserve">7,914,472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43"/>
                <w:szCs w:val="43"/>
                <w:color w:val="auto"/>
                <w:vertAlign w:val="superscript"/>
              </w:rPr>
              <w:t>2</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439"/>
        </w:trPr>
        <w:tc>
          <w:tcPr>
            <w:tcW w:w="116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69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w w:val="96"/>
              </w:rPr>
              <w:t>11</w:t>
            </w:r>
          </w:p>
        </w:tc>
        <w:tc>
          <w:tcPr>
            <w:tcW w:w="10080" w:type="dxa"/>
            <w:vAlign w:val="bottom"/>
            <w:gridSpan w:val="3"/>
          </w:tcPr>
          <w:p>
            <w:pPr>
              <w:ind w:left="100"/>
              <w:spacing w:after="0"/>
              <w:rPr>
                <w:sz w:val="20"/>
                <w:szCs w:val="20"/>
                <w:color w:val="auto"/>
              </w:rPr>
            </w:pPr>
            <w:r>
              <w:rPr>
                <w:rFonts w:ascii="Times New Roman" w:cs="Times New Roman" w:eastAsia="Times New Roman" w:hAnsi="Times New Roman"/>
                <w:sz w:val="22"/>
                <w:szCs w:val="22"/>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1160" w:type="dxa"/>
            <w:vAlign w:val="bottom"/>
            <w:tcBorders>
              <w:right w:val="single" w:sz="8" w:color="auto"/>
            </w:tcBorders>
            <w:vMerge w:val="continue"/>
          </w:tcPr>
          <w:p>
            <w:pPr>
              <w:spacing w:after="0"/>
              <w:rPr>
                <w:sz w:val="20"/>
                <w:szCs w:val="20"/>
                <w:color w:val="auto"/>
              </w:rPr>
            </w:pPr>
          </w:p>
        </w:tc>
        <w:tc>
          <w:tcPr>
            <w:tcW w:w="19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7,914,472</w:t>
            </w:r>
          </w:p>
        </w:tc>
        <w:tc>
          <w:tcPr>
            <w:tcW w:w="12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160" w:type="dxa"/>
            <w:vAlign w:val="bottom"/>
            <w:tcBorders>
              <w:right w:val="single" w:sz="8" w:color="auto"/>
            </w:tcBorders>
          </w:tcPr>
          <w:p>
            <w:pPr>
              <w:spacing w:after="0"/>
              <w:rPr>
                <w:sz w:val="16"/>
                <w:szCs w:val="16"/>
                <w:color w:val="auto"/>
              </w:rPr>
            </w:pPr>
          </w:p>
        </w:tc>
        <w:tc>
          <w:tcPr>
            <w:tcW w:w="190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16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6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w w:val="96"/>
              </w:rPr>
              <w:t>12</w:t>
            </w:r>
          </w:p>
        </w:tc>
        <w:tc>
          <w:tcPr>
            <w:tcW w:w="10080" w:type="dxa"/>
            <w:vAlign w:val="bottom"/>
            <w:gridSpan w:val="3"/>
          </w:tcPr>
          <w:p>
            <w:pPr>
              <w:spacing w:after="0" w:line="183" w:lineRule="exact"/>
              <w:rPr>
                <w:sz w:val="20"/>
                <w:szCs w:val="20"/>
                <w:color w:val="auto"/>
              </w:rPr>
            </w:pPr>
            <w:r>
              <w:rPr>
                <w:rFonts w:ascii="Times New Roman" w:cs="Times New Roman" w:eastAsia="Times New Roman" w:hAnsi="Times New Roman"/>
                <w:sz w:val="21"/>
                <w:szCs w:val="21"/>
                <w:b w:val="1"/>
                <w:bCs w:val="1"/>
                <w:color w:val="auto"/>
              </w:rPr>
              <w:t xml:space="preserve">CHECK BOX IF THE AGGREGATE AMOUNT IN ROW (11) EXCLUDES CERTAIN SHARES </w:t>
            </w:r>
            <w:r>
              <w:rPr>
                <w:rFonts w:ascii="Times New Roman" w:cs="Times New Roman" w:eastAsia="Times New Roman" w:hAnsi="Times New Roman"/>
                <w:sz w:val="16"/>
                <w:szCs w:val="16"/>
                <w:b w:val="1"/>
                <w:bCs w:val="1"/>
                <w:color w:val="auto"/>
              </w:rPr>
              <w:t>(See</w:t>
            </w:r>
          </w:p>
        </w:tc>
        <w:tc>
          <w:tcPr>
            <w:tcW w:w="0" w:type="dxa"/>
            <w:vAlign w:val="bottom"/>
          </w:tcPr>
          <w:p>
            <w:pPr>
              <w:spacing w:after="0"/>
              <w:rPr>
                <w:sz w:val="1"/>
                <w:szCs w:val="1"/>
                <w:color w:val="auto"/>
              </w:rPr>
            </w:pPr>
          </w:p>
        </w:tc>
      </w:tr>
      <w:tr>
        <w:trPr>
          <w:trHeight w:val="236"/>
        </w:trPr>
        <w:tc>
          <w:tcPr>
            <w:tcW w:w="1160" w:type="dxa"/>
            <w:vAlign w:val="bottom"/>
            <w:tcBorders>
              <w:right w:val="single" w:sz="8" w:color="auto"/>
            </w:tcBorders>
            <w:vMerge w:val="continue"/>
          </w:tcPr>
          <w:p>
            <w:pPr>
              <w:spacing w:after="0"/>
              <w:rPr>
                <w:sz w:val="20"/>
                <w:szCs w:val="20"/>
                <w:color w:val="auto"/>
              </w:rPr>
            </w:pPr>
          </w:p>
        </w:tc>
        <w:tc>
          <w:tcPr>
            <w:tcW w:w="1900" w:type="dxa"/>
            <w:vAlign w:val="bottom"/>
            <w:vMerge w:val="restart"/>
          </w:tcPr>
          <w:p>
            <w:pPr>
              <w:spacing w:after="0" w:line="242" w:lineRule="exact"/>
              <w:rPr>
                <w:sz w:val="20"/>
                <w:szCs w:val="20"/>
                <w:color w:val="auto"/>
              </w:rPr>
            </w:pPr>
            <w:r>
              <w:rPr>
                <w:rFonts w:ascii="Times New Roman" w:cs="Times New Roman" w:eastAsia="Times New Roman" w:hAnsi="Times New Roman"/>
                <w:sz w:val="18"/>
                <w:szCs w:val="18"/>
                <w:b w:val="1"/>
                <w:bCs w:val="1"/>
                <w:color w:val="auto"/>
              </w:rPr>
              <w:t xml:space="preserve">Instructions) </w:t>
            </w:r>
            <w:r>
              <w:rPr>
                <w:rFonts w:ascii="MS PGothic" w:cs="MS PGothic" w:eastAsia="MS PGothic" w:hAnsi="MS PGothic"/>
                <w:sz w:val="21"/>
                <w:szCs w:val="21"/>
                <w:color w:val="auto"/>
              </w:rPr>
              <w:t>☒</w:t>
            </w:r>
          </w:p>
        </w:tc>
        <w:tc>
          <w:tcPr>
            <w:tcW w:w="12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1160" w:type="dxa"/>
            <w:vAlign w:val="bottom"/>
            <w:tcBorders>
              <w:right w:val="single" w:sz="8" w:color="auto"/>
            </w:tcBorders>
          </w:tcPr>
          <w:p>
            <w:pPr>
              <w:spacing w:after="0"/>
              <w:rPr>
                <w:sz w:val="10"/>
                <w:szCs w:val="10"/>
                <w:color w:val="auto"/>
              </w:rPr>
            </w:pPr>
          </w:p>
        </w:tc>
        <w:tc>
          <w:tcPr>
            <w:tcW w:w="190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160" w:type="dxa"/>
            <w:vAlign w:val="bottom"/>
            <w:tcBorders>
              <w:bottom w:val="single" w:sz="8" w:color="auto"/>
              <w:right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6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w w:val="96"/>
              </w:rPr>
              <w:t>13</w:t>
            </w:r>
          </w:p>
        </w:tc>
        <w:tc>
          <w:tcPr>
            <w:tcW w:w="10080" w:type="dxa"/>
            <w:vAlign w:val="bottom"/>
            <w:gridSpan w:val="3"/>
          </w:tcPr>
          <w:p>
            <w:pPr>
              <w:ind w:left="100"/>
              <w:spacing w:after="0"/>
              <w:rPr>
                <w:sz w:val="20"/>
                <w:szCs w:val="20"/>
                <w:color w:val="auto"/>
              </w:rPr>
            </w:pPr>
            <w:r>
              <w:rPr>
                <w:rFonts w:ascii="Times New Roman" w:cs="Times New Roman" w:eastAsia="Times New Roman" w:hAnsi="Times New Roman"/>
                <w:sz w:val="22"/>
                <w:szCs w:val="22"/>
                <w:b w:val="1"/>
                <w:bCs w:val="1"/>
                <w:color w:val="auto"/>
              </w:rPr>
              <w:t>PERCENT OF CLASS REPRESENTED BY AMOUNT IN ROW (11)</w:t>
            </w:r>
          </w:p>
        </w:tc>
        <w:tc>
          <w:tcPr>
            <w:tcW w:w="0" w:type="dxa"/>
            <w:vAlign w:val="bottom"/>
          </w:tcPr>
          <w:p>
            <w:pPr>
              <w:spacing w:after="0"/>
              <w:rPr>
                <w:sz w:val="1"/>
                <w:szCs w:val="1"/>
                <w:color w:val="auto"/>
              </w:rPr>
            </w:pPr>
          </w:p>
        </w:tc>
      </w:tr>
      <w:tr>
        <w:trPr>
          <w:trHeight w:val="274"/>
        </w:trPr>
        <w:tc>
          <w:tcPr>
            <w:tcW w:w="1160" w:type="dxa"/>
            <w:vAlign w:val="bottom"/>
            <w:tcBorders>
              <w:right w:val="single" w:sz="8" w:color="auto"/>
            </w:tcBorders>
            <w:vMerge w:val="continue"/>
          </w:tcPr>
          <w:p>
            <w:pPr>
              <w:spacing w:after="0"/>
              <w:rPr>
                <w:sz w:val="23"/>
                <w:szCs w:val="23"/>
                <w:color w:val="auto"/>
              </w:rPr>
            </w:pPr>
          </w:p>
        </w:tc>
        <w:tc>
          <w:tcPr>
            <w:tcW w:w="19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 xml:space="preserve">57.0%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43"/>
                <w:szCs w:val="43"/>
                <w:color w:val="auto"/>
                <w:vertAlign w:val="superscript"/>
              </w:rPr>
              <w:t>3</w:t>
            </w:r>
            <w:r>
              <w:rPr>
                <w:rFonts w:ascii="Times New Roman" w:cs="Times New Roman" w:eastAsia="Times New Roman" w:hAnsi="Times New Roman"/>
                <w:sz w:val="35"/>
                <w:szCs w:val="35"/>
                <w:color w:val="auto"/>
                <w:vertAlign w:val="superscript"/>
              </w:rPr>
              <w:t>)</w:t>
            </w:r>
          </w:p>
        </w:tc>
        <w:tc>
          <w:tcPr>
            <w:tcW w:w="1240" w:type="dxa"/>
            <w:vAlign w:val="bottom"/>
          </w:tcPr>
          <w:p>
            <w:pPr>
              <w:spacing w:after="0"/>
              <w:rPr>
                <w:sz w:val="23"/>
                <w:szCs w:val="23"/>
                <w:color w:val="auto"/>
              </w:rPr>
            </w:pPr>
          </w:p>
        </w:tc>
        <w:tc>
          <w:tcPr>
            <w:tcW w:w="6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9"/>
        </w:trPr>
        <w:tc>
          <w:tcPr>
            <w:tcW w:w="11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w w:val="96"/>
              </w:rPr>
              <w:t>14</w:t>
            </w:r>
          </w:p>
        </w:tc>
        <w:tc>
          <w:tcPr>
            <w:tcW w:w="10080" w:type="dxa"/>
            <w:vAlign w:val="bottom"/>
            <w:gridSpan w:val="3"/>
          </w:tcPr>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TYPE OF REPORTING PERSON </w:t>
            </w:r>
            <w:r>
              <w:rPr>
                <w:rFonts w:ascii="Times New Roman" w:cs="Times New Roman" w:eastAsia="Times New Roman" w:hAnsi="Times New Roman"/>
                <w:sz w:val="17"/>
                <w:szCs w:val="17"/>
                <w:b w:val="1"/>
                <w:bCs w:val="1"/>
                <w:color w:val="auto"/>
              </w:rPr>
              <w:t>(See Instructions)</w:t>
            </w:r>
          </w:p>
        </w:tc>
        <w:tc>
          <w:tcPr>
            <w:tcW w:w="0" w:type="dxa"/>
            <w:vAlign w:val="bottom"/>
          </w:tcPr>
          <w:p>
            <w:pPr>
              <w:spacing w:after="0"/>
              <w:rPr>
                <w:sz w:val="1"/>
                <w:szCs w:val="1"/>
                <w:color w:val="auto"/>
              </w:rPr>
            </w:pPr>
          </w:p>
        </w:tc>
      </w:tr>
      <w:tr>
        <w:trPr>
          <w:trHeight w:val="234"/>
        </w:trPr>
        <w:tc>
          <w:tcPr>
            <w:tcW w:w="1160" w:type="dxa"/>
            <w:vAlign w:val="bottom"/>
            <w:tcBorders>
              <w:right w:val="single" w:sz="8" w:color="auto"/>
            </w:tcBorders>
            <w:vMerge w:val="continue"/>
          </w:tcPr>
          <w:p>
            <w:pPr>
              <w:spacing w:after="0"/>
              <w:rPr>
                <w:sz w:val="20"/>
                <w:szCs w:val="20"/>
                <w:color w:val="auto"/>
              </w:rPr>
            </w:pPr>
          </w:p>
        </w:tc>
        <w:tc>
          <w:tcPr>
            <w:tcW w:w="19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w:t>
            </w:r>
          </w:p>
        </w:tc>
        <w:tc>
          <w:tcPr>
            <w:tcW w:w="12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160" w:type="dxa"/>
            <w:vAlign w:val="bottom"/>
            <w:tcBorders>
              <w:right w:val="single" w:sz="8" w:color="auto"/>
            </w:tcBorders>
          </w:tcPr>
          <w:p>
            <w:pPr>
              <w:spacing w:after="0"/>
              <w:rPr>
                <w:sz w:val="16"/>
                <w:szCs w:val="16"/>
                <w:color w:val="auto"/>
              </w:rPr>
            </w:pPr>
          </w:p>
        </w:tc>
        <w:tc>
          <w:tcPr>
            <w:tcW w:w="190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16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6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518795</wp:posOffset>
            </wp:positionV>
            <wp:extent cx="238696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8696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33"/>
          <w:szCs w:val="33"/>
          <w:color w:val="auto"/>
          <w:vertAlign w:val="superscript"/>
        </w:rPr>
        <w:t>1</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xml:space="preserve"> Based on (i) 1,111,294 shares of Class A common stock, par value $0.0001 per share (“</w:t>
      </w:r>
      <w:r>
        <w:rPr>
          <w:rFonts w:ascii="Times New Roman" w:cs="Times New Roman" w:eastAsia="Times New Roman" w:hAnsi="Times New Roman"/>
          <w:sz w:val="17"/>
          <w:szCs w:val="17"/>
          <w:u w:val="single" w:color="auto"/>
          <w:color w:val="auto"/>
        </w:rPr>
        <w:t>Class A Common Stock</w:t>
      </w:r>
      <w:r>
        <w:rPr>
          <w:rFonts w:ascii="Times New Roman" w:cs="Times New Roman" w:eastAsia="Times New Roman" w:hAnsi="Times New Roman"/>
          <w:sz w:val="17"/>
          <w:szCs w:val="17"/>
          <w:color w:val="auto"/>
        </w:rPr>
        <w:t>”), of Bakkt Holdings, Inc. (the “</w:t>
      </w:r>
      <w:r>
        <w:rPr>
          <w:rFonts w:ascii="Times New Roman" w:cs="Times New Roman" w:eastAsia="Times New Roman" w:hAnsi="Times New Roman"/>
          <w:sz w:val="17"/>
          <w:szCs w:val="17"/>
          <w:u w:val="single" w:color="auto"/>
          <w:color w:val="auto"/>
        </w:rPr>
        <w:t>Issuer</w:t>
      </w:r>
      <w:r>
        <w:rPr>
          <w:rFonts w:ascii="Times New Roman" w:cs="Times New Roman" w:eastAsia="Times New Roman" w:hAnsi="Times New Roman"/>
          <w:sz w:val="17"/>
          <w:szCs w:val="17"/>
          <w:color w:val="auto"/>
        </w:rPr>
        <w:t>”) and (ii) 6,803,178 shares of Class V common stock, par value $0.0001 per share (“</w:t>
      </w:r>
      <w:r>
        <w:rPr>
          <w:rFonts w:ascii="Times New Roman" w:cs="Times New Roman" w:eastAsia="Times New Roman" w:hAnsi="Times New Roman"/>
          <w:sz w:val="17"/>
          <w:szCs w:val="17"/>
          <w:u w:val="single" w:color="auto"/>
          <w:color w:val="auto"/>
        </w:rPr>
        <w:t>Class V Common Stock</w:t>
      </w:r>
      <w:r>
        <w:rPr>
          <w:rFonts w:ascii="Times New Roman" w:cs="Times New Roman" w:eastAsia="Times New Roman" w:hAnsi="Times New Roman"/>
          <w:sz w:val="17"/>
          <w:szCs w:val="17"/>
          <w:color w:val="auto"/>
        </w:rPr>
        <w:t>”, and together with the Class A Common Stock,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of the Issuer beneficially owned by the Reporting Person as of the date hereof. This amount includes 461,360 shares of Class A Common Stock (the “</w:t>
      </w:r>
      <w:r>
        <w:rPr>
          <w:rFonts w:ascii="Times New Roman" w:cs="Times New Roman" w:eastAsia="Times New Roman" w:hAnsi="Times New Roman"/>
          <w:sz w:val="17"/>
          <w:szCs w:val="17"/>
          <w:u w:val="single" w:color="auto"/>
          <w:color w:val="auto"/>
        </w:rPr>
        <w:t>Warrant Shares</w:t>
      </w:r>
      <w:r>
        <w:rPr>
          <w:rFonts w:ascii="Times New Roman" w:cs="Times New Roman" w:eastAsia="Times New Roman" w:hAnsi="Times New Roman"/>
          <w:sz w:val="17"/>
          <w:szCs w:val="17"/>
          <w:color w:val="auto"/>
        </w:rPr>
        <w:t>”) underlying the Acquired Warrants (as defined in Item 6 of the Amended Schedule 13D) that are not exercisable until September 4, 2024, as described further in Item 6 of the Amended Schedule 13D. The Reporting Persons will not have the power to vote the Warrant</w:t>
      </w:r>
    </w:p>
    <w:p>
      <w:pPr>
        <w:sectPr>
          <w:pgSz w:w="11900" w:h="16891" w:orient="portrait"/>
          <w:cols w:equalWidth="0" w:num="1">
            <w:col w:w="11240"/>
          </w:cols>
          <w:pgMar w:left="320" w:top="567" w:right="339" w:bottom="0" w:gutter="0" w:footer="0" w:header="0"/>
          <w:type w:val="continuous"/>
        </w:sectPr>
      </w:pPr>
    </w:p>
    <w:bookmarkStart w:id="2" w:name="page3"/>
    <w:bookmarkEnd w:id="2"/>
    <w:p>
      <w:pPr>
        <w:spacing w:after="0" w:line="261" w:lineRule="auto"/>
        <w:rPr>
          <w:sz w:val="20"/>
          <w:szCs w:val="20"/>
          <w:color w:val="auto"/>
        </w:rPr>
      </w:pPr>
      <w:r>
        <w:rPr>
          <w:rFonts w:ascii="Times New Roman" w:cs="Times New Roman" w:eastAsia="Times New Roman" w:hAnsi="Times New Roman"/>
          <w:sz w:val="18"/>
          <w:szCs w:val="18"/>
          <w:color w:val="auto"/>
        </w:rPr>
        <w:t>Shares unless, and to the extent, ICEH exercises its right to acquire Warrant Shares in accordance with the terms of the Acquired Warrants. In addition, the voting power of the Reporting Persons in respect of the Common Stock is reduced to 30% pursuant to the Voting Agreement between Intercontinental Exchange Holdings, Inc. (“</w:t>
      </w:r>
      <w:r>
        <w:rPr>
          <w:rFonts w:ascii="Times New Roman" w:cs="Times New Roman" w:eastAsia="Times New Roman" w:hAnsi="Times New Roman"/>
          <w:sz w:val="18"/>
          <w:szCs w:val="18"/>
          <w:u w:val="single" w:color="auto"/>
          <w:color w:val="auto"/>
        </w:rPr>
        <w:t>ICEH</w:t>
      </w:r>
      <w:r>
        <w:rPr>
          <w:rFonts w:ascii="Times New Roman" w:cs="Times New Roman" w:eastAsia="Times New Roman" w:hAnsi="Times New Roman"/>
          <w:sz w:val="18"/>
          <w:szCs w:val="18"/>
          <w:color w:val="auto"/>
        </w:rPr>
        <w:t>”), a wholly owned subsidiary of Intercontinental Exchange, Inc. (“</w:t>
      </w:r>
      <w:r>
        <w:rPr>
          <w:rFonts w:ascii="Times New Roman" w:cs="Times New Roman" w:eastAsia="Times New Roman" w:hAnsi="Times New Roman"/>
          <w:sz w:val="18"/>
          <w:szCs w:val="18"/>
          <w:u w:val="single" w:color="auto"/>
          <w:color w:val="auto"/>
        </w:rPr>
        <w:t>ICE</w:t>
      </w:r>
      <w:r>
        <w:rPr>
          <w:rFonts w:ascii="Times New Roman" w:cs="Times New Roman" w:eastAsia="Times New Roman" w:hAnsi="Times New Roman"/>
          <w:sz w:val="18"/>
          <w:szCs w:val="18"/>
          <w:color w:val="auto"/>
        </w:rPr>
        <w:t>”), and the Issuer, so long as ICEH and its affiliates own 50% or more of the total voting power of the Issuer, as described further in Item 6 of the Initial Schedule 13D.</w:t>
      </w:r>
    </w:p>
    <w:p>
      <w:pPr>
        <w:spacing w:after="0" w:line="139" w:lineRule="exact"/>
        <w:rPr>
          <w:sz w:val="20"/>
          <w:szCs w:val="20"/>
          <w:color w:val="auto"/>
        </w:rPr>
      </w:pPr>
    </w:p>
    <w:p>
      <w:pPr>
        <w:ind w:right="420"/>
        <w:spacing w:after="0" w:line="215"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Based on (i) 1,111,294 shares of Class A Common Stock and (ii) 6,803,178 shares of Class V Common Stock beneficially owned by the Reporting Person as of the date hereof. As described in note 1 above, this amount includes the Warrant Shares underlying the Acquired Warrants that are not exercisable until September 4, 2024, as described further in Item 6 of the Amended Schedule 13D.</w:t>
      </w:r>
    </w:p>
    <w:p>
      <w:pPr>
        <w:spacing w:after="0" w:line="173"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Based on a total of 13,426,766 shares of Common Stock, consisting of 6,231,825 shares of Class A Common Stock and 7,194,941 shares of Class V Common Stock, outstanding as of May 8, 2024, as reported in the Issuer’s Quarterly Report on Form 10-Q filed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May 15, 2024. As described in note 1 above, the Reporting Persons’ voting power in respect of the Common Stock is reduced to 30% pursuant to the Voting Agreement between ICEH, a wholly owned subsidiary of ICE, and the Issuer, so long as ICEH and its affiliates own 50% or more of the total voting power of the Issuer, as described further in Item 6 of the Amended Schedule 13D. As of the date hereof, the Reporting Person beneficially owns 16.6% of the outstanding shares of Class A Common Stock (including the Warrants Shares but excluding any shares of Class V Common Stock).</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SCHEDULE 13D</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CUSIP No. 05759B107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810" w:right="339" w:bottom="0" w:gutter="0" w:footer="0" w:header="0"/>
        </w:sectPr>
      </w:pPr>
    </w:p>
    <w:p>
      <w:pPr>
        <w:spacing w:after="0" w:line="200" w:lineRule="exact"/>
        <w:rPr>
          <w:sz w:val="20"/>
          <w:szCs w:val="20"/>
          <w:color w:val="auto"/>
        </w:rPr>
      </w:pP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9"/>
          <w:szCs w:val="29"/>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9"/>
          <w:szCs w:val="29"/>
          <w:color w:val="auto"/>
        </w:rPr>
        <w:t>2</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b w:val="1"/>
          <w:bCs w:val="1"/>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-148590</wp:posOffset>
            </wp:positionV>
            <wp:extent cx="7132320" cy="8263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63890"/>
                    </a:xfrm>
                    <a:prstGeom prst="rect">
                      <a:avLst/>
                    </a:prstGeom>
                    <a:noFill/>
                  </pic:spPr>
                </pic:pic>
              </a:graphicData>
            </a:graphic>
          </wp:anchor>
        </w:drawing>
      </w:r>
    </w:p>
    <w:p>
      <w:pPr>
        <w:spacing w:after="0" w:line="19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2"/>
          <w:szCs w:val="22"/>
          <w:color w:val="auto"/>
        </w:rPr>
        <w:t>Intercontinental Exchange Holdings, Inc.</w:t>
      </w:r>
    </w:p>
    <w:p>
      <w:pPr>
        <w:spacing w:after="0" w:line="21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b w:val="1"/>
          <w:bCs w:val="1"/>
          <w:color w:val="auto"/>
        </w:rPr>
        <w:t>CHECK THE APPROPRIATE BOX IF A MEMBER OF A GROUP</w:t>
      </w:r>
    </w:p>
    <w:p>
      <w:pPr>
        <w:spacing w:after="0" w:line="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b w:val="1"/>
          <w:bCs w:val="1"/>
          <w:color w:val="auto"/>
        </w:rPr>
        <w:t>(See Instructions)</w:t>
      </w:r>
    </w:p>
    <w:p>
      <w:pPr>
        <w:spacing w:after="0" w:line="161" w:lineRule="exact"/>
        <w:rPr>
          <w:sz w:val="20"/>
          <w:szCs w:val="20"/>
          <w:color w:val="auto"/>
        </w:rPr>
      </w:pPr>
    </w:p>
    <w:p>
      <w:pPr>
        <w:ind w:left="287" w:hanging="287"/>
        <w:spacing w:after="0" w:line="253" w:lineRule="exact"/>
        <w:tabs>
          <w:tab w:leader="none" w:pos="287" w:val="left"/>
        </w:tabs>
        <w:numPr>
          <w:ilvl w:val="0"/>
          <w:numId w:val="5"/>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75" w:lineRule="exact"/>
        <w:rPr>
          <w:rFonts w:ascii="Times New Roman" w:cs="Times New Roman" w:eastAsia="Times New Roman" w:hAnsi="Times New Roman"/>
          <w:sz w:val="22"/>
          <w:szCs w:val="22"/>
          <w:color w:val="auto"/>
        </w:rPr>
      </w:pPr>
    </w:p>
    <w:p>
      <w:pPr>
        <w:ind w:left="307" w:hanging="307"/>
        <w:spacing w:after="0" w:line="253" w:lineRule="exact"/>
        <w:tabs>
          <w:tab w:leader="none" w:pos="307" w:val="left"/>
        </w:tabs>
        <w:numPr>
          <w:ilvl w:val="0"/>
          <w:numId w:val="5"/>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p>
    <w:p>
      <w:pPr>
        <w:spacing w:after="0" w:line="1" w:lineRule="exact"/>
        <w:rPr>
          <w:sz w:val="20"/>
          <w:szCs w:val="20"/>
          <w:color w:val="auto"/>
        </w:rPr>
      </w:pPr>
    </w:p>
    <w:p>
      <w:pPr>
        <w:sectPr>
          <w:pgSz w:w="11900" w:h="16838" w:orient="portrait"/>
          <w:cols w:equalWidth="0" w:num="2">
            <w:col w:w="660" w:space="593"/>
            <w:col w:w="9987"/>
          </w:cols>
          <w:pgMar w:left="320" w:top="810" w:right="339" w:bottom="0" w:gutter="0" w:footer="0" w:header="0"/>
          <w:type w:val="continuous"/>
        </w:sectPr>
      </w:pPr>
    </w:p>
    <w:p>
      <w:pPr>
        <w:ind w:left="1260" w:hanging="750"/>
        <w:spacing w:after="0" w:line="184" w:lineRule="auto"/>
        <w:tabs>
          <w:tab w:leader="none" w:pos="1260" w:val="left"/>
        </w:tabs>
        <w:numPr>
          <w:ilvl w:val="0"/>
          <w:numId w:val="6"/>
        </w:numPr>
        <w:rPr>
          <w:rFonts w:ascii="Times New Roman" w:cs="Times New Roman" w:eastAsia="Times New Roman" w:hAnsi="Times New Roman"/>
          <w:sz w:val="54"/>
          <w:szCs w:val="54"/>
          <w:color w:val="auto"/>
          <w:vertAlign w:val="subscript"/>
        </w:rPr>
      </w:pPr>
      <w:r>
        <w:rPr>
          <w:rFonts w:ascii="Times New Roman" w:cs="Times New Roman" w:eastAsia="Times New Roman" w:hAnsi="Times New Roman"/>
          <w:sz w:val="21"/>
          <w:szCs w:val="21"/>
          <w:b w:val="1"/>
          <w:bCs w:val="1"/>
          <w:color w:val="auto"/>
        </w:rPr>
        <w:t>SEC USE ONLY</w:t>
      </w:r>
    </w:p>
    <w:p>
      <w:pPr>
        <w:sectPr>
          <w:pgSz w:w="11900" w:h="16838" w:orient="portrait"/>
          <w:cols w:equalWidth="0" w:num="1">
            <w:col w:w="11240"/>
          </w:cols>
          <w:pgMar w:left="320" w:top="810" w:right="339" w:bottom="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9"/>
          <w:szCs w:val="29"/>
          <w:color w:val="auto"/>
        </w:rPr>
        <w:t>4</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SOURCE OF FUNDS </w:t>
      </w:r>
      <w:r>
        <w:rPr>
          <w:rFonts w:ascii="Times New Roman" w:cs="Times New Roman" w:eastAsia="Times New Roman" w:hAnsi="Times New Roman"/>
          <w:sz w:val="17"/>
          <w:szCs w:val="17"/>
          <w:b w:val="1"/>
          <w:bCs w:val="1"/>
          <w:color w:val="auto"/>
        </w:rPr>
        <w:t>(See Instructions)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200" w:lineRule="exact"/>
        <w:rPr>
          <w:sz w:val="20"/>
          <w:szCs w:val="20"/>
          <w:color w:val="auto"/>
        </w:rPr>
      </w:pPr>
    </w:p>
    <w:p>
      <w:pPr>
        <w:sectPr>
          <w:pgSz w:w="11900" w:h="16838" w:orient="portrait"/>
          <w:cols w:equalWidth="0" w:num="2">
            <w:col w:w="660" w:space="600"/>
            <w:col w:w="9980"/>
          </w:cols>
          <w:pgMar w:left="320" w:top="810" w:right="339" w:bottom="0" w:gutter="0" w:footer="0" w:header="0"/>
          <w:type w:val="continuous"/>
        </w:sectPr>
      </w:pPr>
    </w:p>
    <w:p>
      <w:pPr>
        <w:spacing w:after="0" w:line="16" w:lineRule="exact"/>
        <w:rPr>
          <w:sz w:val="20"/>
          <w:szCs w:val="20"/>
          <w:color w:val="auto"/>
        </w:rPr>
      </w:pPr>
    </w:p>
    <w:p>
      <w:pPr>
        <w:ind w:left="1160" w:right="1180" w:hanging="650"/>
        <w:spacing w:after="0" w:line="287" w:lineRule="exact"/>
        <w:tabs>
          <w:tab w:leader="none" w:pos="1160" w:val="left"/>
        </w:tabs>
        <w:numPr>
          <w:ilvl w:val="0"/>
          <w:numId w:val="7"/>
        </w:numPr>
        <w:rPr>
          <w:rFonts w:ascii="Times New Roman" w:cs="Times New Roman" w:eastAsia="Times New Roman" w:hAnsi="Times New Roman"/>
          <w:sz w:val="47"/>
          <w:szCs w:val="47"/>
          <w:color w:val="auto"/>
          <w:vertAlign w:val="subscript"/>
        </w:rPr>
      </w:pPr>
      <w:r>
        <w:rPr>
          <w:rFonts w:ascii="Times New Roman" w:cs="Times New Roman" w:eastAsia="Times New Roman" w:hAnsi="Times New Roman"/>
          <w:sz w:val="19"/>
          <w:szCs w:val="19"/>
          <w:b w:val="1"/>
          <w:bCs w:val="1"/>
          <w:color w:val="auto"/>
        </w:rPr>
        <w:t xml:space="preserve">CHECK BOX IF DISCLOSURE OF LEGAL PROCEEDINGS IS REQUIRED PURSUANT TO ITEMS 2(d) or 2(e) </w:t>
      </w:r>
      <w:r>
        <w:rPr>
          <w:rFonts w:ascii="MS PGothic" w:cs="MS PGothic" w:eastAsia="MS PGothic" w:hAnsi="MS PGothic"/>
          <w:sz w:val="19"/>
          <w:szCs w:val="19"/>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11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rPr>
              <w:t>6</w:t>
            </w:r>
          </w:p>
        </w:tc>
        <w:tc>
          <w:tcPr>
            <w:tcW w:w="1008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b w:val="1"/>
                <w:bCs w:val="1"/>
                <w:color w:val="auto"/>
              </w:rPr>
              <w:t>CITIZENSHIP OR PLACE OF ORGANIZATION</w:t>
            </w:r>
          </w:p>
        </w:tc>
        <w:tc>
          <w:tcPr>
            <w:tcW w:w="0" w:type="dxa"/>
            <w:vAlign w:val="bottom"/>
          </w:tcPr>
          <w:p>
            <w:pPr>
              <w:spacing w:after="0"/>
              <w:rPr>
                <w:sz w:val="1"/>
                <w:szCs w:val="1"/>
                <w:color w:val="auto"/>
              </w:rPr>
            </w:pPr>
          </w:p>
        </w:tc>
      </w:tr>
      <w:tr>
        <w:trPr>
          <w:trHeight w:val="234"/>
        </w:trPr>
        <w:tc>
          <w:tcPr>
            <w:tcW w:w="1160" w:type="dxa"/>
            <w:vAlign w:val="bottom"/>
            <w:vMerge w:val="continue"/>
          </w:tcPr>
          <w:p>
            <w:pPr>
              <w:spacing w:after="0"/>
              <w:rPr>
                <w:sz w:val="20"/>
                <w:szCs w:val="20"/>
                <w:color w:val="auto"/>
              </w:rPr>
            </w:pPr>
          </w:p>
        </w:tc>
        <w:tc>
          <w:tcPr>
            <w:tcW w:w="19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12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6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w w:val="96"/>
              </w:rPr>
              <w:t>7</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SOLE VOTING POWER</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vMerge w:val="continue"/>
          </w:tcPr>
          <w:p>
            <w:pPr>
              <w:spacing w:after="0"/>
              <w:rPr>
                <w:sz w:val="20"/>
                <w:szCs w:val="20"/>
                <w:color w:val="auto"/>
              </w:rPr>
            </w:pPr>
          </w:p>
        </w:tc>
        <w:tc>
          <w:tcPr>
            <w:tcW w:w="69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6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6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w w:val="96"/>
              </w:rPr>
              <w:t>8</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SHARED VOTING POWER</w:t>
            </w:r>
          </w:p>
        </w:tc>
        <w:tc>
          <w:tcPr>
            <w:tcW w:w="0" w:type="dxa"/>
            <w:vAlign w:val="bottom"/>
          </w:tcPr>
          <w:p>
            <w:pPr>
              <w:spacing w:after="0"/>
              <w:rPr>
                <w:sz w:val="1"/>
                <w:szCs w:val="1"/>
                <w:color w:val="auto"/>
              </w:rPr>
            </w:pPr>
          </w:p>
        </w:tc>
      </w:tr>
      <w:tr>
        <w:trPr>
          <w:trHeight w:val="274"/>
        </w:trPr>
        <w:tc>
          <w:tcPr>
            <w:tcW w:w="306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NUMBER OF SHARES</w:t>
            </w:r>
          </w:p>
        </w:tc>
        <w:tc>
          <w:tcPr>
            <w:tcW w:w="1240" w:type="dxa"/>
            <w:vAlign w:val="bottom"/>
            <w:tcBorders>
              <w:right w:val="single" w:sz="8" w:color="auto"/>
            </w:tcBorders>
            <w:vMerge w:val="continue"/>
          </w:tcPr>
          <w:p>
            <w:pPr>
              <w:spacing w:after="0"/>
              <w:rPr>
                <w:sz w:val="23"/>
                <w:szCs w:val="23"/>
                <w:color w:val="auto"/>
              </w:rPr>
            </w:pPr>
          </w:p>
        </w:tc>
        <w:tc>
          <w:tcPr>
            <w:tcW w:w="6940" w:type="dxa"/>
            <w:vAlign w:val="bottom"/>
            <w:vMerge w:val="restart"/>
          </w:tcPr>
          <w:p>
            <w:pPr>
              <w:ind w:left="80"/>
              <w:spacing w:after="0" w:line="441" w:lineRule="exact"/>
              <w:rPr>
                <w:sz w:val="20"/>
                <w:szCs w:val="20"/>
                <w:color w:val="auto"/>
              </w:rPr>
            </w:pPr>
            <w:r>
              <w:rPr>
                <w:rFonts w:ascii="Times New Roman" w:cs="Times New Roman" w:eastAsia="Times New Roman" w:hAnsi="Times New Roman"/>
                <w:sz w:val="22"/>
                <w:szCs w:val="22"/>
                <w:color w:val="auto"/>
              </w:rPr>
              <w:t xml:space="preserve">7,914,472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43"/>
                <w:szCs w:val="43"/>
                <w:color w:val="auto"/>
                <w:vertAlign w:val="superscript"/>
              </w:rPr>
              <w:t>4</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169"/>
        </w:trPr>
        <w:tc>
          <w:tcPr>
            <w:tcW w:w="3060" w:type="dxa"/>
            <w:vAlign w:val="bottom"/>
            <w:tcBorders>
              <w:right w:val="single" w:sz="8" w:color="auto"/>
            </w:tcBorders>
            <w:gridSpan w:val="2"/>
            <w:vMerge w:val="continue"/>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6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6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5"/>
                <w:szCs w:val="15"/>
                <w:color w:val="auto"/>
              </w:rPr>
              <w:t>BENEFICIALLY OWNED BY</w:t>
            </w:r>
          </w:p>
        </w:tc>
        <w:tc>
          <w:tcPr>
            <w:tcW w:w="1240" w:type="dxa"/>
            <w:vAlign w:val="bottom"/>
            <w:tcBorders>
              <w:right w:val="single" w:sz="8" w:color="auto"/>
            </w:tcBorders>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Borders>
              <w:right w:val="single" w:sz="8" w:color="auto"/>
            </w:tcBorders>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EACH REPORTING PERSON</w:t>
            </w:r>
          </w:p>
        </w:tc>
        <w:tc>
          <w:tcPr>
            <w:tcW w:w="1240" w:type="dxa"/>
            <w:vAlign w:val="bottom"/>
            <w:tcBorders>
              <w:bottom w:val="single" w:sz="8" w:color="auto"/>
              <w:right w:val="single" w:sz="8" w:color="auto"/>
            </w:tcBorders>
          </w:tcPr>
          <w:p>
            <w:pPr>
              <w:spacing w:after="0"/>
              <w:rPr>
                <w:sz w:val="11"/>
                <w:szCs w:val="11"/>
                <w:color w:val="auto"/>
              </w:rPr>
            </w:pPr>
          </w:p>
        </w:tc>
        <w:tc>
          <w:tcPr>
            <w:tcW w:w="6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060" w:type="dxa"/>
            <w:vAlign w:val="bottom"/>
            <w:tcBorders>
              <w:right w:val="single" w:sz="8" w:color="auto"/>
            </w:tcBorders>
            <w:gridSpan w:val="2"/>
            <w:vMerge w:val="continue"/>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6940" w:type="dxa"/>
            <w:vAlign w:val="bottom"/>
            <w:vMerge w:val="restart"/>
          </w:tcPr>
          <w:p>
            <w:pPr>
              <w:ind w:left="80"/>
              <w:spacing w:after="0"/>
              <w:rPr>
                <w:sz w:val="20"/>
                <w:szCs w:val="20"/>
                <w:color w:val="auto"/>
              </w:rPr>
            </w:pPr>
            <w:r>
              <w:rPr>
                <w:rFonts w:ascii="Times New Roman" w:cs="Times New Roman" w:eastAsia="Times New Roman" w:hAnsi="Times New Roman"/>
                <w:sz w:val="22"/>
                <w:szCs w:val="22"/>
                <w:b w:val="1"/>
                <w:bCs w:val="1"/>
                <w:color w:val="auto"/>
              </w:rPr>
              <w:t>SOLE DISPOSITIVE POWER</w:t>
            </w: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19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WITH</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w w:val="96"/>
              </w:rPr>
              <w:t>9</w:t>
            </w:r>
          </w:p>
        </w:tc>
        <w:tc>
          <w:tcPr>
            <w:tcW w:w="6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1160" w:type="dxa"/>
            <w:vAlign w:val="bottom"/>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6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vMerge w:val="continue"/>
          </w:tcPr>
          <w:p>
            <w:pPr>
              <w:spacing w:after="0"/>
              <w:rPr>
                <w:sz w:val="12"/>
                <w:szCs w:val="12"/>
                <w:color w:val="auto"/>
              </w:rPr>
            </w:pPr>
          </w:p>
        </w:tc>
        <w:tc>
          <w:tcPr>
            <w:tcW w:w="69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6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6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rPr>
              <w:t>10</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SHARED DISPOSITIVE POWER</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c>
          <w:tcPr>
            <w:tcW w:w="1240" w:type="dxa"/>
            <w:vAlign w:val="bottom"/>
            <w:tcBorders>
              <w:right w:val="single" w:sz="8" w:color="auto"/>
            </w:tcBorders>
            <w:vMerge w:val="continue"/>
          </w:tcPr>
          <w:p>
            <w:pPr>
              <w:spacing w:after="0"/>
              <w:rPr>
                <w:sz w:val="23"/>
                <w:szCs w:val="23"/>
                <w:color w:val="auto"/>
              </w:rPr>
            </w:pPr>
          </w:p>
        </w:tc>
        <w:tc>
          <w:tcPr>
            <w:tcW w:w="69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 xml:space="preserve">7,914,472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43"/>
                <w:szCs w:val="43"/>
                <w:color w:val="auto"/>
                <w:vertAlign w:val="superscript"/>
              </w:rPr>
              <w:t>5</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439"/>
        </w:trPr>
        <w:tc>
          <w:tcPr>
            <w:tcW w:w="116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69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w w:val="96"/>
              </w:rPr>
              <w:t>11</w:t>
            </w:r>
          </w:p>
        </w:tc>
        <w:tc>
          <w:tcPr>
            <w:tcW w:w="10080" w:type="dxa"/>
            <w:vAlign w:val="bottom"/>
            <w:gridSpan w:val="3"/>
          </w:tcPr>
          <w:p>
            <w:pPr>
              <w:ind w:left="100"/>
              <w:spacing w:after="0"/>
              <w:rPr>
                <w:sz w:val="20"/>
                <w:szCs w:val="20"/>
                <w:color w:val="auto"/>
              </w:rPr>
            </w:pPr>
            <w:r>
              <w:rPr>
                <w:rFonts w:ascii="Times New Roman" w:cs="Times New Roman" w:eastAsia="Times New Roman" w:hAnsi="Times New Roman"/>
                <w:sz w:val="22"/>
                <w:szCs w:val="22"/>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1160" w:type="dxa"/>
            <w:vAlign w:val="bottom"/>
            <w:tcBorders>
              <w:right w:val="single" w:sz="8" w:color="auto"/>
            </w:tcBorders>
            <w:vMerge w:val="continue"/>
          </w:tcPr>
          <w:p>
            <w:pPr>
              <w:spacing w:after="0"/>
              <w:rPr>
                <w:sz w:val="20"/>
                <w:szCs w:val="20"/>
                <w:color w:val="auto"/>
              </w:rPr>
            </w:pPr>
          </w:p>
        </w:tc>
        <w:tc>
          <w:tcPr>
            <w:tcW w:w="19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7,914,472</w:t>
            </w:r>
          </w:p>
        </w:tc>
        <w:tc>
          <w:tcPr>
            <w:tcW w:w="12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160" w:type="dxa"/>
            <w:vAlign w:val="bottom"/>
            <w:tcBorders>
              <w:right w:val="single" w:sz="8" w:color="auto"/>
            </w:tcBorders>
          </w:tcPr>
          <w:p>
            <w:pPr>
              <w:spacing w:after="0"/>
              <w:rPr>
                <w:sz w:val="16"/>
                <w:szCs w:val="16"/>
                <w:color w:val="auto"/>
              </w:rPr>
            </w:pPr>
          </w:p>
        </w:tc>
        <w:tc>
          <w:tcPr>
            <w:tcW w:w="190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16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6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w w:val="96"/>
              </w:rPr>
              <w:t>12</w:t>
            </w:r>
          </w:p>
        </w:tc>
        <w:tc>
          <w:tcPr>
            <w:tcW w:w="10080" w:type="dxa"/>
            <w:vAlign w:val="bottom"/>
            <w:gridSpan w:val="3"/>
          </w:tcPr>
          <w:p>
            <w:pPr>
              <w:spacing w:after="0" w:line="183" w:lineRule="exact"/>
              <w:rPr>
                <w:sz w:val="20"/>
                <w:szCs w:val="20"/>
                <w:color w:val="auto"/>
              </w:rPr>
            </w:pPr>
            <w:r>
              <w:rPr>
                <w:rFonts w:ascii="Times New Roman" w:cs="Times New Roman" w:eastAsia="Times New Roman" w:hAnsi="Times New Roman"/>
                <w:sz w:val="21"/>
                <w:szCs w:val="21"/>
                <w:b w:val="1"/>
                <w:bCs w:val="1"/>
                <w:color w:val="auto"/>
              </w:rPr>
              <w:t xml:space="preserve">CHECK BOX IF THE AGGREGATE AMOUNT IN ROW (11) EXCLUDES CERTAIN SHARES </w:t>
            </w:r>
            <w:r>
              <w:rPr>
                <w:rFonts w:ascii="Times New Roman" w:cs="Times New Roman" w:eastAsia="Times New Roman" w:hAnsi="Times New Roman"/>
                <w:sz w:val="16"/>
                <w:szCs w:val="16"/>
                <w:b w:val="1"/>
                <w:bCs w:val="1"/>
                <w:color w:val="auto"/>
              </w:rPr>
              <w:t>(See</w:t>
            </w:r>
          </w:p>
        </w:tc>
        <w:tc>
          <w:tcPr>
            <w:tcW w:w="0" w:type="dxa"/>
            <w:vAlign w:val="bottom"/>
          </w:tcPr>
          <w:p>
            <w:pPr>
              <w:spacing w:after="0"/>
              <w:rPr>
                <w:sz w:val="1"/>
                <w:szCs w:val="1"/>
                <w:color w:val="auto"/>
              </w:rPr>
            </w:pPr>
          </w:p>
        </w:tc>
      </w:tr>
      <w:tr>
        <w:trPr>
          <w:trHeight w:val="236"/>
        </w:trPr>
        <w:tc>
          <w:tcPr>
            <w:tcW w:w="1160" w:type="dxa"/>
            <w:vAlign w:val="bottom"/>
            <w:tcBorders>
              <w:right w:val="single" w:sz="8" w:color="auto"/>
            </w:tcBorders>
            <w:vMerge w:val="continue"/>
          </w:tcPr>
          <w:p>
            <w:pPr>
              <w:spacing w:after="0"/>
              <w:rPr>
                <w:sz w:val="20"/>
                <w:szCs w:val="20"/>
                <w:color w:val="auto"/>
              </w:rPr>
            </w:pPr>
          </w:p>
        </w:tc>
        <w:tc>
          <w:tcPr>
            <w:tcW w:w="1900" w:type="dxa"/>
            <w:vAlign w:val="bottom"/>
            <w:vMerge w:val="restart"/>
          </w:tcPr>
          <w:p>
            <w:pPr>
              <w:spacing w:after="0" w:line="242" w:lineRule="exact"/>
              <w:rPr>
                <w:sz w:val="20"/>
                <w:szCs w:val="20"/>
                <w:color w:val="auto"/>
              </w:rPr>
            </w:pPr>
            <w:r>
              <w:rPr>
                <w:rFonts w:ascii="Times New Roman" w:cs="Times New Roman" w:eastAsia="Times New Roman" w:hAnsi="Times New Roman"/>
                <w:sz w:val="18"/>
                <w:szCs w:val="18"/>
                <w:b w:val="1"/>
                <w:bCs w:val="1"/>
                <w:color w:val="auto"/>
              </w:rPr>
              <w:t xml:space="preserve">Instructions) </w:t>
            </w:r>
            <w:r>
              <w:rPr>
                <w:rFonts w:ascii="MS PGothic" w:cs="MS PGothic" w:eastAsia="MS PGothic" w:hAnsi="MS PGothic"/>
                <w:sz w:val="21"/>
                <w:szCs w:val="21"/>
                <w:color w:val="auto"/>
              </w:rPr>
              <w:t>☒</w:t>
            </w:r>
          </w:p>
        </w:tc>
        <w:tc>
          <w:tcPr>
            <w:tcW w:w="12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1160" w:type="dxa"/>
            <w:vAlign w:val="bottom"/>
            <w:tcBorders>
              <w:right w:val="single" w:sz="8" w:color="auto"/>
            </w:tcBorders>
          </w:tcPr>
          <w:p>
            <w:pPr>
              <w:spacing w:after="0"/>
              <w:rPr>
                <w:sz w:val="10"/>
                <w:szCs w:val="10"/>
                <w:color w:val="auto"/>
              </w:rPr>
            </w:pPr>
          </w:p>
        </w:tc>
        <w:tc>
          <w:tcPr>
            <w:tcW w:w="190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160" w:type="dxa"/>
            <w:vAlign w:val="bottom"/>
            <w:tcBorders>
              <w:bottom w:val="single" w:sz="8" w:color="auto"/>
              <w:right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6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w w:val="96"/>
              </w:rPr>
              <w:t>13</w:t>
            </w:r>
          </w:p>
        </w:tc>
        <w:tc>
          <w:tcPr>
            <w:tcW w:w="10080" w:type="dxa"/>
            <w:vAlign w:val="bottom"/>
            <w:gridSpan w:val="3"/>
          </w:tcPr>
          <w:p>
            <w:pPr>
              <w:ind w:left="100"/>
              <w:spacing w:after="0"/>
              <w:rPr>
                <w:sz w:val="20"/>
                <w:szCs w:val="20"/>
                <w:color w:val="auto"/>
              </w:rPr>
            </w:pPr>
            <w:r>
              <w:rPr>
                <w:rFonts w:ascii="Times New Roman" w:cs="Times New Roman" w:eastAsia="Times New Roman" w:hAnsi="Times New Roman"/>
                <w:sz w:val="22"/>
                <w:szCs w:val="22"/>
                <w:b w:val="1"/>
                <w:bCs w:val="1"/>
                <w:color w:val="auto"/>
              </w:rPr>
              <w:t>PERCENT OF CLASS REPRESENTED BY AMOUNT IN ROW (11)</w:t>
            </w:r>
          </w:p>
        </w:tc>
        <w:tc>
          <w:tcPr>
            <w:tcW w:w="0" w:type="dxa"/>
            <w:vAlign w:val="bottom"/>
          </w:tcPr>
          <w:p>
            <w:pPr>
              <w:spacing w:after="0"/>
              <w:rPr>
                <w:sz w:val="1"/>
                <w:szCs w:val="1"/>
                <w:color w:val="auto"/>
              </w:rPr>
            </w:pPr>
          </w:p>
        </w:tc>
      </w:tr>
      <w:tr>
        <w:trPr>
          <w:trHeight w:val="274"/>
        </w:trPr>
        <w:tc>
          <w:tcPr>
            <w:tcW w:w="1160" w:type="dxa"/>
            <w:vAlign w:val="bottom"/>
            <w:tcBorders>
              <w:right w:val="single" w:sz="8" w:color="auto"/>
            </w:tcBorders>
            <w:vMerge w:val="continue"/>
          </w:tcPr>
          <w:p>
            <w:pPr>
              <w:spacing w:after="0"/>
              <w:rPr>
                <w:sz w:val="23"/>
                <w:szCs w:val="23"/>
                <w:color w:val="auto"/>
              </w:rPr>
            </w:pPr>
          </w:p>
        </w:tc>
        <w:tc>
          <w:tcPr>
            <w:tcW w:w="19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 xml:space="preserve">57.0%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43"/>
                <w:szCs w:val="43"/>
                <w:color w:val="auto"/>
                <w:vertAlign w:val="superscript"/>
              </w:rPr>
              <w:t>6</w:t>
            </w:r>
            <w:r>
              <w:rPr>
                <w:rFonts w:ascii="Times New Roman" w:cs="Times New Roman" w:eastAsia="Times New Roman" w:hAnsi="Times New Roman"/>
                <w:sz w:val="35"/>
                <w:szCs w:val="35"/>
                <w:color w:val="auto"/>
                <w:vertAlign w:val="superscript"/>
              </w:rPr>
              <w:t>)</w:t>
            </w:r>
          </w:p>
        </w:tc>
        <w:tc>
          <w:tcPr>
            <w:tcW w:w="1240" w:type="dxa"/>
            <w:vAlign w:val="bottom"/>
          </w:tcPr>
          <w:p>
            <w:pPr>
              <w:spacing w:after="0"/>
              <w:rPr>
                <w:sz w:val="23"/>
                <w:szCs w:val="23"/>
                <w:color w:val="auto"/>
              </w:rPr>
            </w:pPr>
          </w:p>
        </w:tc>
        <w:tc>
          <w:tcPr>
            <w:tcW w:w="6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9"/>
        </w:trPr>
        <w:tc>
          <w:tcPr>
            <w:tcW w:w="1160" w:type="dxa"/>
            <w:vAlign w:val="bottom"/>
            <w:tcBorders>
              <w:bottom w:val="single" w:sz="8" w:color="auto"/>
              <w:right w:val="single" w:sz="8" w:color="auto"/>
            </w:tcBorders>
          </w:tcPr>
          <w:p>
            <w:pPr>
              <w:spacing w:after="0"/>
              <w:rPr>
                <w:sz w:val="24"/>
                <w:szCs w:val="24"/>
                <w:color w:val="auto"/>
              </w:rPr>
            </w:pPr>
          </w:p>
        </w:tc>
        <w:tc>
          <w:tcPr>
            <w:tcW w:w="190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color w:val="auto"/>
                <w:w w:val="96"/>
              </w:rPr>
              <w:t>14</w:t>
            </w:r>
          </w:p>
        </w:tc>
        <w:tc>
          <w:tcPr>
            <w:tcW w:w="10080" w:type="dxa"/>
            <w:vAlign w:val="bottom"/>
            <w:gridSpan w:val="3"/>
          </w:tcPr>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TYPE OF REPORTING PERSON </w:t>
            </w:r>
            <w:r>
              <w:rPr>
                <w:rFonts w:ascii="Times New Roman" w:cs="Times New Roman" w:eastAsia="Times New Roman" w:hAnsi="Times New Roman"/>
                <w:sz w:val="17"/>
                <w:szCs w:val="17"/>
                <w:b w:val="1"/>
                <w:bCs w:val="1"/>
                <w:color w:val="auto"/>
              </w:rPr>
              <w:t>(See Instructions)</w:t>
            </w:r>
          </w:p>
        </w:tc>
        <w:tc>
          <w:tcPr>
            <w:tcW w:w="0" w:type="dxa"/>
            <w:vAlign w:val="bottom"/>
          </w:tcPr>
          <w:p>
            <w:pPr>
              <w:spacing w:after="0"/>
              <w:rPr>
                <w:sz w:val="1"/>
                <w:szCs w:val="1"/>
                <w:color w:val="auto"/>
              </w:rPr>
            </w:pPr>
          </w:p>
        </w:tc>
      </w:tr>
      <w:tr>
        <w:trPr>
          <w:trHeight w:val="234"/>
        </w:trPr>
        <w:tc>
          <w:tcPr>
            <w:tcW w:w="1160" w:type="dxa"/>
            <w:vAlign w:val="bottom"/>
            <w:tcBorders>
              <w:right w:val="single" w:sz="8" w:color="auto"/>
            </w:tcBorders>
            <w:vMerge w:val="continue"/>
          </w:tcPr>
          <w:p>
            <w:pPr>
              <w:spacing w:after="0"/>
              <w:rPr>
                <w:sz w:val="20"/>
                <w:szCs w:val="20"/>
                <w:color w:val="auto"/>
              </w:rPr>
            </w:pPr>
          </w:p>
        </w:tc>
        <w:tc>
          <w:tcPr>
            <w:tcW w:w="19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w:t>
            </w:r>
          </w:p>
        </w:tc>
        <w:tc>
          <w:tcPr>
            <w:tcW w:w="12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160" w:type="dxa"/>
            <w:vAlign w:val="bottom"/>
            <w:tcBorders>
              <w:right w:val="single" w:sz="8" w:color="auto"/>
            </w:tcBorders>
          </w:tcPr>
          <w:p>
            <w:pPr>
              <w:spacing w:after="0"/>
              <w:rPr>
                <w:sz w:val="16"/>
                <w:szCs w:val="16"/>
                <w:color w:val="auto"/>
              </w:rPr>
            </w:pPr>
          </w:p>
        </w:tc>
        <w:tc>
          <w:tcPr>
            <w:tcW w:w="190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16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6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673100</wp:posOffset>
            </wp:positionV>
            <wp:extent cx="2386965" cy="33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8696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40"/>
        <w:spacing w:after="0" w:line="216" w:lineRule="auto"/>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33"/>
          <w:szCs w:val="33"/>
          <w:color w:val="auto"/>
          <w:vertAlign w:val="superscript"/>
        </w:rPr>
        <w:t>4</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xml:space="preserve"> Based on (i) 1,111,294 shares of Class A Common Stock and (ii) 6,803,178 shares of Class V Common Stock beneficially owned by the Reporting Person as of the date hereof. As described in note 1 above, this amount includes the Warrant Shares underlying the Acquired Warrants that are not</w:t>
      </w:r>
    </w:p>
    <w:p>
      <w:pPr>
        <w:sectPr>
          <w:pgSz w:w="11900" w:h="16838" w:orient="portrait"/>
          <w:cols w:equalWidth="0" w:num="1">
            <w:col w:w="11240"/>
          </w:cols>
          <w:pgMar w:left="320" w:top="810" w:right="33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exercisable until September 4, 2024, as described further in Item 6 of the Amended Schedule 13D.</w:t>
      </w:r>
    </w:p>
    <w:p>
      <w:pPr>
        <w:spacing w:after="0" w:line="185" w:lineRule="exact"/>
        <w:rPr>
          <w:sz w:val="20"/>
          <w:szCs w:val="20"/>
          <w:color w:val="auto"/>
        </w:rPr>
      </w:pPr>
    </w:p>
    <w:p>
      <w:pPr>
        <w:ind w:right="220"/>
        <w:spacing w:after="0" w:line="215"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35"/>
          <w:szCs w:val="35"/>
          <w:color w:val="auto"/>
          <w:vertAlign w:val="superscript"/>
        </w:rPr>
        <w:t>5</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Based on (i) 1,111,294 shares of Class A Common Stock and (ii) 6,803,178 shares of Class V Common Stock beneficially owned by the Reporting Person as of the date hereof. As described in note 1 above, this amount includes the Warrant Shares underlying the Acquired Warrants that are not exercisable until September 4, 2024, as described further in Item 6 of the Amended Schedule 13D.</w:t>
      </w:r>
    </w:p>
    <w:p>
      <w:pPr>
        <w:spacing w:after="0" w:line="173"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35"/>
          <w:szCs w:val="35"/>
          <w:color w:val="auto"/>
          <w:vertAlign w:val="superscript"/>
        </w:rPr>
        <w:t>6</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Based on a total of 13,426,766 shares of Common Stock, consisting of 6,231,825 shares of Class A Common Stock and 7,194,941 shares of Class V Common Stock, outstanding as of May 8, 2024, as reported in the Issuer’s Quarterly Report on Form 10-Q filed with the SEC on May 15, 2024. As described in note 1 above, the Reporting Persons’ voting power in respect of the Common Stock is reduced to 30% pursuant to the Voting Agreement between ICEH and the Issuer, so long as ICEH and its affiliates own 50% or more of the total voting power of the Issuer as described further in Item 6 of the Amended Schedule 13D. As of the date hereof, the Reporting Person beneficially owns 16.6% of the outstanding shares of Class A Common Stock (including the Warrant Shares but excluding any shares of Class V Common Stock).</w:t>
      </w:r>
    </w:p>
    <w:p>
      <w:pPr>
        <w:spacing w:after="0" w:line="20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EXPLANATORY NOTE</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This Amendment No. 5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being jointly filed on behalf of: (a) Intercontinental Exchange, Inc., a Delaware corporation (“</w:t>
      </w:r>
      <w:r>
        <w:rPr>
          <w:rFonts w:ascii="Times New Roman" w:cs="Times New Roman" w:eastAsia="Times New Roman" w:hAnsi="Times New Roman"/>
          <w:sz w:val="22"/>
          <w:szCs w:val="22"/>
          <w:u w:val="single" w:color="auto"/>
          <w:color w:val="auto"/>
        </w:rPr>
        <w:t>ICE</w:t>
      </w:r>
      <w:r>
        <w:rPr>
          <w:rFonts w:ascii="Times New Roman" w:cs="Times New Roman" w:eastAsia="Times New Roman" w:hAnsi="Times New Roman"/>
          <w:sz w:val="22"/>
          <w:szCs w:val="22"/>
          <w:color w:val="auto"/>
        </w:rPr>
        <w:t>”), and (b) Intercontinental Exchange Holdings, Inc., a Delaware corporation (“</w:t>
      </w:r>
      <w:r>
        <w:rPr>
          <w:rFonts w:ascii="Times New Roman" w:cs="Times New Roman" w:eastAsia="Times New Roman" w:hAnsi="Times New Roman"/>
          <w:sz w:val="22"/>
          <w:szCs w:val="22"/>
          <w:u w:val="single" w:color="auto"/>
          <w:color w:val="auto"/>
        </w:rPr>
        <w:t>ICEH</w:t>
      </w:r>
      <w:r>
        <w:rPr>
          <w:rFonts w:ascii="Times New Roman" w:cs="Times New Roman" w:eastAsia="Times New Roman" w:hAnsi="Times New Roman"/>
          <w:sz w:val="22"/>
          <w:szCs w:val="22"/>
          <w:color w:val="auto"/>
        </w:rPr>
        <w:t>”, and together with ICE, the “</w:t>
      </w:r>
      <w:r>
        <w:rPr>
          <w:rFonts w:ascii="Times New Roman" w:cs="Times New Roman" w:eastAsia="Times New Roman" w:hAnsi="Times New Roman"/>
          <w:sz w:val="22"/>
          <w:szCs w:val="22"/>
          <w:u w:val="single" w:color="auto"/>
          <w:color w:val="auto"/>
        </w:rPr>
        <w:t>Reporting Persons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Reporting Person</w:t>
      </w:r>
      <w:r>
        <w:rPr>
          <w:rFonts w:ascii="Times New Roman" w:cs="Times New Roman" w:eastAsia="Times New Roman" w:hAnsi="Times New Roman"/>
          <w:sz w:val="22"/>
          <w:szCs w:val="22"/>
          <w:color w:val="auto"/>
        </w:rPr>
        <w:t>”), and amends the (i) Statement on Schedule 13D filed by the Reporting Persons on October 21, 2021 (the “</w:t>
      </w:r>
      <w:r>
        <w:rPr>
          <w:rFonts w:ascii="Times New Roman" w:cs="Times New Roman" w:eastAsia="Times New Roman" w:hAnsi="Times New Roman"/>
          <w:sz w:val="22"/>
          <w:szCs w:val="22"/>
          <w:u w:val="single" w:color="auto"/>
          <w:color w:val="auto"/>
        </w:rPr>
        <w:t>Initial Schedule 13D</w:t>
      </w:r>
      <w:r>
        <w:rPr>
          <w:rFonts w:ascii="Times New Roman" w:cs="Times New Roman" w:eastAsia="Times New Roman" w:hAnsi="Times New Roman"/>
          <w:sz w:val="22"/>
          <w:szCs w:val="22"/>
          <w:color w:val="auto"/>
        </w:rPr>
        <w:t>”) as previously amended by (ii) Amendment No. 1 to the Initial Schedule 13D filed by the Reporting Persons on May 5, 2022 (“</w:t>
      </w:r>
      <w:r>
        <w:rPr>
          <w:rFonts w:ascii="Times New Roman" w:cs="Times New Roman" w:eastAsia="Times New Roman" w:hAnsi="Times New Roman"/>
          <w:sz w:val="22"/>
          <w:szCs w:val="22"/>
          <w:u w:val="single" w:color="auto"/>
          <w:color w:val="auto"/>
        </w:rPr>
        <w:t>Amendment No. 1</w:t>
      </w:r>
      <w:r>
        <w:rPr>
          <w:rFonts w:ascii="Times New Roman" w:cs="Times New Roman" w:eastAsia="Times New Roman" w:hAnsi="Times New Roman"/>
          <w:sz w:val="22"/>
          <w:szCs w:val="22"/>
          <w:color w:val="auto"/>
        </w:rPr>
        <w:t>”), (iii) Amendment No. 2 to the Initial Schedule 13D filed by the Reporting Persons on April 28, 2023 (“</w:t>
      </w:r>
      <w:r>
        <w:rPr>
          <w:rFonts w:ascii="Times New Roman" w:cs="Times New Roman" w:eastAsia="Times New Roman" w:hAnsi="Times New Roman"/>
          <w:sz w:val="22"/>
          <w:szCs w:val="22"/>
          <w:u w:val="single" w:color="auto"/>
          <w:color w:val="auto"/>
        </w:rPr>
        <w:t>Amendment No. 2</w:t>
      </w:r>
      <w:r>
        <w:rPr>
          <w:rFonts w:ascii="Times New Roman" w:cs="Times New Roman" w:eastAsia="Times New Roman" w:hAnsi="Times New Roman"/>
          <w:sz w:val="22"/>
          <w:szCs w:val="22"/>
          <w:color w:val="auto"/>
        </w:rPr>
        <w:t>”), (iv) Amendment No. 3 to the Initial Schedule 13D filed by the Reporting Persons on March 4, 2024 (“</w:t>
      </w:r>
      <w:r>
        <w:rPr>
          <w:rFonts w:ascii="Times New Roman" w:cs="Times New Roman" w:eastAsia="Times New Roman" w:hAnsi="Times New Roman"/>
          <w:sz w:val="22"/>
          <w:szCs w:val="22"/>
          <w:u w:val="single" w:color="auto"/>
          <w:color w:val="auto"/>
        </w:rPr>
        <w:t>Amendment No. 3</w:t>
      </w:r>
      <w:r>
        <w:rPr>
          <w:rFonts w:ascii="Times New Roman" w:cs="Times New Roman" w:eastAsia="Times New Roman" w:hAnsi="Times New Roman"/>
          <w:sz w:val="22"/>
          <w:szCs w:val="22"/>
          <w:color w:val="auto"/>
        </w:rPr>
        <w:t>”), and (v) Amendment No. 4 to the Initial Schedule 13D filed by the Reporting Persons on April 29, 2024 (“</w:t>
      </w:r>
      <w:r>
        <w:rPr>
          <w:rFonts w:ascii="Times New Roman" w:cs="Times New Roman" w:eastAsia="Times New Roman" w:hAnsi="Times New Roman"/>
          <w:sz w:val="22"/>
          <w:szCs w:val="22"/>
          <w:u w:val="single" w:color="auto"/>
          <w:color w:val="auto"/>
        </w:rPr>
        <w:t>Amendment No. 4</w:t>
      </w:r>
      <w:r>
        <w:rPr>
          <w:rFonts w:ascii="Times New Roman" w:cs="Times New Roman" w:eastAsia="Times New Roman" w:hAnsi="Times New Roman"/>
          <w:sz w:val="22"/>
          <w:szCs w:val="22"/>
          <w:color w:val="auto"/>
        </w:rPr>
        <w:t>”, and the Initial Schedule 13D as so amended, the “</w:t>
      </w:r>
      <w:r>
        <w:rPr>
          <w:rFonts w:ascii="Times New Roman" w:cs="Times New Roman" w:eastAsia="Times New Roman" w:hAnsi="Times New Roman"/>
          <w:sz w:val="22"/>
          <w:szCs w:val="22"/>
          <w:u w:val="single" w:color="auto"/>
          <w:color w:val="auto"/>
        </w:rPr>
        <w:t>Amended Schedule 13D</w:t>
      </w:r>
      <w:r>
        <w:rPr>
          <w:rFonts w:ascii="Times New Roman" w:cs="Times New Roman" w:eastAsia="Times New Roman" w:hAnsi="Times New Roman"/>
          <w:sz w:val="22"/>
          <w:szCs w:val="22"/>
          <w:color w:val="auto"/>
        </w:rPr>
        <w:t>”), which relates to the shares of Class A common stock, par value $0.0001 per share (“</w:t>
      </w:r>
      <w:r>
        <w:rPr>
          <w:rFonts w:ascii="Times New Roman" w:cs="Times New Roman" w:eastAsia="Times New Roman" w:hAnsi="Times New Roman"/>
          <w:sz w:val="22"/>
          <w:szCs w:val="22"/>
          <w:u w:val="single" w:color="auto"/>
          <w:color w:val="auto"/>
        </w:rPr>
        <w:t>Class A Common Stock</w:t>
      </w:r>
      <w:r>
        <w:rPr>
          <w:rFonts w:ascii="Times New Roman" w:cs="Times New Roman" w:eastAsia="Times New Roman" w:hAnsi="Times New Roman"/>
          <w:sz w:val="22"/>
          <w:szCs w:val="22"/>
          <w:color w:val="auto"/>
        </w:rPr>
        <w:t>”), of Bakkt Holdings, Inc., a Delaware corporation (the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Capitalized terms used and not otherwise defined in this Amendment have the same meanings ascribed to them in the Amended Schedule 13D.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Unless specifically amended hereby, the disclosure set forth in the Amended Schedule 13D remains unchanged.</w:t>
      </w:r>
    </w:p>
    <w:p>
      <w:pPr>
        <w:spacing w:after="0" w:line="20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Interest in Securities of the Issuer.</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This Amendment is being filed because, on July 6, 2024, the Acquired Warrants (as defined in Item 6 of the Amended Schedule 13D) became exercisable within 60 days, and pursuant to Rule 13d-3(d)(1) of the Exchange Act, the Reporting Persons are deemed to have beneficial ownership of the Class A Common Stock underlying the Acquired Warrants as of such date.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Section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(b)</w:t>
      </w:r>
      <w:r>
        <w:rPr>
          <w:rFonts w:ascii="Times New Roman" w:cs="Times New Roman" w:eastAsia="Times New Roman" w:hAnsi="Times New Roman"/>
          <w:sz w:val="21"/>
          <w:szCs w:val="21"/>
          <w:color w:val="auto"/>
        </w:rPr>
        <w:t xml:space="preserve"> of Item 5 of the Amended Schedule 13D are hereby amended and restated in their entirety as follows:</w:t>
      </w:r>
    </w:p>
    <w:p>
      <w:pPr>
        <w:spacing w:after="0" w:line="218" w:lineRule="exact"/>
        <w:rPr>
          <w:sz w:val="20"/>
          <w:szCs w:val="20"/>
          <w:color w:val="auto"/>
        </w:rPr>
      </w:pPr>
    </w:p>
    <w:p>
      <w:pPr>
        <w:jc w:val="both"/>
        <w:ind w:firstLine="656"/>
        <w:spacing w:after="0" w:line="234" w:lineRule="auto"/>
        <w:tabs>
          <w:tab w:leader="none" w:pos="94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(b) The percentage of beneficial ownership in this Amendment is based on: (i) with respect to the total amount of securities issued and outstanding, an aggregate of 6,231,825 shares of Class A Common Stock and 7,194,941 shares of Class V Common Stock outstanding as of May 8, 2024, as reported in the Issuer’s Quarterly Report on Form 10-Q filed with the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on May 15, 2024, as adjusted pursuant to Rule 13d-3(d)(1)(i) under the Exchange Act to include the 461,360 shares of Class A Common Stock (the “</w:t>
      </w:r>
      <w:r>
        <w:rPr>
          <w:rFonts w:ascii="Times New Roman" w:cs="Times New Roman" w:eastAsia="Times New Roman" w:hAnsi="Times New Roman"/>
          <w:sz w:val="22"/>
          <w:szCs w:val="22"/>
          <w:u w:val="single" w:color="auto"/>
          <w:color w:val="auto"/>
        </w:rPr>
        <w:t>Warrant Shares</w:t>
      </w:r>
      <w:r>
        <w:rPr>
          <w:rFonts w:ascii="Times New Roman" w:cs="Times New Roman" w:eastAsia="Times New Roman" w:hAnsi="Times New Roman"/>
          <w:sz w:val="22"/>
          <w:szCs w:val="22"/>
          <w:color w:val="auto"/>
        </w:rPr>
        <w:t>”) underlying the Acquired Warrants (as defined in Item 6 of the Amended Schedule 13D), and (ii) with respect to the securities beneficially owned by the Reporting Persons, 648,934 shares of Class A Common Stock, the 461,360 Warrant Shares and 6,803,178 shares of Class A Common Stock underlying the Paired Interests (consisting of 6,803,178 Bakkt Opco Common Units and 6,803,178 shares of Class V Common Stock) beneficially owned by the Reporting Persons as of the date hereof.</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aggregate number and percentage of shares of Class A Common Stock and Class V Common Stock beneficially owned by the Reporting Persons,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Amendment and are incorporated herein by reference.</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6" w:name="page7"/>
    <w:bookmarkEnd w:id="6"/>
    <w:p>
      <w:pPr>
        <w:spacing w:after="0" w:line="191" w:lineRule="auto"/>
        <w:framePr w:w="9740" w:h="192" w:wrap="auto" w:vAnchor="page" w:hAnchor="page" w:x="280" w:y="7157"/>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shares of Class A Common Stock, Class V Common Stock and Bakkt Opco Common Units set forth below:</w:t>
      </w:r>
    </w:p>
    <w:p>
      <w:pPr>
        <w:jc w:val="both"/>
        <w:spacing w:after="0" w:line="234" w:lineRule="auto"/>
        <w:rPr>
          <w:sz w:val="20"/>
          <w:szCs w:val="20"/>
          <w:color w:val="auto"/>
        </w:rPr>
      </w:pPr>
      <w:r>
        <w:rPr>
          <w:rFonts w:ascii="Times New Roman" w:cs="Times New Roman" w:eastAsia="Times New Roman" w:hAnsi="Times New Roman"/>
          <w:sz w:val="22"/>
          <w:szCs w:val="22"/>
          <w:color w:val="auto"/>
        </w:rPr>
        <w:t>Pursuant to the terms of the A&amp;R Exchange Agreement (as defined in Item 6 of Amendment No. 1), Bakkt Opco Common Units, when coupled with an equivalent number of shares of Class V Common Stock, may be exchanged at the discretion of the holder for shares of Class A Common Stock on a one-for-one basis (subject to adjustment as set forth in the A&amp;R Exchange Agreement), or, at the option of the Issuer, cash, subject to the following exceptions: (i) no holder of Bakkt Opco Common Units may exchange less than 1,000 Bakkt Opco Common Units in any single exchange unless exchanging all of their Bakkt Opco Common Units; and (ii) such exchange can only occur (a) upon a Permitted Exchange Event (as defined in the A&amp;R Exchange Agreement) or (b) on (1) the last trading day of the second week of the first month of each quarter, (2) the last trading day of the first month of each quarter, (3) the third full trading day occurring after the Issuer publicly announces its results for a quarter and (4) the last trading day of the second month of each quarter.</w:t>
      </w:r>
    </w:p>
    <w:p>
      <w:pPr>
        <w:spacing w:after="0" w:line="183" w:lineRule="exact"/>
        <w:rPr>
          <w:rFonts w:ascii="Times New Roman" w:cs="Times New Roman" w:eastAsia="Times New Roman" w:hAnsi="Times New Roman"/>
          <w:sz w:val="21"/>
          <w:szCs w:val="21"/>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Pursuant to the Voting Agreement (as described in Item 6 of the Initial Schedule 13D), as long as ICEH and its affiliates beneficially own 50% or more of the total voting power of the shares of Common Stock issued and outstanding and entitled to vote at any time, a proxy designated by the Board will vote the Excess Shares (defined in Item 6 of the Initial Schedule 13D) beneficially owned by the Reporting Persons on any Stockholder Matter (as defined in Item 6 of the Initial Schedule 13D) in the same percentages for and against such Stockholder Matter as votes were cast for and against such Stockholder Matter by all stockholders of the Issuer other than ICEH and its affiliates. The Voting Agreement does not apply to the voting of shares of Common Stock beneficially owned by ICEH and its affiliates that are not Excess Shares. The Voting Agreement also does not apply to the giving or withholding of consent or approval in respect of any matter requiring the approval of the Required Interest (as defined in Item 6 of the Initial Schedule 13D) of Bakkt Opco equity holders under the Surviving Company LLC Agreement. The Voting Agreement will terminate if the voting power represented by the shares of Common Stock beneficially owned by ICEH and its affiliates falls below 50% of the total voting power of the shares of Common Stock issued and outstanding and entitled to vote at any time. The Warrant Shares will not have voting power unless, and to the extent, ICEH exercises its right to acquire Warrant Shares in accordance with the terms of the Acquired Warrants and such shares become issued and outstanding.</w:t>
      </w:r>
    </w:p>
    <w:p>
      <w:pPr>
        <w:spacing w:after="0" w:line="183"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color w:val="auto"/>
        </w:rPr>
        <w:t>To the best knowledge of the Reporting Persons, the following persons beneficially own or may be deemed to beneficially own</w:t>
      </w:r>
    </w:p>
    <w:p>
      <w:pPr>
        <w:spacing w:after="0" w:line="14" w:lineRule="exact"/>
        <w:rPr>
          <w:rFonts w:ascii="Times New Roman" w:cs="Times New Roman" w:eastAsia="Times New Roman" w:hAnsi="Times New Roman"/>
          <w:sz w:val="21"/>
          <w:szCs w:val="21"/>
          <w:color w:val="auto"/>
        </w:rPr>
      </w:pPr>
    </w:p>
    <w:p>
      <w:pPr>
        <w:ind w:left="9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7</w:t>
      </w:r>
      <w:r>
        <w:rPr>
          <w:rFonts w:ascii="Times New Roman" w:cs="Times New Roman" w:eastAsia="Times New Roman" w:hAnsi="Times New Roman"/>
          <w:sz w:val="18"/>
          <w:szCs w:val="18"/>
          <w:color w:val="auto"/>
        </w:rPr>
        <w:t>)</w:t>
      </w:r>
    </w:p>
    <w:p>
      <w:pPr>
        <w:spacing w:after="0" w:line="20" w:lineRule="exact"/>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2386965"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86965" cy="34290"/>
                    </a:xfrm>
                    <a:prstGeom prst="rect">
                      <a:avLst/>
                    </a:prstGeom>
                    <a:noFill/>
                  </pic:spPr>
                </pic:pic>
              </a:graphicData>
            </a:graphic>
          </wp:anchor>
        </w:drawing>
      </w:r>
    </w:p>
    <w:p>
      <w:pPr>
        <w:spacing w:after="0" w:line="200" w:lineRule="exact"/>
        <w:rPr>
          <w:rFonts w:ascii="Times New Roman" w:cs="Times New Roman" w:eastAsia="Times New Roman" w:hAnsi="Times New Roman"/>
          <w:sz w:val="21"/>
          <w:szCs w:val="21"/>
          <w:color w:val="auto"/>
        </w:rPr>
      </w:pPr>
    </w:p>
    <w:p>
      <w:pPr>
        <w:spacing w:after="0" w:line="241" w:lineRule="exact"/>
        <w:rPr>
          <w:rFonts w:ascii="Times New Roman" w:cs="Times New Roman" w:eastAsia="Times New Roman" w:hAnsi="Times New Roman"/>
          <w:sz w:val="21"/>
          <w:szCs w:val="21"/>
          <w:color w:val="auto"/>
        </w:rPr>
      </w:pPr>
    </w:p>
    <w:p>
      <w:pPr>
        <w:ind w:firstLine="8"/>
        <w:spacing w:after="0" w:line="261"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shares of Class A Common Stock beneficially owned by Ms. Bowen, the beneficial ownership information set forth herein is with respect to shares of Class V Common Stock and Bakkt Opco Common Units indirectly acquired by Ms. Bowen, Mr. Noonan, and Mr. Sprecher’s spouse in connection with the Closing in respect of incentive units held by such individuals under the Bakkt equity incentive plan in effect prior to the Closing and held directly by Bakkt Management LLC (“</w:t>
      </w:r>
      <w:r>
        <w:rPr>
          <w:rFonts w:ascii="Times New Roman" w:cs="Times New Roman" w:eastAsia="Times New Roman" w:hAnsi="Times New Roman"/>
          <w:sz w:val="18"/>
          <w:szCs w:val="18"/>
          <w:u w:val="single" w:color="auto"/>
          <w:color w:val="auto"/>
        </w:rPr>
        <w:t>Bakkt Management</w:t>
      </w:r>
      <w:r>
        <w:rPr>
          <w:rFonts w:ascii="Times New Roman" w:cs="Times New Roman" w:eastAsia="Times New Roman" w:hAnsi="Times New Roman"/>
          <w:sz w:val="18"/>
          <w:szCs w:val="18"/>
          <w:color w:val="auto"/>
        </w:rPr>
        <w:t>”).</w:t>
      </w:r>
    </w:p>
    <w:p>
      <w:pPr>
        <w:spacing w:after="0" w:line="153" w:lineRule="exact"/>
        <w:rPr>
          <w:rFonts w:ascii="Times New Roman" w:cs="Times New Roman" w:eastAsia="Times New Roman" w:hAnsi="Times New Roman"/>
          <w:sz w:val="21"/>
          <w:szCs w:val="21"/>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7" w:name="page8"/>
    <w:bookmarkEnd w:id="7"/>
    <w:p>
      <w:pPr>
        <w:ind w:left="1300" w:hanging="644"/>
        <w:spacing w:after="0" w:line="258" w:lineRule="auto"/>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 Sharon Y. Bowen, Director, ICE, beneficially owns 9,701 shares of Class A Common Stock, 926 shares of Class V Common Stock and 926 Bakkt Opco Common Units.</w:t>
      </w:r>
    </w:p>
    <w:p>
      <w:pPr>
        <w:spacing w:after="0" w:line="158" w:lineRule="exact"/>
        <w:rPr>
          <w:rFonts w:ascii="Times New Roman" w:cs="Times New Roman" w:eastAsia="Times New Roman" w:hAnsi="Times New Roman"/>
          <w:sz w:val="22"/>
          <w:szCs w:val="22"/>
          <w:color w:val="auto"/>
        </w:rPr>
      </w:pPr>
    </w:p>
    <w:p>
      <w:pPr>
        <w:ind w:left="1300" w:hanging="644"/>
        <w:spacing w:after="0" w:line="258" w:lineRule="auto"/>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Thomas E. Noonan, Director, ICE, beneficially owns 529 shares of Class V Common Stock and 529 Bakkt Opco Common Units.</w:t>
      </w:r>
    </w:p>
    <w:p>
      <w:pPr>
        <w:spacing w:after="0" w:line="158" w:lineRule="exact"/>
        <w:rPr>
          <w:rFonts w:ascii="Times New Roman" w:cs="Times New Roman" w:eastAsia="Times New Roman" w:hAnsi="Times New Roman"/>
          <w:sz w:val="22"/>
          <w:szCs w:val="22"/>
          <w:color w:val="auto"/>
        </w:rPr>
      </w:pPr>
    </w:p>
    <w:p>
      <w:pPr>
        <w:jc w:val="both"/>
        <w:ind w:left="1300" w:hanging="644"/>
        <w:spacing w:after="0" w:line="239" w:lineRule="auto"/>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Jeffrey C. Sprecher, Director (Chairman) and Chief Executive Officer, ICE, may be deemed to beneficially own 146,366 shares of Class V Common Stock and 146,366 Bakkt Opco Common Units, which shares and units are beneficially owned by his spouse through her holdings of vested incentive units in Bakkt Management. Mr. Sprecher disclaims beneficial ownership of the shares and units held indirectly by his spouse.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Reporting Persons specifically disclaim beneficial ownership over such shares and units held by the persons listed above.</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share ownership reported herein for the Reporting Persons does not include any securities of the Issuer held by any party to the Stockholders Agreement (as defined and described in Item 6 of the Initial Schedule 13D) other than ICEH, and each of the Reporting Persons disclaims beneficial ownership of any such securities owned by such other parties.</w:t>
      </w:r>
    </w:p>
    <w:p>
      <w:pPr>
        <w:spacing w:after="0" w:line="173" w:lineRule="exact"/>
        <w:rPr>
          <w:sz w:val="20"/>
          <w:szCs w:val="20"/>
          <w:color w:val="auto"/>
        </w:rPr>
      </w:pPr>
    </w:p>
    <w:p>
      <w:pPr>
        <w:ind w:firstLine="656"/>
        <w:spacing w:after="0" w:line="258" w:lineRule="auto"/>
        <w:tabs>
          <w:tab w:leader="none" w:pos="97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Persons have not effected any transactions in Class A Common Stock or Class V Common Stock during the past 60 days.</w:t>
      </w:r>
    </w:p>
    <w:p>
      <w:pPr>
        <w:spacing w:after="0" w:line="158" w:lineRule="exact"/>
        <w:rPr>
          <w:rFonts w:ascii="Times New Roman" w:cs="Times New Roman" w:eastAsia="Times New Roman" w:hAnsi="Times New Roman"/>
          <w:sz w:val="22"/>
          <w:szCs w:val="22"/>
          <w:color w:val="auto"/>
        </w:rPr>
      </w:pPr>
    </w:p>
    <w:p>
      <w:pPr>
        <w:ind w:firstLine="656"/>
        <w:spacing w:after="0" w:line="258" w:lineRule="auto"/>
        <w:tabs>
          <w:tab w:leader="none" w:pos="96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best knowledge of the Reporting Persons, no one other than the Reporting Persons has the right to receive or the power to direct the receipt of dividends from, or the proceeds from the sale of, the securities reported herein.</w:t>
      </w:r>
    </w:p>
    <w:p>
      <w:pPr>
        <w:spacing w:after="0" w:line="158"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the undersigned’s knowledge and belief, the undersigned certifies that the information set forth in this statement is true, complete and correct.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5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Dated: July 9, 2024</w:t>
            </w:r>
          </w:p>
        </w:tc>
        <w:tc>
          <w:tcPr>
            <w:tcW w:w="7700" w:type="dxa"/>
            <w:vAlign w:val="bottom"/>
            <w:gridSpan w:val="2"/>
          </w:tcPr>
          <w:p>
            <w:pPr>
              <w:ind w:left="1740"/>
              <w:spacing w:after="0"/>
              <w:rPr>
                <w:sz w:val="20"/>
                <w:szCs w:val="20"/>
                <w:color w:val="auto"/>
              </w:rPr>
            </w:pPr>
            <w:r>
              <w:rPr>
                <w:rFonts w:ascii="Times New Roman" w:cs="Times New Roman" w:eastAsia="Times New Roman" w:hAnsi="Times New Roman"/>
                <w:sz w:val="22"/>
                <w:szCs w:val="22"/>
                <w:b w:val="1"/>
                <w:bCs w:val="1"/>
                <w:color w:val="auto"/>
              </w:rPr>
              <w:t>Intercontinental Exchange, Inc.</w:t>
            </w:r>
          </w:p>
        </w:tc>
      </w:tr>
      <w:tr>
        <w:trPr>
          <w:trHeight w:val="474"/>
        </w:trPr>
        <w:tc>
          <w:tcPr>
            <w:tcW w:w="3540" w:type="dxa"/>
            <w:vAlign w:val="bottom"/>
          </w:tcPr>
          <w:p>
            <w:pPr>
              <w:spacing w:after="0"/>
              <w:rPr>
                <w:sz w:val="24"/>
                <w:szCs w:val="24"/>
                <w:color w:val="auto"/>
              </w:rPr>
            </w:pPr>
          </w:p>
        </w:tc>
        <w:tc>
          <w:tcPr>
            <w:tcW w:w="2320" w:type="dxa"/>
            <w:vAlign w:val="bottom"/>
          </w:tcPr>
          <w:p>
            <w:pPr>
              <w:ind w:left="1740"/>
              <w:spacing w:after="0"/>
              <w:rPr>
                <w:sz w:val="20"/>
                <w:szCs w:val="20"/>
                <w:color w:val="auto"/>
              </w:rPr>
            </w:pPr>
            <w:r>
              <w:rPr>
                <w:rFonts w:ascii="Times New Roman" w:cs="Times New Roman" w:eastAsia="Times New Roman" w:hAnsi="Times New Roman"/>
                <w:sz w:val="22"/>
                <w:szCs w:val="22"/>
                <w:color w:val="auto"/>
              </w:rPr>
              <w:t>By:</w:t>
            </w:r>
          </w:p>
        </w:tc>
        <w:tc>
          <w:tcPr>
            <w:tcW w:w="5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 Andrew J. Surdykowski</w:t>
            </w:r>
          </w:p>
        </w:tc>
      </w:tr>
      <w:tr>
        <w:trPr>
          <w:trHeight w:val="209"/>
        </w:trPr>
        <w:tc>
          <w:tcPr>
            <w:tcW w:w="35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38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Name: Andrew J. Surdykowski</w:t>
            </w:r>
          </w:p>
        </w:tc>
      </w:tr>
      <w:tr>
        <w:trPr>
          <w:trHeight w:val="282"/>
        </w:trPr>
        <w:tc>
          <w:tcPr>
            <w:tcW w:w="3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Title: General Counsel</w:t>
            </w:r>
          </w:p>
        </w:tc>
      </w:tr>
      <w:tr>
        <w:trPr>
          <w:trHeight w:val="729"/>
        </w:trPr>
        <w:tc>
          <w:tcPr>
            <w:tcW w:w="3540" w:type="dxa"/>
            <w:vAlign w:val="bottom"/>
          </w:tcPr>
          <w:p>
            <w:pPr>
              <w:spacing w:after="0"/>
              <w:rPr>
                <w:sz w:val="24"/>
                <w:szCs w:val="24"/>
                <w:color w:val="auto"/>
              </w:rPr>
            </w:pPr>
          </w:p>
        </w:tc>
        <w:tc>
          <w:tcPr>
            <w:tcW w:w="7700" w:type="dxa"/>
            <w:vAlign w:val="bottom"/>
            <w:gridSpan w:val="2"/>
          </w:tcPr>
          <w:p>
            <w:pPr>
              <w:ind w:left="1740"/>
              <w:spacing w:after="0"/>
              <w:rPr>
                <w:sz w:val="20"/>
                <w:szCs w:val="20"/>
                <w:color w:val="auto"/>
              </w:rPr>
            </w:pPr>
            <w:r>
              <w:rPr>
                <w:rFonts w:ascii="Times New Roman" w:cs="Times New Roman" w:eastAsia="Times New Roman" w:hAnsi="Times New Roman"/>
                <w:sz w:val="22"/>
                <w:szCs w:val="22"/>
                <w:b w:val="1"/>
                <w:bCs w:val="1"/>
                <w:color w:val="auto"/>
              </w:rPr>
              <w:t>Intercontinental Exchange Holdings, Inc.</w:t>
            </w:r>
          </w:p>
        </w:tc>
      </w:tr>
      <w:tr>
        <w:trPr>
          <w:trHeight w:val="717"/>
        </w:trPr>
        <w:tc>
          <w:tcPr>
            <w:tcW w:w="3540" w:type="dxa"/>
            <w:vAlign w:val="bottom"/>
          </w:tcPr>
          <w:p>
            <w:pPr>
              <w:spacing w:after="0"/>
              <w:rPr>
                <w:sz w:val="24"/>
                <w:szCs w:val="24"/>
                <w:color w:val="auto"/>
              </w:rPr>
            </w:pPr>
          </w:p>
        </w:tc>
        <w:tc>
          <w:tcPr>
            <w:tcW w:w="2320" w:type="dxa"/>
            <w:vAlign w:val="bottom"/>
          </w:tcPr>
          <w:p>
            <w:pPr>
              <w:ind w:left="1740"/>
              <w:spacing w:after="0"/>
              <w:rPr>
                <w:sz w:val="20"/>
                <w:szCs w:val="20"/>
                <w:color w:val="auto"/>
              </w:rPr>
            </w:pPr>
            <w:r>
              <w:rPr>
                <w:rFonts w:ascii="Times New Roman" w:cs="Times New Roman" w:eastAsia="Times New Roman" w:hAnsi="Times New Roman"/>
                <w:sz w:val="22"/>
                <w:szCs w:val="22"/>
                <w:color w:val="auto"/>
              </w:rPr>
              <w:t>By:</w:t>
            </w:r>
          </w:p>
        </w:tc>
        <w:tc>
          <w:tcPr>
            <w:tcW w:w="5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 Andrew J. Surdykowski</w:t>
            </w:r>
          </w:p>
        </w:tc>
      </w:tr>
      <w:tr>
        <w:trPr>
          <w:trHeight w:val="209"/>
        </w:trPr>
        <w:tc>
          <w:tcPr>
            <w:tcW w:w="35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38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Name: Andrew J. Surdykowski</w:t>
            </w:r>
          </w:p>
        </w:tc>
      </w:tr>
      <w:tr>
        <w:trPr>
          <w:trHeight w:val="282"/>
        </w:trPr>
        <w:tc>
          <w:tcPr>
            <w:tcW w:w="3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Title: General Counsel</w:t>
            </w:r>
          </w:p>
        </w:tc>
      </w:tr>
      <w:tr>
        <w:trPr>
          <w:trHeight w:val="2236"/>
        </w:trPr>
        <w:tc>
          <w:tcPr>
            <w:tcW w:w="35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0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5"/>
      <w:numFmt w:val="bullet"/>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5"/>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decimal"/>
      <w:start w:val="7"/>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2024-07-09T05:19:37Z</dcterms:created>
  <dcterms:modified xsi:type="dcterms:W3CDTF">2024-07-09T05:19:37Z</dcterms:modified>
</cp:coreProperties>
</file>