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p>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right="100" w:hanging="424"/>
        <w:spacing w:after="0" w:line="236" w:lineRule="auto"/>
        <w:tabs>
          <w:tab w:leader="none" w:pos="5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9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243" w:lineRule="exact"/>
        <w:rPr>
          <w:sz w:val="24"/>
          <w:szCs w:val="24"/>
          <w:color w:val="auto"/>
        </w:rPr>
      </w:pPr>
    </w:p>
    <w:p>
      <w:pPr>
        <w:ind w:left="540" w:right="8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1"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240030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VPC Impact Acquisition Holdings</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0" w:type="dxa"/>
        <w:tblCellMar>
          <w:top w:w="0" w:type="dxa"/>
          <w:left w:w="0" w:type="dxa"/>
          <w:bottom w:w="0" w:type="dxa"/>
          <w:right w:w="0" w:type="dxa"/>
        </w:tblCellMar>
      </w:tblPr>
      <w:tr>
        <w:trPr>
          <w:trHeight w:val="212"/>
        </w:trPr>
        <w:tc>
          <w:tcPr>
            <w:tcW w:w="4540" w:type="dxa"/>
            <w:vAlign w:val="bottom"/>
            <w:gridSpan w:val="3"/>
          </w:tcPr>
          <w:p>
            <w:pPr>
              <w:jc w:val="center"/>
              <w:ind w:left="934"/>
              <w:spacing w:after="0"/>
              <w:rPr>
                <w:sz w:val="20"/>
                <w:szCs w:val="20"/>
                <w:color w:val="auto"/>
              </w:rPr>
            </w:pPr>
            <w:r>
              <w:rPr>
                <w:rFonts w:ascii="Arial" w:cs="Arial" w:eastAsia="Arial" w:hAnsi="Arial"/>
                <w:sz w:val="18"/>
                <w:szCs w:val="18"/>
                <w:b w:val="1"/>
                <w:bCs w:val="1"/>
                <w:color w:val="auto"/>
                <w:w w:val="90"/>
              </w:rPr>
              <w:t>Cayman Islands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2159"/>
              <w:spacing w:after="0"/>
              <w:rPr>
                <w:sz w:val="20"/>
                <w:szCs w:val="20"/>
                <w:color w:val="auto"/>
              </w:rPr>
            </w:pPr>
            <w:r>
              <w:rPr>
                <w:rFonts w:ascii="Arial" w:cs="Arial" w:eastAsia="Arial" w:hAnsi="Arial"/>
                <w:sz w:val="18"/>
                <w:szCs w:val="18"/>
                <w:b w:val="1"/>
                <w:bCs w:val="1"/>
                <w:color w:val="auto"/>
              </w:rPr>
              <w:t>98-1550750</w:t>
            </w:r>
          </w:p>
        </w:tc>
        <w:tc>
          <w:tcPr>
            <w:tcW w:w="0" w:type="dxa"/>
            <w:vAlign w:val="bottom"/>
          </w:tcPr>
          <w:p>
            <w:pPr>
              <w:spacing w:after="0"/>
              <w:rPr>
                <w:sz w:val="1"/>
                <w:szCs w:val="1"/>
                <w:color w:val="auto"/>
              </w:rPr>
            </w:pPr>
          </w:p>
        </w:tc>
      </w:tr>
      <w:tr>
        <w:trPr>
          <w:trHeight w:val="148"/>
        </w:trPr>
        <w:tc>
          <w:tcPr>
            <w:tcW w:w="4540" w:type="dxa"/>
            <w:vAlign w:val="bottom"/>
            <w:gridSpan w:val="3"/>
          </w:tcPr>
          <w:p>
            <w:pPr>
              <w:jc w:val="center"/>
              <w:ind w:left="934"/>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jc w:val="center"/>
              <w:ind w:right="1739"/>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540" w:type="dxa"/>
            <w:vAlign w:val="bottom"/>
            <w:gridSpan w:val="3"/>
          </w:tcPr>
          <w:p>
            <w:pPr>
              <w:jc w:val="center"/>
              <w:ind w:left="934"/>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39"/>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412"/>
        </w:trPr>
        <w:tc>
          <w:tcPr>
            <w:tcW w:w="4540" w:type="dxa"/>
            <w:vAlign w:val="bottom"/>
            <w:gridSpan w:val="3"/>
          </w:tcPr>
          <w:p>
            <w:pPr>
              <w:jc w:val="center"/>
              <w:ind w:left="934"/>
              <w:spacing w:after="0"/>
              <w:rPr>
                <w:sz w:val="20"/>
                <w:szCs w:val="20"/>
                <w:color w:val="auto"/>
              </w:rPr>
            </w:pPr>
            <w:r>
              <w:rPr>
                <w:rFonts w:ascii="Arial" w:cs="Arial" w:eastAsia="Arial" w:hAnsi="Arial"/>
                <w:sz w:val="18"/>
                <w:szCs w:val="18"/>
                <w:b w:val="1"/>
                <w:bCs w:val="1"/>
                <w:color w:val="auto"/>
                <w:w w:val="94"/>
              </w:rPr>
              <w:t>Victory Park Capital Advisors, LLC</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jc w:val="center"/>
              <w:ind w:left="914"/>
              <w:spacing w:after="0"/>
              <w:rPr>
                <w:sz w:val="20"/>
                <w:szCs w:val="20"/>
                <w:color w:val="auto"/>
              </w:rPr>
            </w:pPr>
            <w:r>
              <w:rPr>
                <w:rFonts w:ascii="Arial" w:cs="Arial" w:eastAsia="Arial" w:hAnsi="Arial"/>
                <w:sz w:val="18"/>
                <w:szCs w:val="18"/>
                <w:b w:val="1"/>
                <w:bCs w:val="1"/>
                <w:color w:val="auto"/>
                <w:w w:val="90"/>
              </w:rPr>
              <w:t>150 North Riverside Plaza, Suite 5200</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540" w:type="dxa"/>
            <w:vAlign w:val="bottom"/>
            <w:gridSpan w:val="3"/>
          </w:tcPr>
          <w:p>
            <w:pPr>
              <w:jc w:val="center"/>
              <w:ind w:left="934"/>
              <w:spacing w:after="0"/>
              <w:rPr>
                <w:sz w:val="20"/>
                <w:szCs w:val="20"/>
                <w:color w:val="auto"/>
              </w:rPr>
            </w:pPr>
            <w:r>
              <w:rPr>
                <w:rFonts w:ascii="Arial" w:cs="Arial" w:eastAsia="Arial" w:hAnsi="Arial"/>
                <w:sz w:val="18"/>
                <w:szCs w:val="18"/>
                <w:b w:val="1"/>
                <w:bCs w:val="1"/>
                <w:color w:val="auto"/>
                <w:w w:val="94"/>
              </w:rPr>
              <w:t>Chicago, IL</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40" w:type="dxa"/>
            <w:vAlign w:val="bottom"/>
          </w:tcPr>
          <w:p>
            <w:pPr>
              <w:jc w:val="right"/>
              <w:ind w:right="2379"/>
              <w:spacing w:after="0"/>
              <w:rPr>
                <w:sz w:val="20"/>
                <w:szCs w:val="20"/>
                <w:color w:val="auto"/>
              </w:rPr>
            </w:pPr>
            <w:r>
              <w:rPr>
                <w:rFonts w:ascii="Arial" w:cs="Arial" w:eastAsia="Arial" w:hAnsi="Arial"/>
                <w:sz w:val="18"/>
                <w:szCs w:val="18"/>
                <w:b w:val="1"/>
                <w:bCs w:val="1"/>
                <w:color w:val="auto"/>
              </w:rPr>
              <w:t>60606</w:t>
            </w:r>
          </w:p>
        </w:tc>
        <w:tc>
          <w:tcPr>
            <w:tcW w:w="0" w:type="dxa"/>
            <w:vAlign w:val="bottom"/>
          </w:tcPr>
          <w:p>
            <w:pPr>
              <w:spacing w:after="0"/>
              <w:rPr>
                <w:sz w:val="1"/>
                <w:szCs w:val="1"/>
                <w:color w:val="auto"/>
              </w:rPr>
            </w:pPr>
          </w:p>
        </w:tc>
      </w:tr>
      <w:tr>
        <w:trPr>
          <w:trHeight w:val="186"/>
        </w:trPr>
        <w:tc>
          <w:tcPr>
            <w:tcW w:w="4540" w:type="dxa"/>
            <w:vAlign w:val="bottom"/>
            <w:gridSpan w:val="3"/>
          </w:tcPr>
          <w:p>
            <w:pPr>
              <w:jc w:val="center"/>
              <w:ind w:left="914"/>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739"/>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394"/>
        </w:trPr>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40" w:type="dxa"/>
            <w:vAlign w:val="bottom"/>
          </w:tcPr>
          <w:p>
            <w:pPr>
              <w:jc w:val="right"/>
              <w:ind w:right="1156"/>
              <w:spacing w:after="0"/>
              <w:rPr>
                <w:sz w:val="20"/>
                <w:szCs w:val="20"/>
                <w:color w:val="auto"/>
              </w:rPr>
            </w:pPr>
            <w:r>
              <w:rPr>
                <w:rFonts w:ascii="Arial" w:cs="Arial" w:eastAsia="Arial" w:hAnsi="Arial"/>
                <w:sz w:val="18"/>
                <w:szCs w:val="18"/>
                <w:b w:val="1"/>
                <w:bCs w:val="1"/>
                <w:color w:val="auto"/>
              </w:rPr>
              <w:t>+1-312-701-1777</w:t>
            </w: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1"/>
              </w:rPr>
              <w:t>(Issuer’s telephone number, including area code)</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4540" w:type="dxa"/>
            <w:vAlign w:val="bottom"/>
            <w:gridSpan w:val="3"/>
          </w:tcPr>
          <w:p>
            <w:pPr>
              <w:spacing w:after="0"/>
              <w:rPr>
                <w:sz w:val="20"/>
                <w:szCs w:val="20"/>
                <w:color w:val="auto"/>
              </w:rPr>
            </w:pPr>
            <w:r>
              <w:rPr>
                <w:rFonts w:ascii="Arial" w:cs="Arial" w:eastAsia="Arial" w:hAnsi="Arial"/>
                <w:sz w:val="18"/>
                <w:szCs w:val="18"/>
                <w:color w:val="auto"/>
                <w:w w:val="98"/>
              </w:rPr>
              <w:t>Securities registered pursuant to Section 12(b) of the Act:</w:t>
            </w:r>
          </w:p>
        </w:tc>
        <w:tc>
          <w:tcPr>
            <w:tcW w:w="2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540" w:type="dxa"/>
            <w:vAlign w:val="bottom"/>
            <w:gridSpan w:val="3"/>
            <w:vMerge w:val="restart"/>
          </w:tcPr>
          <w:p>
            <w:pPr>
              <w:jc w:val="center"/>
              <w:ind w:right="748"/>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4540" w:type="dxa"/>
            <w:vAlign w:val="bottom"/>
            <w:gridSpan w:val="3"/>
            <w:vMerge w:val="continue"/>
          </w:tcPr>
          <w:p>
            <w:pPr>
              <w:spacing w:after="0"/>
              <w:rPr>
                <w:sz w:val="16"/>
                <w:szCs w:val="16"/>
                <w:color w:val="auto"/>
              </w:rPr>
            </w:pPr>
          </w:p>
        </w:tc>
        <w:tc>
          <w:tcPr>
            <w:tcW w:w="294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Units, each consisting of one Class A ordinary</w:t>
            </w:r>
          </w:p>
        </w:tc>
        <w:tc>
          <w:tcPr>
            <w:tcW w:w="12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840" w:type="dxa"/>
            <w:vAlign w:val="bottom"/>
            <w:tcBorders>
              <w:top w:val="single" w:sz="8" w:color="auto"/>
            </w:tcBorders>
          </w:tcPr>
          <w:p>
            <w:pPr>
              <w:jc w:val="center"/>
              <w:ind w:right="596"/>
              <w:spacing w:after="0" w:line="191" w:lineRule="exact"/>
              <w:rPr>
                <w:sz w:val="20"/>
                <w:szCs w:val="20"/>
                <w:color w:val="auto"/>
              </w:rPr>
            </w:pPr>
            <w:r>
              <w:rPr>
                <w:rFonts w:ascii="Arial" w:cs="Arial" w:eastAsia="Arial" w:hAnsi="Arial"/>
                <w:sz w:val="18"/>
                <w:szCs w:val="18"/>
                <w:b w:val="1"/>
                <w:bCs w:val="1"/>
                <w:color w:val="auto"/>
              </w:rPr>
              <w:t>VIHAU</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4540" w:type="dxa"/>
            <w:vAlign w:val="bottom"/>
            <w:gridSpan w:val="3"/>
          </w:tcPr>
          <w:p>
            <w:pPr>
              <w:jc w:val="center"/>
              <w:ind w:right="728"/>
              <w:spacing w:after="0"/>
              <w:rPr>
                <w:sz w:val="20"/>
                <w:szCs w:val="20"/>
                <w:color w:val="auto"/>
              </w:rPr>
            </w:pPr>
            <w:r>
              <w:rPr>
                <w:rFonts w:ascii="Arial" w:cs="Arial" w:eastAsia="Arial" w:hAnsi="Arial"/>
                <w:sz w:val="18"/>
                <w:szCs w:val="18"/>
                <w:b w:val="1"/>
                <w:bCs w:val="1"/>
                <w:color w:val="auto"/>
                <w:w w:val="89"/>
              </w:rPr>
              <w:t>share, $0.0001 par value, and one-half of one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jc w:val="center"/>
              <w:ind w:right="748"/>
              <w:spacing w:after="0"/>
              <w:rPr>
                <w:sz w:val="20"/>
                <w:szCs w:val="20"/>
                <w:color w:val="auto"/>
              </w:rPr>
            </w:pPr>
            <w:r>
              <w:rPr>
                <w:rFonts w:ascii="Arial" w:cs="Arial" w:eastAsia="Arial" w:hAnsi="Arial"/>
                <w:sz w:val="18"/>
                <w:szCs w:val="18"/>
                <w:b w:val="1"/>
                <w:bCs w:val="1"/>
                <w:color w:val="auto"/>
                <w:w w:val="91"/>
              </w:rPr>
              <w:t>redeemable warrant</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jc w:val="center"/>
              <w:ind w:right="728"/>
              <w:spacing w:after="0"/>
              <w:rPr>
                <w:sz w:val="20"/>
                <w:szCs w:val="20"/>
                <w:color w:val="auto"/>
              </w:rPr>
            </w:pPr>
            <w:r>
              <w:rPr>
                <w:rFonts w:ascii="Arial" w:cs="Arial" w:eastAsia="Arial" w:hAnsi="Arial"/>
                <w:sz w:val="18"/>
                <w:szCs w:val="18"/>
                <w:b w:val="1"/>
                <w:bCs w:val="1"/>
                <w:color w:val="auto"/>
                <w:w w:val="89"/>
              </w:rPr>
              <w:t>Class A ordinary shares, par value $0.0001 par</w:t>
            </w:r>
          </w:p>
        </w:tc>
        <w:tc>
          <w:tcPr>
            <w:tcW w:w="294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rPr>
              <w:t>VIH</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4540" w:type="dxa"/>
            <w:vAlign w:val="bottom"/>
            <w:gridSpan w:val="3"/>
          </w:tcPr>
          <w:p>
            <w:pPr>
              <w:jc w:val="center"/>
              <w:ind w:right="728"/>
              <w:spacing w:after="0"/>
              <w:rPr>
                <w:sz w:val="20"/>
                <w:szCs w:val="20"/>
                <w:color w:val="auto"/>
              </w:rPr>
            </w:pPr>
            <w:r>
              <w:rPr>
                <w:rFonts w:ascii="Arial" w:cs="Arial" w:eastAsia="Arial" w:hAnsi="Arial"/>
                <w:sz w:val="18"/>
                <w:szCs w:val="18"/>
                <w:b w:val="1"/>
                <w:bCs w:val="1"/>
                <w:color w:val="auto"/>
                <w:w w:val="91"/>
              </w:rPr>
              <w:t>value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3"/>
          </w:tcPr>
          <w:p>
            <w:pPr>
              <w:jc w:val="center"/>
              <w:ind w:right="728"/>
              <w:spacing w:after="0"/>
              <w:rPr>
                <w:sz w:val="20"/>
                <w:szCs w:val="20"/>
                <w:color w:val="auto"/>
              </w:rPr>
            </w:pPr>
            <w:r>
              <w:rPr>
                <w:rFonts w:ascii="Arial" w:cs="Arial" w:eastAsia="Arial" w:hAnsi="Arial"/>
                <w:sz w:val="18"/>
                <w:szCs w:val="18"/>
                <w:b w:val="1"/>
                <w:bCs w:val="1"/>
                <w:color w:val="auto"/>
                <w:w w:val="90"/>
              </w:rPr>
              <w:t>Redeemable warrants, each warrant exercisable</w:t>
            </w:r>
          </w:p>
        </w:tc>
        <w:tc>
          <w:tcPr>
            <w:tcW w:w="2940" w:type="dxa"/>
            <w:vAlign w:val="bottom"/>
            <w:gridSpan w:val="2"/>
          </w:tcPr>
          <w:p>
            <w:pPr>
              <w:jc w:val="center"/>
              <w:ind w:right="780"/>
              <w:spacing w:after="0"/>
              <w:rPr>
                <w:sz w:val="20"/>
                <w:szCs w:val="20"/>
                <w:color w:val="auto"/>
              </w:rPr>
            </w:pPr>
            <w:r>
              <w:rPr>
                <w:rFonts w:ascii="Arial" w:cs="Arial" w:eastAsia="Arial" w:hAnsi="Arial"/>
                <w:sz w:val="18"/>
                <w:szCs w:val="18"/>
                <w:b w:val="1"/>
                <w:bCs w:val="1"/>
                <w:color w:val="auto"/>
              </w:rPr>
              <w:t>VIHAW</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16"/>
        </w:trPr>
        <w:tc>
          <w:tcPr>
            <w:tcW w:w="4540" w:type="dxa"/>
            <w:vAlign w:val="bottom"/>
            <w:gridSpan w:val="3"/>
          </w:tcPr>
          <w:p>
            <w:pPr>
              <w:jc w:val="center"/>
              <w:ind w:right="728"/>
              <w:spacing w:after="0"/>
              <w:rPr>
                <w:sz w:val="20"/>
                <w:szCs w:val="20"/>
                <w:color w:val="auto"/>
              </w:rPr>
            </w:pPr>
            <w:r>
              <w:rPr>
                <w:rFonts w:ascii="Arial" w:cs="Arial" w:eastAsia="Arial" w:hAnsi="Arial"/>
                <w:sz w:val="18"/>
                <w:szCs w:val="18"/>
                <w:b w:val="1"/>
                <w:bCs w:val="1"/>
                <w:color w:val="auto"/>
                <w:w w:val="89"/>
              </w:rPr>
              <w:t>for one Class A ordinary share, each at an</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40" w:type="dxa"/>
            <w:vAlign w:val="bottom"/>
            <w:gridSpan w:val="3"/>
          </w:tcPr>
          <w:p>
            <w:pPr>
              <w:jc w:val="center"/>
              <w:ind w:right="728"/>
              <w:spacing w:after="0"/>
              <w:rPr>
                <w:sz w:val="20"/>
                <w:szCs w:val="20"/>
                <w:color w:val="auto"/>
              </w:rPr>
            </w:pPr>
            <w:r>
              <w:rPr>
                <w:rFonts w:ascii="Arial" w:cs="Arial" w:eastAsia="Arial" w:hAnsi="Arial"/>
                <w:sz w:val="18"/>
                <w:szCs w:val="18"/>
                <w:b w:val="1"/>
                <w:bCs w:val="1"/>
                <w:color w:val="auto"/>
                <w:w w:val="88"/>
              </w:rPr>
              <w:t>exercise price of $11.50 per share</w:t>
            </w:r>
          </w:p>
        </w:tc>
        <w:tc>
          <w:tcPr>
            <w:tcW w:w="2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ind w:left="120"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120" w:right="1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72" w:orient="portrait"/>
          <w:cols w:equalWidth="0" w:num="1">
            <w:col w:w="11140"/>
          </w:cols>
          <w:pgMar w:left="320" w:top="230" w:right="439" w:bottom="0" w:gutter="0" w:footer="0" w:header="0"/>
        </w:sectPr>
      </w:pPr>
    </w:p>
    <w:p>
      <w:pPr>
        <w:spacing w:after="0" w:line="211" w:lineRule="exact"/>
        <w:rPr>
          <w:sz w:val="24"/>
          <w:szCs w:val="24"/>
          <w:color w:val="auto"/>
        </w:rPr>
      </w:pPr>
    </w:p>
    <w:p>
      <w:pPr>
        <w:ind w:left="1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72" w:orient="portrait"/>
          <w:cols w:equalWidth="0" w:num="4">
            <w:col w:w="1740" w:space="380"/>
            <w:col w:w="5760" w:space="720"/>
            <w:col w:w="1600" w:space="720"/>
            <w:col w:w="220"/>
          </w:cols>
          <w:pgMar w:left="320" w:top="230" w:right="439" w:bottom="0" w:gutter="0" w:footer="0" w:header="0"/>
          <w:type w:val="continuous"/>
        </w:sectPr>
      </w:pPr>
    </w:p>
    <w:p>
      <w:pPr>
        <w:spacing w:after="0" w:line="33" w:lineRule="exact"/>
        <w:rPr>
          <w:sz w:val="24"/>
          <w:szCs w:val="24"/>
          <w:color w:val="auto"/>
        </w:rPr>
      </w:pPr>
    </w:p>
    <w:p>
      <w:pPr>
        <w:ind w:left="1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72" w:orient="portrait"/>
          <w:cols w:equalWidth="0" w:num="4">
            <w:col w:w="1640" w:space="480"/>
            <w:col w:w="5760" w:space="720"/>
            <w:col w:w="1980" w:space="340"/>
            <w:col w:w="220"/>
          </w:cols>
          <w:pgMar w:left="320" w:top="230" w:right="439" w:bottom="0" w:gutter="0" w:footer="0" w:header="0"/>
          <w:type w:val="continuous"/>
        </w:sectPr>
      </w:pPr>
    </w:p>
    <w:bookmarkStart w:id="1" w:name="page2"/>
    <w:bookmarkEnd w:id="1"/>
    <w:p>
      <w:pPr>
        <w:ind w:left="8480"/>
        <w:spacing w:after="0" w:line="207" w:lineRule="exact"/>
        <w:tabs>
          <w:tab w:leader="none" w:pos="10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0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May 21, 2021, there were 20,737,202 Class A ordinary shares, $0.0001 par value and 5,184,300 Class B ordinary shares, $0.0001 par value,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201"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QUARTERLY REPORT ON FORM 10-Q FOR THE QUARTER ENDED MARCH 31, 2021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6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1 – FINANCIAL INFORMATION</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2"/>
        </w:trPr>
        <w:tc>
          <w:tcPr>
            <w:tcW w:w="10660" w:type="dxa"/>
            <w:vAlign w:val="bottom"/>
            <w:gridSpan w:val="19"/>
            <w:vMerge w:val="continue"/>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60" w:type="dxa"/>
            <w:vAlign w:val="bottom"/>
            <w:gridSpan w:val="19"/>
          </w:tcPr>
          <w:p>
            <w:pPr>
              <w:spacing w:after="0"/>
              <w:rPr>
                <w:sz w:val="20"/>
                <w:szCs w:val="20"/>
                <w:color w:val="auto"/>
              </w:rPr>
            </w:pPr>
            <w:r>
              <w:rPr>
                <w:rFonts w:ascii="Arial" w:cs="Arial" w:eastAsia="Arial" w:hAnsi="Arial"/>
                <w:sz w:val="18"/>
                <w:szCs w:val="18"/>
                <w:color w:val="auto"/>
              </w:rPr>
              <w:t>Item 1. Financial Statements</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7200" w:type="dxa"/>
            <w:vAlign w:val="bottom"/>
            <w:tcBorders>
              <w:bottom w:val="single" w:sz="8" w:color="0000EE"/>
            </w:tcBorders>
            <w:gridSpan w:val="14"/>
          </w:tcPr>
          <w:p>
            <w:pPr>
              <w:spacing w:after="0" w:line="190"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Balance Sheets as of March 31, 2021 (unaudited) and December 31, 2020</w:t>
              </w:r>
            </w:hyperlink>
          </w:p>
        </w:tc>
        <w:tc>
          <w:tcPr>
            <w:tcW w:w="3100" w:type="dxa"/>
            <w:vAlign w:val="bottom"/>
            <w:gridSpan w:val="4"/>
          </w:tcPr>
          <w:p>
            <w:pPr>
              <w:spacing w:after="0"/>
              <w:rPr>
                <w:sz w:val="16"/>
                <w:szCs w:val="16"/>
                <w:color w:val="auto"/>
              </w:rPr>
            </w:pPr>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6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 Condensed Consolidated Statement of Operations for the Three Months Ended March 31, 2021</w:t>
              </w:r>
            </w:hyperlink>
          </w:p>
        </w:tc>
        <w:tc>
          <w:tcPr>
            <w:tcW w:w="264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924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Condensed Consolidated Statement of Changes in Shareholders’ Equity for the Three Months Ended March 31, 2021</w:t>
              </w:r>
            </w:hyperlink>
          </w:p>
        </w:tc>
        <w:tc>
          <w:tcPr>
            <w:tcW w:w="106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18"/>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Unaudited Condensed Consolidated Statement of Cash Flows for the Three Months Ended March 31, 2021</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7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26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38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6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21">
              <w:r>
                <w:rPr>
                  <w:rFonts w:ascii="Arial" w:cs="Arial" w:eastAsia="Arial" w:hAnsi="Arial"/>
                  <w:sz w:val="18"/>
                  <w:szCs w:val="18"/>
                  <w:color w:val="0000EE"/>
                  <w:w w:val="91"/>
                </w:rPr>
                <w:t>Item 2. Management’s Discussion and Analysis of Financial Condition and Results of Operations</w:t>
              </w:r>
            </w:hyperlink>
          </w:p>
        </w:tc>
        <w:tc>
          <w:tcPr>
            <w:tcW w:w="360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Item 3. Quantitative and Qualitative Disclosures about Market Risk</w:t>
              </w:r>
            </w:hyperlink>
          </w:p>
        </w:tc>
        <w:tc>
          <w:tcPr>
            <w:tcW w:w="5800" w:type="dxa"/>
            <w:vAlign w:val="bottom"/>
            <w:gridSpan w:val="7"/>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10660" w:type="dxa"/>
            <w:vAlign w:val="bottom"/>
            <w:gridSpan w:val="1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Item 4. Control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PART II – OTHER INFORMATION</w:t>
              </w:r>
            </w:hyperlink>
          </w:p>
        </w:tc>
        <w:tc>
          <w:tcPr>
            <w:tcW w:w="7800" w:type="dxa"/>
            <w:vAlign w:val="bottom"/>
            <w:gridSpan w:val="10"/>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0660" w:type="dxa"/>
            <w:vAlign w:val="bottom"/>
            <w:gridSpan w:val="1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 Legal Proceedings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Item 1A. Risk Factors</w:t>
              </w:r>
            </w:hyperlink>
          </w:p>
        </w:tc>
        <w:tc>
          <w:tcPr>
            <w:tcW w:w="8780" w:type="dxa"/>
            <w:vAlign w:val="bottom"/>
            <w:gridSpan w:val="1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76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Item 2. Unregistered Sales of Equity Securities and Use of Proceeds</w:t>
              </w:r>
            </w:hyperlink>
          </w:p>
        </w:tc>
        <w:tc>
          <w:tcPr>
            <w:tcW w:w="5760" w:type="dxa"/>
            <w:vAlign w:val="bottom"/>
            <w:gridSpan w:val="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3. Defaults Upon Senior Securities</w:t>
              </w:r>
            </w:hyperlink>
          </w:p>
        </w:tc>
        <w:tc>
          <w:tcPr>
            <w:tcW w:w="7780" w:type="dxa"/>
            <w:vAlign w:val="bottom"/>
            <w:gridSpan w:val="9"/>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232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Item 4. Mine Safety Disclosures</w:t>
              </w:r>
            </w:hyperlink>
          </w:p>
        </w:tc>
        <w:tc>
          <w:tcPr>
            <w:tcW w:w="8340" w:type="dxa"/>
            <w:vAlign w:val="bottom"/>
            <w:gridSpan w:val="11"/>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0660" w:type="dxa"/>
            <w:vAlign w:val="bottom"/>
            <w:gridSpan w:val="19"/>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5. Other Information</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Item 6. Exhibits</w:t>
              </w:r>
            </w:hyperlink>
          </w:p>
        </w:tc>
        <w:tc>
          <w:tcPr>
            <w:tcW w:w="700" w:type="dxa"/>
            <w:vAlign w:val="bottom"/>
            <w:tcBorders>
              <w:top w:val="single" w:sz="8" w:color="0000EE"/>
            </w:tcBorders>
            <w:gridSpan w:val="2"/>
          </w:tcPr>
          <w:p>
            <w:pPr>
              <w:spacing w:after="0"/>
              <w:rPr>
                <w:sz w:val="17"/>
                <w:szCs w:val="17"/>
                <w:color w:val="auto"/>
              </w:rPr>
            </w:pPr>
          </w:p>
        </w:tc>
        <w:tc>
          <w:tcPr>
            <w:tcW w:w="880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6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6"/>
              </w:rPr>
            </w:pPr>
            <w:hyperlink w:anchor="page29">
              <w:r>
                <w:rPr>
                  <w:rFonts w:ascii="Arial" w:cs="Arial" w:eastAsia="Arial" w:hAnsi="Arial"/>
                  <w:sz w:val="18"/>
                  <w:szCs w:val="18"/>
                  <w:b w:val="1"/>
                  <w:bCs w:val="1"/>
                  <w:color w:val="0000EE"/>
                  <w:w w:val="96"/>
                </w:rPr>
                <w:t>SIGNATURES</w:t>
              </w:r>
            </w:hyperlink>
          </w:p>
        </w:tc>
        <w:tc>
          <w:tcPr>
            <w:tcW w:w="9500" w:type="dxa"/>
            <w:vAlign w:val="bottom"/>
            <w:gridSpan w:val="16"/>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85"/>
        </w:trPr>
        <w:tc>
          <w:tcPr>
            <w:tcW w:w="7060" w:type="dxa"/>
            <w:vAlign w:val="bottom"/>
            <w:gridSpan w:val="14"/>
          </w:tcPr>
          <w:p>
            <w:pPr>
              <w:ind w:left="546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(As Restated)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(Audited)</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1,001,772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1,177,678</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239,773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234,959</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1,241,545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1,412,637</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207,385,917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207,376,213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208,627,462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208,788,850</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3,113,505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893,415</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offering costs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3,113,505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895,645</w:t>
            </w:r>
          </w:p>
        </w:tc>
        <w:tc>
          <w:tcPr>
            <w:tcW w:w="0" w:type="dxa"/>
            <w:vAlign w:val="bottom"/>
          </w:tcPr>
          <w:p>
            <w:pPr>
              <w:spacing w:after="0"/>
              <w:rPr>
                <w:sz w:val="1"/>
                <w:szCs w:val="1"/>
                <w:color w:val="auto"/>
              </w:rPr>
            </w:pPr>
          </w:p>
        </w:tc>
      </w:tr>
      <w:tr>
        <w:trPr>
          <w:trHeight w:val="324"/>
        </w:trPr>
        <w:tc>
          <w:tcPr>
            <w:tcW w:w="8680" w:type="dxa"/>
            <w:vAlign w:val="bottom"/>
          </w:tcPr>
          <w:p>
            <w:pPr>
              <w:spacing w:after="0"/>
              <w:rPr>
                <w:sz w:val="20"/>
                <w:szCs w:val="20"/>
                <w:color w:val="auto"/>
              </w:rPr>
            </w:pPr>
            <w:r>
              <w:rPr>
                <w:rFonts w:ascii="Arial" w:cs="Arial" w:eastAsia="Arial" w:hAnsi="Arial"/>
                <w:sz w:val="18"/>
                <w:szCs w:val="18"/>
                <w:color w:val="auto"/>
              </w:rPr>
              <w:t>Warrant liabilities</w:t>
            </w:r>
          </w:p>
        </w:tc>
        <w:tc>
          <w:tcPr>
            <w:tcW w:w="100" w:type="dxa"/>
            <w:vAlign w:val="bottom"/>
          </w:tcPr>
          <w:p>
            <w:pPr>
              <w:spacing w:after="0"/>
              <w:rPr>
                <w:sz w:val="24"/>
                <w:szCs w:val="2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w w:val="97"/>
              </w:rPr>
              <w:t>53,805,433</w:t>
            </w:r>
          </w:p>
        </w:tc>
        <w:tc>
          <w:tcPr>
            <w:tcW w:w="10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22,513,065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7,258,021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7,258,021</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64,176,959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30,666,731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680" w:type="dxa"/>
            <w:vAlign w:val="bottom"/>
          </w:tcPr>
          <w:p>
            <w:pPr>
              <w:spacing w:after="0"/>
              <w:rPr>
                <w:sz w:val="20"/>
                <w:szCs w:val="20"/>
                <w:color w:val="auto"/>
              </w:rPr>
            </w:pPr>
            <w:r>
              <w:rPr>
                <w:rFonts w:ascii="Arial" w:cs="Arial" w:eastAsia="Arial" w:hAnsi="Arial"/>
                <w:sz w:val="18"/>
                <w:szCs w:val="18"/>
                <w:color w:val="auto"/>
                <w:w w:val="92"/>
              </w:rPr>
              <w:t>Class A ordinary shares subject to possible redemption, 13,945,050 and 17,312,211 shares at $10.00 per share as of</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March 31, 2021 and December 31, 2020, respectively</w:t>
            </w: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139,450,500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173,122,110</w:t>
            </w:r>
          </w:p>
        </w:tc>
        <w:tc>
          <w:tcPr>
            <w:tcW w:w="0" w:type="dxa"/>
            <w:vAlign w:val="bottom"/>
          </w:tcPr>
          <w:p>
            <w:pPr>
              <w:spacing w:after="0"/>
              <w:rPr>
                <w:sz w:val="1"/>
                <w:szCs w:val="1"/>
                <w:color w:val="auto"/>
              </w:rPr>
            </w:pPr>
          </w:p>
        </w:tc>
      </w:tr>
      <w:tr>
        <w:trPr>
          <w:trHeight w:val="108"/>
        </w:trPr>
        <w:tc>
          <w:tcPr>
            <w:tcW w:w="8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Preference shares, $0.0001 par value; 1,000,000 shares authorized; no shares issued and outstanding</w:t>
            </w:r>
          </w:p>
        </w:tc>
        <w:tc>
          <w:tcPr>
            <w:tcW w:w="10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Class A ordinary shares, $0.0001 par value; 200,000,000 shares authorized; 6,792,152 and 3,424,991 shares issued and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outstanding (excluding 13,945,050 and 17,312,211 shares subject to possible redemption) at March 31, 2021 and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December 31, 2020, respectively</w:t>
            </w:r>
          </w:p>
        </w:tc>
        <w:tc>
          <w:tcPr>
            <w:tcW w:w="10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0"/>
              </w:rPr>
              <w:t>Class B ordinary shares, $0.0001 par value; 20,000,000 shares authorized; 5,184,300 and 5,184,300 shares issued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outstanding at March 31, 2021 and December 31, 2020</w:t>
            </w:r>
          </w:p>
        </w:tc>
        <w:tc>
          <w:tcPr>
            <w:tcW w:w="100" w:type="dxa"/>
            <w:vAlign w:val="bottom"/>
          </w:tcPr>
          <w:p>
            <w:pPr>
              <w:spacing w:after="0"/>
              <w:rPr>
                <w:sz w:val="20"/>
                <w:szCs w:val="20"/>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7"/>
              </w:rPr>
              <w:t>43,531,612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9,860,338</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(38,532,806)</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(4,861,190)</w:t>
            </w:r>
          </w:p>
        </w:tc>
        <w:tc>
          <w:tcPr>
            <w:tcW w:w="0" w:type="dxa"/>
            <w:vAlign w:val="bottom"/>
          </w:tcPr>
          <w:p>
            <w:pPr>
              <w:spacing w:after="0"/>
              <w:rPr>
                <w:sz w:val="1"/>
                <w:szCs w:val="1"/>
                <w:color w:val="auto"/>
              </w:rPr>
            </w:pPr>
          </w:p>
        </w:tc>
      </w:tr>
      <w:tr>
        <w:trPr>
          <w:trHeight w:val="27"/>
        </w:trPr>
        <w:tc>
          <w:tcPr>
            <w:tcW w:w="8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5,000,009</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208,627,462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208,788,850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320" w:top="459"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100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700" w:type="dxa"/>
            <w:vAlign w:val="bottom"/>
          </w:tcPr>
          <w:p>
            <w:pPr>
              <w:jc w:val="center"/>
              <w:ind w:right="70"/>
              <w:spacing w:after="0"/>
              <w:rPr>
                <w:sz w:val="20"/>
                <w:szCs w:val="20"/>
                <w:color w:val="auto"/>
              </w:rPr>
            </w:pPr>
            <w:r>
              <w:rPr>
                <w:rFonts w:ascii="Arial" w:cs="Arial" w:eastAsia="Arial" w:hAnsi="Arial"/>
                <w:sz w:val="18"/>
                <w:szCs w:val="18"/>
                <w:b w:val="1"/>
                <w:bCs w:val="1"/>
                <w:color w:val="auto"/>
              </w:rPr>
              <w:t>VPC IMPACT ACQUISITION HOLDINGS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7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CONDENSED CONSOLIDATED STATEMENT OF OPERATIONS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7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FOR THE THREE MONTHS ENDED MARCH 31, 2021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7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and operational costs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2,393,428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40" w:type="dxa"/>
            <w:vAlign w:val="bottom"/>
            <w:gridSpan w:val="2"/>
          </w:tcPr>
          <w:p>
            <w:pPr>
              <w:ind w:left="360"/>
              <w:spacing w:after="0"/>
              <w:rPr>
                <w:sz w:val="20"/>
                <w:szCs w:val="20"/>
                <w:color w:val="auto"/>
              </w:rPr>
            </w:pPr>
            <w:r>
              <w:rPr>
                <w:rFonts w:ascii="Arial" w:cs="Arial" w:eastAsia="Arial" w:hAnsi="Arial"/>
                <w:sz w:val="18"/>
                <w:szCs w:val="18"/>
                <w:b w:val="1"/>
                <w:bCs w:val="1"/>
                <w:color w:val="auto"/>
              </w:rPr>
              <w:t>Loss from operations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(2,393,428)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tcPr>
          <w:p>
            <w:pPr>
              <w:ind w:left="36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4,476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tcPr>
          <w:p>
            <w:pPr>
              <w:ind w:left="360"/>
              <w:spacing w:after="0"/>
              <w:rPr>
                <w:sz w:val="20"/>
                <w:szCs w:val="20"/>
                <w:color w:val="auto"/>
              </w:rPr>
            </w:pPr>
            <w:r>
              <w:rPr>
                <w:rFonts w:ascii="Arial" w:cs="Arial" w:eastAsia="Arial" w:hAnsi="Arial"/>
                <w:sz w:val="18"/>
                <w:szCs w:val="18"/>
                <w:color w:val="auto"/>
              </w:rPr>
              <w:t>Change in fair value of warrant liabilities</w:t>
            </w: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w w:val="90"/>
              </w:rPr>
              <w:t>(31,292,368)</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expense, net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(31,278,188)</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40" w:type="dxa"/>
            <w:vAlign w:val="bottom"/>
            <w:gridSpan w:val="2"/>
          </w:tcPr>
          <w:p>
            <w:pPr>
              <w:ind w:left="360"/>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(33,671,616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A redeemable ordinary shares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20,737,202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income per share, Class 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shares outstanding of Class B non-redeemable ordinary shares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5,184,300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net loss per share, Class B</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40" w:type="dxa"/>
            <w:vAlign w:val="bottom"/>
            <w:gridSpan w:val="2"/>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40"/>
          </w:cols>
          <w:pgMar w:left="320" w:top="446"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 OF CHANGES IN SHAREHOLDERS’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3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7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5"/>
              </w:rPr>
              <w:t>Class A Ordinary</w:t>
            </w:r>
          </w:p>
        </w:tc>
        <w:tc>
          <w:tcPr>
            <w:tcW w:w="16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Class B Ordinary</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Additional</w:t>
            </w:r>
          </w:p>
        </w:tc>
        <w:tc>
          <w:tcPr>
            <w:tcW w:w="1280" w:type="dxa"/>
            <w:vAlign w:val="bottom"/>
            <w:gridSpan w:val="3"/>
            <w:vMerge w:val="restart"/>
          </w:tcPr>
          <w:p>
            <w:pPr>
              <w:jc w:val="right"/>
              <w:ind w:right="301"/>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1020" w:type="dxa"/>
            <w:vAlign w:val="bottom"/>
            <w:tcBorders>
              <w:bottom w:val="single" w:sz="8" w:color="auto"/>
            </w:tcBorders>
            <w:gridSpan w:val="3"/>
          </w:tcPr>
          <w:p>
            <w:pPr>
              <w:jc w:val="center"/>
              <w:ind w:left="418"/>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Borders>
              <w:bottom w:val="single" w:sz="8" w:color="auto"/>
            </w:tcBorders>
            <w:gridSpan w:val="2"/>
          </w:tcPr>
          <w:p>
            <w:pPr>
              <w:jc w:val="center"/>
              <w:ind w:left="418"/>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Paid-in</w:t>
            </w:r>
          </w:p>
        </w:tc>
        <w:tc>
          <w:tcPr>
            <w:tcW w:w="1280" w:type="dxa"/>
            <w:vAlign w:val="bottom"/>
            <w:gridSpan w:val="3"/>
            <w:vMerge w:val="continue"/>
          </w:tcPr>
          <w:p>
            <w:pPr>
              <w:spacing w:after="0"/>
              <w:rPr>
                <w:sz w:val="14"/>
                <w:szCs w:val="14"/>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1020" w:type="dxa"/>
            <w:vAlign w:val="bottom"/>
            <w:gridSpan w:val="3"/>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12"/>
                <w:szCs w:val="12"/>
                <w:color w:val="auto"/>
              </w:rPr>
            </w:pPr>
          </w:p>
        </w:tc>
        <w:tc>
          <w:tcPr>
            <w:tcW w:w="102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2"/>
                <w:szCs w:val="12"/>
                <w:color w:val="auto"/>
              </w:rPr>
            </w:pPr>
          </w:p>
        </w:tc>
        <w:tc>
          <w:tcPr>
            <w:tcW w:w="1180" w:type="dxa"/>
            <w:vAlign w:val="bottom"/>
            <w:gridSpan w:val="2"/>
          </w:tcPr>
          <w:p>
            <w:pPr>
              <w:jc w:val="right"/>
              <w:ind w:right="501"/>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3,424,991</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343</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5,184,300</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9,860,338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(4,861,190)</w:t>
            </w: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5,000,009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960" w:type="dxa"/>
            <w:vAlign w:val="bottom"/>
          </w:tcPr>
          <w:p>
            <w:pPr>
              <w:ind w:left="360"/>
              <w:spacing w:after="0" w:line="201" w:lineRule="exact"/>
              <w:rPr>
                <w:sz w:val="20"/>
                <w:szCs w:val="20"/>
                <w:color w:val="auto"/>
              </w:rPr>
            </w:pPr>
            <w:r>
              <w:rPr>
                <w:rFonts w:ascii="Arial" w:cs="Arial" w:eastAsia="Arial" w:hAnsi="Arial"/>
                <w:sz w:val="18"/>
                <w:szCs w:val="18"/>
                <w:color w:val="auto"/>
              </w:rPr>
              <w:t>Change in value of Class A Ordinary Shares</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540"/>
              <w:spacing w:after="0"/>
              <w:rPr>
                <w:sz w:val="20"/>
                <w:szCs w:val="20"/>
                <w:color w:val="auto"/>
              </w:rPr>
            </w:pPr>
            <w:r>
              <w:rPr>
                <w:rFonts w:ascii="Arial" w:cs="Arial" w:eastAsia="Arial" w:hAnsi="Arial"/>
                <w:sz w:val="18"/>
                <w:szCs w:val="18"/>
                <w:color w:val="auto"/>
              </w:rPr>
              <w:t>subject to possible redemption</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3,367,161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8"/>
                <w:szCs w:val="18"/>
                <w:color w:val="auto"/>
              </w:rPr>
              <w:t>336</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33,671,274</w:t>
            </w:r>
          </w:p>
        </w:tc>
        <w:tc>
          <w:tcPr>
            <w:tcW w:w="100" w:type="dxa"/>
            <w:vAlign w:val="bottom"/>
          </w:tcPr>
          <w:p>
            <w:pPr>
              <w:spacing w:after="0"/>
              <w:rPr>
                <w:sz w:val="20"/>
                <w:szCs w:val="20"/>
                <w:color w:val="auto"/>
              </w:rPr>
            </w:pPr>
          </w:p>
        </w:tc>
        <w:tc>
          <w:tcPr>
            <w:tcW w:w="11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33,671,610</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w:t>
            </w: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w w:val="90"/>
              </w:rPr>
              <w:t>(33,671,616)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(33,671,616)</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20"/>
                <w:szCs w:val="20"/>
                <w:color w:val="auto"/>
              </w:rPr>
            </w:pPr>
            <w:r>
              <w:rPr>
                <w:rFonts w:ascii="Arial" w:cs="Arial" w:eastAsia="Arial" w:hAnsi="Arial"/>
                <w:sz w:val="18"/>
                <w:szCs w:val="18"/>
                <w:b w:val="1"/>
                <w:bCs w:val="1"/>
                <w:color w:val="auto"/>
              </w:rPr>
              <w:t>Balance – March 31, 2021</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6,792,152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679</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5,184,300</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43,531,612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(38,532,806</w:t>
            </w:r>
          </w:p>
        </w:tc>
        <w:tc>
          <w:tcPr>
            <w:tcW w:w="300" w:type="dxa"/>
            <w:vAlign w:val="bottom"/>
          </w:tcPr>
          <w:p>
            <w:pPr>
              <w:jc w:val="right"/>
              <w:ind w:right="16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5,000,003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006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700" w:type="dxa"/>
            <w:vAlign w:val="bottom"/>
          </w:tcPr>
          <w:p>
            <w:pPr>
              <w:jc w:val="center"/>
              <w:ind w:right="70"/>
              <w:spacing w:after="0"/>
              <w:rPr>
                <w:sz w:val="20"/>
                <w:szCs w:val="20"/>
                <w:color w:val="auto"/>
              </w:rPr>
            </w:pPr>
            <w:r>
              <w:rPr>
                <w:rFonts w:ascii="Arial" w:cs="Arial" w:eastAsia="Arial" w:hAnsi="Arial"/>
                <w:sz w:val="18"/>
                <w:szCs w:val="18"/>
                <w:b w:val="1"/>
                <w:bCs w:val="1"/>
                <w:color w:val="auto"/>
              </w:rPr>
              <w:t>VPC IMPACT ACQUISITION HOLDINGS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7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CONDENSED CONSOLIDATED STATEMENT OF CASH FLOWS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70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FOR THE THREE MONTHS ENDED MARCH 31, 2021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70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w w:val="90"/>
              </w:rPr>
              <w:t>(33,671,616)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tcPr>
          <w:p>
            <w:pPr>
              <w:ind w:left="360"/>
              <w:spacing w:after="0"/>
              <w:rPr>
                <w:sz w:val="20"/>
                <w:szCs w:val="20"/>
                <w:color w:val="auto"/>
              </w:rPr>
            </w:pPr>
            <w:r>
              <w:rPr>
                <w:rFonts w:ascii="Arial" w:cs="Arial" w:eastAsia="Arial" w:hAnsi="Arial"/>
                <w:sz w:val="18"/>
                <w:szCs w:val="18"/>
                <w:color w:val="auto"/>
              </w:rPr>
              <w:t>Interest earned on marketable securities held in Trust Account</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31,292,368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(4,814)</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40" w:type="dxa"/>
            <w:vAlign w:val="bottom"/>
            <w:gridSpan w:val="2"/>
          </w:tcPr>
          <w:p>
            <w:pPr>
              <w:ind w:left="7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2,217,860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(175,906)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Net Change in Cash</w:t>
            </w:r>
          </w:p>
        </w:tc>
        <w:tc>
          <w:tcPr>
            <w:tcW w:w="80" w:type="dxa"/>
            <w:vAlign w:val="bottom"/>
          </w:tcPr>
          <w:p>
            <w:pPr>
              <w:spacing w:after="0"/>
              <w:rPr>
                <w:sz w:val="18"/>
                <w:szCs w:val="18"/>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(175,906)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1,177,678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940" w:type="dxa"/>
            <w:vAlign w:val="bottom"/>
            <w:gridSpan w:val="2"/>
          </w:tcPr>
          <w:p>
            <w:pPr>
              <w:spacing w:after="0"/>
              <w:rPr>
                <w:sz w:val="20"/>
                <w:szCs w:val="20"/>
                <w:color w:val="auto"/>
              </w:rPr>
            </w:pPr>
            <w:r>
              <w:rPr>
                <w:rFonts w:ascii="Arial" w:cs="Arial" w:eastAsia="Arial" w:hAnsi="Arial"/>
                <w:sz w:val="18"/>
                <w:szCs w:val="18"/>
                <w:b w:val="1"/>
                <w:bCs w:val="1"/>
                <w:color w:val="auto"/>
              </w:rPr>
              <w:t>Cash – End of period</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1,001,772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40" w:type="dxa"/>
            <w:vAlign w:val="bottom"/>
            <w:gridSpan w:val="2"/>
            <w:vMerge w:val="restart"/>
          </w:tcPr>
          <w:p>
            <w:pPr>
              <w:spacing w:after="0"/>
              <w:rPr>
                <w:sz w:val="20"/>
                <w:szCs w:val="20"/>
                <w:color w:val="auto"/>
              </w:rPr>
            </w:pPr>
            <w:r>
              <w:rPr>
                <w:rFonts w:ascii="Arial" w:cs="Arial" w:eastAsia="Arial" w:hAnsi="Arial"/>
                <w:sz w:val="18"/>
                <w:szCs w:val="18"/>
                <w:color w:val="auto"/>
              </w:rPr>
              <w:t>Change in value of Class A ordinary shares subject to possible redemption</w:t>
            </w: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40" w:type="dxa"/>
            <w:vAlign w:val="bottom"/>
            <w:gridSpan w:val="2"/>
            <w:vMerge w:val="continue"/>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(33,671,610</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40"/>
          </w:cols>
          <w:pgMar w:left="320" w:top="446"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VPC Impact Acquisition Holdings (the “Company”) is a blank check company incorporated as a Cayman Islands exempted company on July 31, 2020. The Company was incorporated for the purpose of effecting a merger, share exchange, asset acquisition, share purchase, reorganization or similar business combination with one or more businesses or entities (a “Business Combination”).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12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As of March 31, 2021, the Company had not commenced any operations. All activity for the period from July 31, 2020 (inception) through March 31, 2021 relates to the Company’s formation, its initial public offering (“Initial Public Offering”), which is described below, and subsequent to the Initial Public Offering, identifying a target company for a Business Combination. The Company will not generate any operating revenues until after the completion of a Business Combination, at the earliest. The Company generates non-operating income in the form of interest income from the proceeds derived from the Initial Public Offering.</w:t>
      </w:r>
    </w:p>
    <w:p>
      <w:pPr>
        <w:spacing w:after="0" w:line="188"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registration statement for the Company’s Initial Public Offering was declared effective on September 22, 2020. On September 25, 2020 the Company consummated the Initial Public Offering of 20,000,000 units (the “Units” and, with respect to the Class A ordinary shares included in the Units sold, the “Public Shares”), generating gross proceeds of $200,000,000 which is described in Note 3.</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6,000,000 warrants (the “Private Placement Warrants”) at a price of $1.00 per Private Placement Warrant in a private placement to VPC Impact Acquisition Holdings Sponsor, LLC (the “Sponsor”), generating gross proceeds of $6,000,000, which is described in Note 4.</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September 29, 2020, the underwriters notified the Company of their intention to partially exercise their over-allotment option on October 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2020. As such, on October 1, 2020, the Company consummated the sale of an additional 737,202 Units, at $10.00 per Unit, and the sale of an additional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147,440 Private Placement Warrants, at $1.00 per Private Warrant, generating total gross proceeds of $7,519,460.</w:t>
      </w:r>
    </w:p>
    <w:p>
      <w:pPr>
        <w:spacing w:after="0" w:line="211"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Transaction costs charged to equity amounted to $11,906,606, consisting of $4,147,440 of underwriting fees, $7,258,021 of deferred underwriting fees and $501,145 of other offering costs.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Following the closing of the Initial Public Offering on September 25, 2020 and the partial exercise of the underwriter’s over-allotment on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October 1, 2020, an amount of $207,372,020 ($10.00 per Unit) from the net proceeds of the sale of the Units in the Initial Public Offering and the sale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Private Placement Warrants was placed in a trust account (the “Trust Account”) and invested in U.S. government securities, within the meaning set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forth in Section 2(a)(16) of the Investment Company Act of 1940, as amended (the “Investment Company Act”), with a maturity of 185 days or less,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any open-ended investment company that holds itself out as a money market fund investing solely in U.S. Treasuries and meeting certain conditions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under Rule 2a-7 of the Investment Company Act, as determined by the Company, until the earliest of: (i) the completion of a Business Combination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(ii) the distribution of the funds in the Trust Account to the Company’s shareholders, as described below.</w:t>
      </w:r>
    </w:p>
    <w:p>
      <w:pPr>
        <w:spacing w:after="0" w:line="21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the Private Placement Warrants, although substantially all of the net proceeds are intended to be applied generally toward consummating a Business Combination. The stock exchange listing rules require that the Business Combination must be with one or more operating businesses or assets with a fair market value equal to at least 80% of the assets held in the Trust Account (excluding the deferred underwriting commissions and taxes payable on the interest earned on the Trust Account). The Company will only complete a Business Combination if the post-Business Combination company owns or acquires 50% or more of the issued and outstanding voting securities of the target or otherwise acquires a controlling interest in the target business sufficient for it not to be required to register as an investment company under the Investment Company Act. There is no assurance that the Company will be able to successfully effect a Business Combination.</w:t>
      </w:r>
    </w:p>
    <w:p>
      <w:pPr>
        <w:spacing w:after="0" w:line="17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will provide the holders of the public shares (the “Public Shareholders”) with the opportunity to redeem all or a portion of their public shares upon the completion of the Business Combination, either (i) in connection with a general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equal to the aggregate amount then on deposit in the Trust Account, calculated as of two business days prior to the consummation of the Business Combination (initially $10.00 per Public Share), including interest (which interest shall be net of taxes payable), divided by the number of then issued and outstanding public shares, subject to certain limitations as described in the prospectus. The per-share amount to be distributed to the Public Shareholders who properly redeem their shares will not be reduced by the deferred underwriting commissions the Company will pay to the underwriters (as discussed in Note 6). There will be no redemption rights upon the completion of a Business Combination with respect to the Company’s warrants.</w:t>
      </w:r>
    </w:p>
    <w:p>
      <w:pPr>
        <w:sectPr>
          <w:pgSz w:w="11900" w:h="16838" w:orient="portrait"/>
          <w:cols w:equalWidth="0" w:num="1">
            <w:col w:w="11120"/>
          </w:cols>
          <w:pgMar w:left="320" w:top="459" w:right="459" w:bottom="1440" w:gutter="0" w:footer="0" w:header="0"/>
        </w:sectPr>
      </w:pP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11120"/>
          </w:cols>
          <w:pgMar w:left="320" w:top="459"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and, if the Company seeks shareholder approval, it receives an ordinary resolution under Cayman Islands law approving a Business Combination, which requires the affirmative vote of a majority of the shareholders who attend and vote at a general meeting of the Company. If a shareholder vote is not required and the Company does not decide to hold a shareholder vote for business or other legal reasons, the Company will, pursuant to its Amended and Restated Memorandum and Articles of Association, conduct the redemptions pursuant to the tender offer rules of the U.S. Securities and Exchange Commission (“SEC”), and file tender offer documents containing substantially the same information as would be included in a proxy statement with the SEC prior to completing a Business Combination. If the Company seeks shareholder approval in connection with a Business Combination, the Sponsor has agreed to vote its Founder Shares (as defined in Note 5) and any Public Shares purchased during or after the Initial Public Offering in favor of approving a Business Combination. Additionally, each Public Shareholder may elect to redeem their Public Shares, without voting, and if they do vote, irrespective of whether they vote for or against a proposed Business Combination.</w:t>
      </w:r>
    </w:p>
    <w:p>
      <w:pPr>
        <w:spacing w:after="0" w:line="16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foregoing, if the Company seeks shareholder approval of the Business Combination and the Company does not conduct redemptions pursuant to the tender offer rules,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Public Shares without the Company’s prior written consent.</w:t>
      </w:r>
    </w:p>
    <w:p>
      <w:pPr>
        <w:spacing w:after="0" w:line="188"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Sponsor has agreed (a) to waive its redemption rights with respect to any Founder Shares and Public Shares held by it in connection with the completion of a Business Combination and (b) not to propose an amendment to the Amended and Restated Memorandum and Articles of Association</w:t>
      </w:r>
    </w:p>
    <w:p>
      <w:pPr>
        <w:ind w:left="120" w:right="120" w:hanging="4"/>
        <w:spacing w:after="0" w:line="270" w:lineRule="auto"/>
        <w:tabs>
          <w:tab w:leader="none" w:pos="335"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modify the substance or timing of the Company’s obligation to allow redemption in connection with the Company’s initial Business Combination or to redeem 100% of the Public Shares if the Company does not complete a Business Combination within the Combination Period (as defined below) or (ii) with respect to any other provision relating to shareholders’ rights or pre-initial business combination activity, unless the Company provides the Public Shareholders with the opportunity to redeem their Public Shares upon approval of any such amendment at a per-share price, payable in cash, equal to the aggregate amount then on deposit in the Trust Account, including interest earned on the Trust Account and not previously released to pay taxes, divided by the number of then issued and outstanding Public Shares.</w:t>
      </w:r>
    </w:p>
    <w:p>
      <w:pPr>
        <w:spacing w:after="0" w:line="17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Company will have until September 25, 2022 to consummate a Business Combination (the “Combination Period”). However, if the Company has not completed a Business Combination within the Combination Period, the Company will (i) cease all operations except for the purpose of winding up, (ii) as promptly as reasonably possible but not more than ten business days thereafter, redeem 100% of the Public Shares, at a per-share price, payable in cash, equal to the aggregate amount then on deposit in the Trust Account, including interest earned and not previously released to the Company to pay its taxes, if any (less up to $100,000 of interest to pay dissolution expenses), divided by the number of then issued and outstanding Public Shares, which redemption will completely extinguish the rights of the Public Shareholders as shareholders (including the right to receive further liquidating distributions, if any), and (iii) as promptly as reasonably possible following such redemption, subject to the approval of the Company’s remaining Public Shareholders and its Board of Directors, liquidate and dissolve, subject in each case to the Company’s obligations under Cayman Islands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Sponsor has agreed to waive its rights to liquidating distributions from the Trust Account with respect to the Founder Shares it will receive if the Company fails to complete a Business Combination within the Combination Period. However, if the Sponsor or any of its respective affiliates acquire Public Shares, such Public Shares will be entitled to liquidating distributions from the Trust Account if the Company fails to complete a Business Combination within the Combination Period. The underwriters have agreed to waive their rights to their deferred underwriting commission (see Note 6)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will be less than the Initial Public Offering price per Unit ($10.00).</w:t>
      </w:r>
    </w:p>
    <w:p>
      <w:pPr>
        <w:spacing w:after="0" w:line="19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In order to protect the amounts held in the Trust Account, the Sponsor has agreed that it will be liable to the Company if and to the extent any claims by a third party (other than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(1) $10.00 per Public Share and (2) the actual amount per Public Share held in the Trust Account as of the date of the liquidation of the Trust Account, if less than $10.00 per Public Share, due to reductions in the value of trust assets, in each case net of the interest that may be withdrawn to pay taxes. This liability will not apply to any claims by a third party who executed a waiver of any and all rights to seek access to the Trust Account and as to any claims under the Company’s indemnity of the underwriters of the Initial</w:t>
      </w:r>
    </w:p>
    <w:p>
      <w:pPr>
        <w:sectPr>
          <w:pgSz w:w="11900" w:h="16838" w:orient="portrait"/>
          <w:cols w:equalWidth="0" w:num="1">
            <w:col w:w="11120"/>
          </w:cols>
          <w:pgMar w:left="320" w:top="459" w:right="459" w:bottom="1440" w:gutter="0" w:footer="0" w:header="0"/>
        </w:sectPr>
      </w:pP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20"/>
          </w:cols>
          <w:pgMar w:left="320" w:top="459" w:right="45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Public Offering against certain liabilities, including liabilities under the Securities Act of 1933, as amended (the “Securities Act”). In the event that an executed waiver is deemed to be unenforceable against a third party, the Sponsor will not be responsible to the extent of any liability for such third-party claims. The Company will seek to reduce the possibility that the Sponsor will have to indemnify the Trust Account due to claims of creditors by endeavoring to have all vendors, service providers (other than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 of March 31, 2021, the Company had approximately $1.0 million in its operating bank accounts and working capital deficit of approximately $1.9 million.</w:t>
      </w:r>
    </w:p>
    <w:p>
      <w:pPr>
        <w:spacing w:after="0" w:line="170"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Prior to the completion of the Initial Public Offering, the Company’s liquidity needs had been satisfied through a contribution of $25,000 from Sponsor to cover for certain formation and offering costs in exchange for the issuance of the Founder Shares, the loan of up to $300,000 from the Sponsor pursuant to the Note (see Note 5), and the proceeds from the consummation of the Private Placement not held in the Trust Account. The Note was repaid on September 25, 2020. In addition, in order to finance transaction costs in connection with a Business Combination, the Sponsor or an affiliate of the Sponsor, or certain of the Company’s officers and directors may, but are not obligated to, provide the Company Working Capital Loans (see Note 5). As of March 31, 2021, there were no amounts outstanding under any Working Capital Loan.</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Based on the foregoing, management believes that the Company will have sufficient working capital and borrowing capacity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of America (“GAAP”) for interim financial information and in accordance with the instructions to Form 10-Q and Article 8 of Regulation S-X of the U.S. Securities and Exchange Commission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w:t>
      </w:r>
    </w:p>
    <w:p>
      <w:pPr>
        <w:spacing w:after="0" w:line="178"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Company’s Annual Report on Form 10-K/A as filed with the SEC on May 21, 2021. The interim results for the three months ended March 31, 2021 are not necessarily indicative of the results to be expected for the period ending December 31, 2021 or for any future interim periods.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the Company and its wholly-owned subsidiary. All significant intercompany balances and transactions have been eliminated in consolidation.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78" w:lineRule="exact"/>
        <w:rPr>
          <w:sz w:val="20"/>
          <w:szCs w:val="20"/>
          <w:color w:val="auto"/>
        </w:rPr>
      </w:pPr>
    </w:p>
    <w:p>
      <w:pPr>
        <w:ind w:left="120" w:right="160" w:firstLine="440"/>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ectPr>
          <w:pgSz w:w="11900" w:h="16838" w:orient="portrait"/>
          <w:cols w:equalWidth="0" w:num="1">
            <w:col w:w="11120"/>
          </w:cols>
          <w:pgMar w:left="320" w:top="459" w:right="459" w:bottom="0" w:gutter="0" w:footer="0" w:header="0"/>
        </w:sectPr>
      </w:pPr>
    </w:p>
    <w:p>
      <w:pPr>
        <w:spacing w:after="0" w:line="274"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Use of Estimates</w:t>
      </w:r>
    </w:p>
    <w:p>
      <w:pPr>
        <w:sectPr>
          <w:pgSz w:w="11900" w:h="16838" w:orient="portrait"/>
          <w:cols w:equalWidth="0" w:num="1">
            <w:col w:w="11120"/>
          </w:cols>
          <w:pgMar w:left="320" w:top="459" w:right="459" w:bottom="0" w:gutter="0" w:footer="0" w:header="0"/>
          <w:type w:val="continuous"/>
        </w:sectPr>
      </w:pPr>
    </w:p>
    <w:bookmarkStart w:id="10" w:name="page11"/>
    <w:bookmarkEnd w:id="10"/>
    <w:p>
      <w:pPr>
        <w:jc w:val="both"/>
        <w:ind w:firstLine="440"/>
        <w:spacing w:after="0" w:line="286" w:lineRule="auto"/>
        <w:rPr>
          <w:sz w:val="20"/>
          <w:szCs w:val="20"/>
          <w:color w:val="auto"/>
        </w:rPr>
      </w:pPr>
      <w:r>
        <w:rPr>
          <w:rFonts w:ascii="Arial" w:cs="Arial" w:eastAsia="Arial" w:hAnsi="Arial"/>
          <w:sz w:val="17"/>
          <w:szCs w:val="17"/>
          <w:color w:val="auto"/>
        </w:rPr>
        <w:t>The preparation of condensed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65" w:lineRule="exact"/>
        <w:rPr>
          <w:sz w:val="20"/>
          <w:szCs w:val="20"/>
          <w:color w:val="auto"/>
        </w:rPr>
      </w:pPr>
    </w:p>
    <w:p>
      <w:pPr>
        <w:ind w:right="520" w:firstLine="440"/>
        <w:spacing w:after="0" w:line="259" w:lineRule="auto"/>
        <w:rPr>
          <w:sz w:val="20"/>
          <w:szCs w:val="20"/>
          <w:color w:val="auto"/>
        </w:rPr>
      </w:pPr>
      <w:r>
        <w:rPr>
          <w:rFonts w:ascii="Arial" w:cs="Arial" w:eastAsia="Arial" w:hAnsi="Arial"/>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187" w:lineRule="exact"/>
        <w:rPr>
          <w:sz w:val="20"/>
          <w:szCs w:val="20"/>
          <w:color w:val="auto"/>
        </w:rPr>
      </w:pPr>
    </w:p>
    <w:p>
      <w:pPr>
        <w:jc w:val="both"/>
        <w:ind w:right="540" w:firstLine="440"/>
        <w:spacing w:after="0" w:line="263" w:lineRule="auto"/>
        <w:rPr>
          <w:sz w:val="20"/>
          <w:szCs w:val="20"/>
          <w:color w:val="auto"/>
        </w:rPr>
      </w:pPr>
      <w:r>
        <w:rPr>
          <w:rFonts w:ascii="Arial" w:cs="Arial" w:eastAsia="Arial" w:hAnsi="Arial"/>
          <w:sz w:val="18"/>
          <w:szCs w:val="18"/>
          <w:color w:val="auto"/>
        </w:rPr>
        <w:t>One of the more significant accounting estimates included in these financial statements is the determination of the fair value of the warrant liabilities. Such estimates may be subject to change as more current information becomes available and accordingly the actual results could differ significantly from those estimates.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125"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March 31, 2021 and December 31,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held in Trust Account</w:t>
      </w:r>
    </w:p>
    <w:p>
      <w:pPr>
        <w:spacing w:after="0" w:line="117"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The Company’s portfolio of investments held in trust is comprised solely of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investments are included in interest earned on marketable securities held in Trust Account in the accompanying condensed consolidated statement of operations. The estimated fair values of investments held in the Trust Account are determined using available market information.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ordinary shares,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7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The fair value of the warrants was estimated using a Black-Scholes Option Pricing Model (see Note 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Company accounts for its Class A ordinary shares subject to possible redemption in accordance with the guidance in Accounting Standards Codification (“ASC”) Topic 480 “Distinguishing Liabilities from Equity.” Class A ordinary shares subject to mandatory redemption are classified as a liability instrument and are measured at fair value. Conditionally redeemable ordinary shares (including ordinary shares that feature redemption rights that are either within the control of the holder or subject to redemption upon the occurrence of uncertain events not solely within the Company’s control) are classified as temporary equity. At all other times, ordinary shares are classified as shareholders’ equity. The Company’s ordinary shares feature certain redemption rights that are considered to be outside of the Company’s control and subject to occurrence of uncertain future events. Accordingly, at March 31, 2021 and December 31, 2020, Class A ordinary shares subject to possible redemption are presented as temporary equity, outside of the shareholders’ equity section of the Company’s condensed consolidated balance sheets.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Offering costs consist of legal, accounting, underwriting fees and other costs incurred through the Initial Public Offering that are directly related to the Initial Public Offering. Offering costs amounting to $11,906,606, of which $11,138,216 were charged to shareholders’ equity upon the completion of the Initial Public Offering and $768,391 were expensed to the condensed consolidated statement of operations.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Company accounts for income taxes under ASC Topic 740, “Income Taxes,”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Company’s management determined that the Cayman Islands is the Company’s major tax jurisdiction. The Company recognizes accrued interest and penalties related to unrecognized tax benefits as income tax expense. As of March 31, 2021 and December 31, 2020, there were no unrecognized tax benefits and no amounts accrued for interest and penalties. The Company is currently not aware of any issues under review that could result in significant payments, accruals or material deviation from its position.</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is considered to be an exempted Cayman Islands company with no connection to any other taxable jurisdiction and is presently not subject to income taxes or income tax filing requirements in the Cayman Islands or the United States. As such, the Company’s tax provision was zero for the period presented. The Company does not expect that the total amount of unrecognized tax benefits will materially change over the next twelve months.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17"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The Company complies with accounting and disclosure requirements of FASB ASC Topic 260, “Earnings Per Share”. Net income (loss) per share is computed by dividing net income (loss) by the weighted average number of ordinary shares outstanding for the period. The calculation of diluted income (loss) per share does not consider the effect of the warrants issued in connection with the (i) Initial Public Offering, and (ii) Private Placement Warrants since the exercise of the warrants are contingent upon the occurrence of future events and the inclusion of such warrants would be anti-dilutive. The warrants are exercisable to purchase 16,516,041 shares of Class A ordinary shares in the aggregate.</w:t>
      </w:r>
    </w:p>
    <w:p>
      <w:pPr>
        <w:sectPr>
          <w:pgSz w:w="11900" w:h="16838" w:orient="portrait"/>
          <w:cols w:equalWidth="0" w:num="1">
            <w:col w:w="11120"/>
          </w:cols>
          <w:pgMar w:left="320" w:top="459" w:right="459" w:bottom="0" w:gutter="0" w:footer="0" w:header="0"/>
        </w:sectPr>
      </w:pPr>
    </w:p>
    <w:bookmarkStart w:id="12" w:name="page13"/>
    <w:bookmarkEnd w:id="12"/>
    <w:p>
      <w:pPr>
        <w:ind w:right="40" w:firstLine="440"/>
        <w:spacing w:after="0" w:line="291" w:lineRule="auto"/>
        <w:rPr>
          <w:sz w:val="20"/>
          <w:szCs w:val="20"/>
          <w:color w:val="auto"/>
        </w:rPr>
      </w:pPr>
      <w:r>
        <w:rPr>
          <w:rFonts w:ascii="Arial" w:cs="Arial" w:eastAsia="Arial" w:hAnsi="Arial"/>
          <w:sz w:val="16"/>
          <w:szCs w:val="16"/>
          <w:color w:val="auto"/>
        </w:rPr>
        <w:t>The Company’s statement of operations includes a presentation of income (loss) per share for ordinary shares subject to possible redemption in a manner similar to the two-class method of income (loss) per share. Net income per share, basic and diluted, for Class A redeemable ordinary shares is calculated by dividing the interest income earned on the Trust Account of $9,704 for the three months ended March 31, 2021 by the weighted average number of Class A redeemable ordinary shares outstanding for the period. Net loss per share, basic and diluted, for Class B non-redeemable ordinary shares is calculated by dividing the net loss, adjusted for income attributable to Class A redeemable ordinary shares of $9,704 by the weighted average number of Class B non-redeemable ordinary shares outstanding for the period. Class B non-redeemable ordinary shares includes the Founder Shares as these shares do not have any redemption features and do not participate in the income earned on the Trust Account.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following table reflects the calculation of basic and diluted net income (loss) per ordinary share (in dollars, except per share amounts):</w:t>
      </w:r>
    </w:p>
    <w:p>
      <w:pPr>
        <w:spacing w:after="0" w:line="243" w:lineRule="exact"/>
        <w:rPr>
          <w:sz w:val="20"/>
          <w:szCs w:val="20"/>
          <w:color w:val="auto"/>
        </w:rPr>
      </w:pPr>
    </w:p>
    <w:tbl>
      <w:tblPr>
        <w:tblLayout w:type="fixed"/>
        <w:tblInd w:w="17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March 31 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Redeemable Class A Ordinary Shares</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340"/>
              <w:spacing w:after="0"/>
              <w:rPr>
                <w:sz w:val="20"/>
                <w:szCs w:val="20"/>
                <w:color w:val="auto"/>
              </w:rPr>
            </w:pPr>
            <w:r>
              <w:rPr>
                <w:rFonts w:ascii="Arial" w:cs="Arial" w:eastAsia="Arial" w:hAnsi="Arial"/>
                <w:sz w:val="18"/>
                <w:szCs w:val="18"/>
                <w:color w:val="auto"/>
              </w:rPr>
              <w:t>Numerator: Earnings allocable to Redeemable Class A Ordinary Shares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Interest Income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1060"/>
              <w:spacing w:after="0"/>
              <w:rPr>
                <w:sz w:val="20"/>
                <w:szCs w:val="20"/>
                <w:color w:val="auto"/>
              </w:rPr>
            </w:pPr>
            <w:r>
              <w:rPr>
                <w:rFonts w:ascii="Arial" w:cs="Arial" w:eastAsia="Arial" w:hAnsi="Arial"/>
                <w:sz w:val="18"/>
                <w:szCs w:val="18"/>
                <w:color w:val="auto"/>
              </w:rPr>
              <w:t>Redeemable Net Earnings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Denominator: Weighted Average Redeemable Class A Ordinary 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Redeemable Class A Ordinary Shares, Basic and Diluted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20,737,202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Basic and diluted earnings per share – Redeemable Class A Ordinary Shares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324"/>
        </w:trPr>
        <w:tc>
          <w:tcPr>
            <w:tcW w:w="6120" w:type="dxa"/>
            <w:vAlign w:val="bottom"/>
            <w:gridSpan w:val="2"/>
          </w:tcPr>
          <w:p>
            <w:pPr>
              <w:spacing w:after="0"/>
              <w:rPr>
                <w:sz w:val="20"/>
                <w:szCs w:val="20"/>
                <w:color w:val="auto"/>
              </w:rPr>
            </w:pPr>
            <w:r>
              <w:rPr>
                <w:rFonts w:ascii="Arial" w:cs="Arial" w:eastAsia="Arial" w:hAnsi="Arial"/>
                <w:sz w:val="18"/>
                <w:szCs w:val="18"/>
                <w:color w:val="auto"/>
              </w:rPr>
              <w:t>Non-Redeemable Class B Ordinary Shares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Numerator: Net Income (Loss) minus Redeemable Net Earnings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Net Income (Loss)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(33,671,616)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Redeemable Net Earnings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(9,704)</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00" w:type="dxa"/>
            <w:vAlign w:val="bottom"/>
          </w:tcPr>
          <w:p>
            <w:pPr>
              <w:ind w:left="1060"/>
              <w:spacing w:after="0"/>
              <w:rPr>
                <w:sz w:val="20"/>
                <w:szCs w:val="20"/>
                <w:color w:val="auto"/>
              </w:rPr>
            </w:pPr>
            <w:r>
              <w:rPr>
                <w:rFonts w:ascii="Arial" w:cs="Arial" w:eastAsia="Arial" w:hAnsi="Arial"/>
                <w:sz w:val="18"/>
                <w:szCs w:val="18"/>
                <w:color w:val="auto"/>
              </w:rPr>
              <w:t>Non-Redeemable Net Loss</w:t>
            </w: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(33,681,320)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9"/>
              </w:rPr>
              <w:t>Denominator: Weighted Average Non-Redeemable Class B Ordinary Shares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ind w:left="700"/>
              <w:spacing w:after="0"/>
              <w:rPr>
                <w:sz w:val="20"/>
                <w:szCs w:val="20"/>
                <w:color w:val="auto"/>
              </w:rPr>
            </w:pPr>
            <w:r>
              <w:rPr>
                <w:rFonts w:ascii="Arial" w:cs="Arial" w:eastAsia="Arial" w:hAnsi="Arial"/>
                <w:sz w:val="18"/>
                <w:szCs w:val="18"/>
                <w:color w:val="auto"/>
              </w:rPr>
              <w:t>Non-Redeemable Class B Ordinary Shares, Basic and Diluted</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5,184,300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Basic and diluted earnings (loss) per share – Non-Redeemable Class B Ordinary</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As of March 31, 2021, basic and diluted shares are the same as there are no non-redeemable securities that are dilutive to the Company’s ordinary shareholders.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jc w:val="both"/>
        <w:ind w:right="300" w:firstLine="440"/>
        <w:spacing w:after="0" w:line="263"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Coverage of $250,000. The Company has not experienced losses on this account and management believes the Company is not exposed to significant risks on such account.</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440" w:top="125"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approximates the carrying amounts represented in the Company’s condensed consolidated balance sheets, primarily due to their short-term nature, with the exception of the warrant liabilities (see Note 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3—INITIAL PUBLIC OFFERING</w:t>
      </w:r>
    </w:p>
    <w:p>
      <w:pPr>
        <w:spacing w:after="0" w:line="121"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Pursuant to the Initial Public Offering, the Company sold 20,000,000 Units, at a purchase price of $10.00 per Unit. In connection with the underwriters’ partial exercise of the over-allotment option on October 1, 2020, the Company sold an additional 737,202 Units, at a purchase price of $10.00 per Unit. Each Unit consists of one Class A ordinary share and one-half of one redeemable warrant (“Public Warrant”). Each whole Public Warrant entitles the holder to purchase one Class A ordinary share at an exercise price of $11.50 per whole share (see Note 8).</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4—PRIVATE PLACEMENT</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Simultaneously with the closing of the Initial Public Offering, the Sponsor purchased an aggregate of 6,000,000 Private Placement Warrants at a price of $1.00 per Private Placement Warrant, for an aggregate purchase price of $6,000,000. In connection with the underwriters’ partial exercise of the over-allotment option on October 1, 2020, the Company sold an additional 147,440 Private Placement Warrants, at a purchase price of $1.00 per Private Placement Warrants, for an aggregate purchase price of $147,440. Each Private Placement Warrant is exercisable to purchase one Class A ordinary share at a price of $11.50 per share, subject to adjustment (see Note 8). A portion of the proceeds from the Private Placement Warrants were added to the proceeds from the Initial Public Offering held in the Trust Account. If the Company does not complete a Business Combination within the Combination Period, the proceeds from the sale of the Private Placement Warrants will be used to fund the redemption of the Public Shares (subject to the requirements of applicable law) and the Private Placement Warrants will expire worthless.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August 3, 2020, the Sponsor paid $25,000 to cover certain offering and formation costs of the Company in consideration for 5,750,000 Class B ordinary shares (the “Founder Shares”). In September 2020, the Sponsor transferred an aggregate of 60,000 Founder Shares to members of the Company’s board of directors, resulting in the Sponsor holding 5,690,000 Founder Shares. The Founder Shares included an aggregate of up to 750,000 shares that were subject to forfeiture depending on the extent to which the underwriters’ over-allotment option was exercised, so that the number of Founder Shares would equal, on an as-converted basis, approximately 20% of the Company’s issued and outstanding ordinary shares after the Initial Public Offering. In connection with the underwriters’ partial exercise of the over-allotment option and the forfeiture of the remaining over-allotment option, 565,700 Founder Shares were forfeited and 184,300 Founder Shares are no longer subject to forfeiture resulting in an aggregate of 5,184,300 Founder Shares outstanding at October 1, 2020.</w:t>
      </w:r>
    </w:p>
    <w:p>
      <w:pPr>
        <w:spacing w:after="0" w:line="192"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Sponsor has agreed, subject to limited exceptions, not to transfer, assign or sell any of the Founder Shares until the earliest of: (A) one year after the completion of a Business Combination and (B) subsequent to a Business Combination, (x) if the closing price of the Class A ordinary shares equals or exceeds $12.00 per share (as adjusted for share sub-divisions, share capitalizations, reorganizations, recapitalizations and the like) for any 20 trading days within any 30-trading day period commencing at least 150 days after a Business Combination, or (y) the date on which the Company completes a liquidation, merger, share exchange or other similar transaction that results in all of the Public Shareholders having the right to exchange their Class A ordinary shares for cash, securities or other property.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Commencing on September 25, 2020, the Company entered into an agreement to pay the Sponsor up to $10,000 per month for office space, utilities, secretarial and administrative support services. Upon completion of a Business Combination or its liquidation, the Company will cease paying these monthly fees. For the three months ended March 31, 2021, the Company incurred and paid $30,000 in fees for these services. As of March 31, 2021 and December 31, 2020, $60,000 and $30,000 remained unpaid in the accrued expenses line item on the balance sheets, respectively.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In order to finance transaction costs in connection with a Business Combination, the Sponsor or an affiliate of the Sponsor, or certain of the Company’s officers and directors may, but are not obligated to, loan the Company funds as may be required (“Working Capital Loans”). Such Working Capital Loans would be evidenced by promissory notes. The notes may be repaid upon completion of a Business Combination, without interest, or, at the lender’s discretion, up to $1,500,000 of notes may be converted upon completion of a Business Combination into warrants at a price of $1.00 per warrant. Such warrants would be identical to the Private Placement Warrants. In the event that a Business Combination does not close, the Company may use a portion of proceeds held outside the Trust Account to repay the Working Capital Loans but no proceeds held in the Trust Account would be used to repay the Working Capital Loans. As of March 31, 2021, the Company had no outstanding borrowings under the Working Capital Loans.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global pandemic and has concluded that while it is reasonably possible that the virus could have a negative effect on the Company’s financial position, results of its operations and/or search for a target company, the specific impact is not readily determinable as of the date of these consolidated financial statements. The consolidated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and Shareholders Rights</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Pursuant to a registration rights agreement entered into on September 22, 2020, the holders of the Founder Shares, Private Placement Warrants and any warrants that may be issued upon conversion of Working Capital Loans (and any Class A ordinary shares issuable upon the exercise of the Private Placement Warrants and warrants that may be issued upon conversion of the Working Capital Loans) are entitled to registration rights requiring the Company to register a sale of any of its securities held by them. The holders of these securities will be entitled to make up to three demands, excluding short form demands, that the Company register such securities. In addition, the holders have certain “piggy-back” registration rights with respect to registration statements filed subsequent to the completion of a Business Combination.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underwriters are entitled to a deferred fee of $0.35 per Unit, or $7,258,021 in the aggregate. The deferred fee will become payable to the underwriters from the amounts held in the Trust Account solely in the event that the Company completes a Business Combination, subject to the terms of the underwriting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Agreement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 owned subsidiary of the Company (“Merger Sub”), and Bakkt Holdings, LLC, a Delaware limited liability company (“Bakkt”), a transformative digital asset marketplace launched in 2018 by Intercontinental Exchange, Inc. (“ICE”) and a group of investors and strategic partners.</w:t>
      </w:r>
    </w:p>
    <w:p>
      <w:pPr>
        <w:spacing w:after="0" w:line="18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Merger Agreement provides that, among other things and upon the terms and subject to the conditions thereof, the following transactions will occur (together with the other agreements and transactions contemplated by the Merger Agreement, the “Proposed Transaction”): (i) at the closing of the transactions contemplated by the Merger Agreement, Merger Sub will merge (the “Merger”) with and into Bakkt, the separate corporate existence of Merger Sub will cease and Bakkt will be the surviving limited liability company, to be renamed Bakkt Opco Holdings, LLC (“Bakkt Opco”); (ii) immediately prior to the closing of the PIPE Investment and the effective time of the Merger, the Company will be renamed “Bakkt Holdings, Inc.” (referred to hereinafter as “Bakkt Pubco”); and (iii) 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Subscription Agreements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January 11, 2021, concurrently with the execution of the Merger Agreement, the Company entered into subscription agreements (the “Subscription Agreements”) with certain investors (collectively, the “PIPE Investors” which include certain existing equityholders of the Company and Bakkt), pursuant to, and on the terms and subject to the conditions of which, the PIPE Investors have collectively subscribed for 32,500,000 Bakkt Pubco Class A Shares for an aggregate purchase price equal to $325,000,000 (the “PIPE Investment”). The PIPE Investment will be consummated immediately prior to the closing of the Merger Agreement. The Subscription Agreements provide for certain customary registration rights for the PIPE Investors. The Subscription Agreements will terminate with no further force and effect upon the earliest to occur of: (a) such date and time as the Merger Agreement is terminated in accordance with its terms; (b) the mutual written agreement of the parties to such Subscription Agreement; and (c) December 31, 2021.</w:t>
      </w:r>
    </w:p>
    <w:p>
      <w:pPr>
        <w:sectPr>
          <w:pgSz w:w="11900" w:h="16838" w:orient="portrait"/>
          <w:cols w:equalWidth="0" w:num="1">
            <w:col w:w="11140"/>
          </w:cols>
          <w:pgMar w:left="320" w:top="459" w:right="439" w:bottom="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7 — SHAREHOLDERS’ EQUITY</w:t>
      </w:r>
    </w:p>
    <w:p>
      <w:pPr>
        <w:spacing w:after="0" w:line="121"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b w:val="1"/>
          <w:bCs w:val="1"/>
          <w:i w:val="1"/>
          <w:iCs w:val="1"/>
          <w:color w:val="auto"/>
        </w:rPr>
        <w:t>Preference Shares</w:t>
      </w:r>
      <w:r>
        <w:rPr>
          <w:rFonts w:ascii="Arial" w:cs="Arial" w:eastAsia="Arial" w:hAnsi="Arial"/>
          <w:sz w:val="18"/>
          <w:szCs w:val="18"/>
          <w:color w:val="auto"/>
        </w:rPr>
        <w:t>—The Company is authorized to issue 1,000,000 preference shares with a par value of $0.0001 per share,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March 31, 2021 and December 31, 2020, there were no preference shares issued or outstanding.</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b w:val="1"/>
          <w:bCs w:val="1"/>
          <w:i w:val="1"/>
          <w:iCs w:val="1"/>
          <w:color w:val="auto"/>
        </w:rPr>
        <w:t>Class A Ordinary Shares</w:t>
      </w:r>
      <w:r>
        <w:rPr>
          <w:rFonts w:ascii="Arial" w:cs="Arial" w:eastAsia="Arial" w:hAnsi="Arial"/>
          <w:sz w:val="18"/>
          <w:szCs w:val="18"/>
          <w:color w:val="auto"/>
        </w:rPr>
        <w:t>—The Company is authorized to issue 200,000,000 Class A ordinary shares, with a par value of $0.0001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Class A ordinary shares are entitled to one vote for each share. As of March 31, 2021 and December 31, 2020, there were 6,792,152 and 3,424,991 Class A ordinary shares issued and outstanding, excluding 13,945,050 and 17,312,211 Class A ordinary shares subject to possible redemption, respectively.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b w:val="1"/>
          <w:bCs w:val="1"/>
          <w:i w:val="1"/>
          <w:iCs w:val="1"/>
          <w:color w:val="auto"/>
        </w:rPr>
        <w:t>Class B Ordinary Shares</w:t>
      </w:r>
      <w:r>
        <w:rPr>
          <w:rFonts w:ascii="Arial" w:cs="Arial" w:eastAsia="Arial" w:hAnsi="Arial"/>
          <w:sz w:val="16"/>
          <w:szCs w:val="16"/>
          <w:color w:val="auto"/>
        </w:rPr>
        <w:t>—The Company is authorized to issue 20,000,000 Class B ordinary shares, with a par value of $0.0001 per share.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Holders of the Class B ordinary shares are entitled to one vote for each share. As of March 31, 2021 and December 31, 2020, there were 5,184,300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Class B ordinary shares issued and outstanding.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121"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Only holders of the Class B ordinary shares will have the right to vote on the appointment of directors prior to the Business Combination. Holders of Class A ordinary shares and Class B ordinary shares will vote together as a single class on all other matters submitted to a vote of shareholders, except as required by law and except that in a vote to continue the Company in a jurisdiction outside the Cayman Islands, holders of Class B ordinary shares will have ten votes per share and holders of Class A ordinary shares will have one vote per share.</w:t>
      </w:r>
    </w:p>
    <w:p>
      <w:pPr>
        <w:spacing w:after="0" w:line="17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Class B ordinary shares will automatically convert into Class A ordinary shares concurrently with or immediately following the consummation of a Business Combination on a one-for-one basis, subject to adjustment. In the case that additional Class A ordinary shares or equity-linked securities are issued or deemed issued in connection with a Business Combination, the number of Class A ordinary shares issuable upon conversion of all Founder Shares will equal, in the aggregate, 20% of the total number of Class A ordinary shares outstanding after such conversion (after giving effect to any redemptions of Class A ordinary shares by Public Shareholders), including the total number of Class A ordinary shares issued, or deemed issued or issuable upon conversion or exercise of any equity-linked securities or rights issued or deemed issued, by the Company in connection with or in relation to the consummation of a Business Combination, excluding any Class A ordinary shares or equity-linked securities exercisable for or convertible into Class A ordinary shares issued, or to be issued, to any seller in a Business Combination and any Private Placement Warrants issued to the Sponsor, officers or directors upon conversion of Working Capital Loans; provided that such conversion of Founder Shares will never occur on a less than one-for-one basis.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WARRANTS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—Public Warrants may only be exercised for a whole number of shares. No fractional shares will be issued upon exercise of the Public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Warrants. The Public Warrants will become exercisable on the later of (a) 30 days after the completion of a Business Combination or (b) one year from the closing of the Initial Public Offering. The Public Warrants will expire five years from the completion of a Business Combination or earlier upon redemption or liquidation.</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Company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the Company satisfying its obligations with respect to registration. No warrant will be exercisable and the Company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a Business Combination, it will use its best efforts to file with the SEC a registration statement for the registration, under the Securities Act, of the Class A ordinary shares issuable upon exercise of the warrants. The Company will use its best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(60th) business day after the closing of a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Class A ordinary shares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8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$18.00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238" w:lineRule="exact"/>
        <w:rPr>
          <w:sz w:val="20"/>
          <w:szCs w:val="20"/>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to each warrant holder; and</w:t>
      </w:r>
    </w:p>
    <w:p>
      <w:pPr>
        <w:spacing w:after="0" w:line="130" w:lineRule="exact"/>
        <w:rPr>
          <w:rFonts w:ascii="Arial" w:cs="Arial" w:eastAsia="Arial" w:hAnsi="Arial"/>
          <w:sz w:val="18"/>
          <w:szCs w:val="18"/>
          <w:color w:val="auto"/>
        </w:rPr>
      </w:pPr>
    </w:p>
    <w:p>
      <w:pPr>
        <w:ind w:left="1080" w:right="320" w:hanging="424"/>
        <w:spacing w:after="0" w:line="34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and only if, the closing price of the Class A ordinary shares equals or exceeds $18.00 per share (as adjusted) for any 20 trading days within a 30-trading day period ending three business days before the Company sends the notice of redemption to the warrant holders.</w:t>
      </w:r>
    </w:p>
    <w:p>
      <w:pPr>
        <w:sectPr>
          <w:pgSz w:w="11900" w:h="16838" w:orient="portrait"/>
          <w:cols w:equalWidth="0" w:num="1">
            <w:col w:w="11100"/>
          </w:cols>
          <w:pgMar w:left="320" w:top="459" w:right="479" w:bottom="1440" w:gutter="0" w:footer="0" w:header="0"/>
        </w:sectPr>
      </w:pP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00"/>
          </w:cols>
          <w:pgMar w:left="320" w:top="459" w:right="4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If and when the warrants become redeemable by the Company, the Company may exercise its redemption right even if it is unable to register or qualify the underlying securities for sale under all applicable state securities laws.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Redemption of warrants when the price per Class A ordinary share equals or exceeds $10.00</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Once the warrants become exercisable, the</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may redeem the outstanding warrants (except as described with respect to the Private Placement Warrants):</w:t>
      </w:r>
    </w:p>
    <w:p>
      <w:pPr>
        <w:spacing w:after="0" w:line="11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at $0.10 per warrant upon a minimum of 30 days’ prior written notice of redemption;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holders will be able to exercise their warrants on a cashless basis prior to redemption and receive that number of shares based on the redemption date and the “fair market value” of the Company’s Class A ordinary shares;</w:t>
      </w:r>
    </w:p>
    <w:p>
      <w:pPr>
        <w:spacing w:after="0" w:line="89"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and only if, the closing price of the Class A ordinary shares equals or exceeds $10.00 per public share (as adjusted) for any 20 trading days within the 30-trading day period ending three trading days before the Company send the notice of redemption of the warrant holders; and</w:t>
      </w:r>
    </w:p>
    <w:p>
      <w:pPr>
        <w:spacing w:after="0" w:line="89" w:lineRule="exact"/>
        <w:rPr>
          <w:rFonts w:ascii="Arial" w:cs="Arial" w:eastAsia="Arial" w:hAnsi="Arial"/>
          <w:sz w:val="18"/>
          <w:szCs w:val="18"/>
          <w:color w:val="auto"/>
        </w:rPr>
      </w:pPr>
    </w:p>
    <w:p>
      <w:pPr>
        <w:jc w:val="both"/>
        <w:ind w:left="1080" w:right="20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closing price of the Class A ordinary shares for any 20 trading days within a 30-trading day period ending on the third trading day prior to the date on which we send the notice of redemption to the warrant holders is less than $18.00 per share (as adjusted), the Private Placement Warrants must also be concurrently called for redemption on the same terms as the outstanding Public Warrants, as described above.</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If the Company calls the Public Warrants for redemption, as described above, its management will have the option to require any holder that wishes to exercise the Public Warrants to do so on a “cashless basis,” as described in the warrant agreement. The exercise price and number of ordinary shares issuable upon exercise of the Public Warrants may be adjusted in certain circumstances including in the event of a share dividend, extraordinary dividend or recapitalization, reorganization, merger or consolidation. However, except as described below, the Public Warrants will not be adjusted for issuances of ordinary shares at a price below its exercise price. Additionally, in no event will the Company be required to net cash settle the Public Warrants. If the Company is unable to complete a Business Combination within the Combination Period and the Company liquidates the funds held in the Trust Account, holders of Public Warrants will not receive any of such funds with respect to their Public Warrants, nor will they receive any distribution from the Company’s assets held outside of the Trust Account with respect to such Public Warrants. Accordingly, the Public Warrants may expire worthless.</w:t>
      </w:r>
    </w:p>
    <w:p>
      <w:pPr>
        <w:spacing w:after="0" w:line="18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addition, if (x) the Company issues additional Class A ordinary shares or equity-linked securities for capital raising purposes in connection with the closing of a Business Combination at an issue price or effective issue price of less than $9.20 per Class A ordinary share (with such issue price or effective issue price to be determined in good faith by the Company’s board of directors and, in the case of any such issuance to the Sponsor or its affiliates, without taking into account any Founder Shares held by the Sponsor or such affiliates, as applicable, prior to such issuance) (the “Newly Issued Price”), (y) the aggregate gross proceeds from such issuances represent more than 60% of the total equity proceeds, and interest thereon, available for the funding of a Business Combination on the date of the consummation of a Business Combination (net of redemptions), and (z) the volume weighted average trading price of the Class A ordinary shares during the 10 trading day period starting on the trading day prior to the day on which the Company consummates a Business Combination (such price, the “Market Value”) is below $9.20 per share, the exercise price of the warrants will be adjusted (to the nearest cent) to be equal to 115% of the higher of the Market Value and the Newly Issued Price, and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7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Private Placement Warrants are identical to the Public Warrants underlying the Units sold in the Initial Public Offering, except that the Private Placement Warrants and the Class A ordinary shares issuable upon the exercise of the Private Placement Warrants will not be transferable, assignable or salable until 30 days after the completion of a Business Combination, subject to certain limited exceptions. Additionally, the Private Placement Warrants will be exercisable on a cashless basis and be non-redeemable, except as described above,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FAIR VALUE MEASUREMENTS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205" w:lineRule="exact"/>
        <w:rPr>
          <w:sz w:val="20"/>
          <w:szCs w:val="20"/>
          <w:color w:val="auto"/>
        </w:rPr>
      </w:pPr>
    </w:p>
    <w:p>
      <w:pPr>
        <w:ind w:left="900" w:hanging="782"/>
        <w:spacing w:after="0" w:line="308" w:lineRule="auto"/>
        <w:tabs>
          <w:tab w:leader="none" w:pos="88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7"/>
          <w:szCs w:val="17"/>
          <w:color w:val="auto"/>
        </w:rPr>
        <w:t>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38" w:lineRule="exact"/>
        <w:rPr>
          <w:sz w:val="20"/>
          <w:szCs w:val="20"/>
          <w:color w:val="auto"/>
        </w:rPr>
      </w:pPr>
    </w:p>
    <w:p>
      <w:pPr>
        <w:ind w:left="900" w:right="680" w:hanging="782"/>
        <w:spacing w:after="0" w:line="277" w:lineRule="auto"/>
        <w:tabs>
          <w:tab w:leader="none" w:pos="880" w:val="left"/>
        </w:tabs>
        <w:rPr>
          <w:sz w:val="20"/>
          <w:szCs w:val="20"/>
          <w:color w:val="auto"/>
        </w:rPr>
      </w:pPr>
      <w:r>
        <w:rPr>
          <w:rFonts w:ascii="Arial" w:cs="Arial" w:eastAsia="Arial" w:hAnsi="Arial"/>
          <w:sz w:val="18"/>
          <w:szCs w:val="18"/>
          <w:color w:val="auto"/>
        </w:rPr>
        <w:t>Level 2:</w:t>
        <w:tab/>
        <w:t>Observable inputs other than Level 1 inputs. Examples of Level 2 inputs include quoted prices in active markets for similar assets or liabilities and quoted prices for identical assets or liabilities in markets that are not active.</w:t>
      </w:r>
    </w:p>
    <w:p>
      <w:pPr>
        <w:spacing w:after="0" w:line="62"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Unobservable inputs based on our assessment of the assumptions that market participants would use in pricing the asset or liability.</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At March 31, 2021 and December 31, 2020, assets held in the Trust Account were comprised of $207,385,917 and $207,376,213 in money market funds which are invested primarily in U.S. Treasury Securities, respectively. Through March 31, 2021, the Company did not withdraw any interest income from the Trust Account.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March 31, 2021, there were 10,368,601 Public Warrants and 6,147,440 Private Placement Warrants outstanding.</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information about the Company’s assets and liabilities that are measured at fair value on a recurring basis at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March 31, 2021 and indicates the fair value hierarchy of the valuation inputs the Company utilized to determine such fair value. The gross holding gains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fair value of held-to-maturity securities at March 31, 2021 are as follows: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0"/>
              </w:rPr>
              <w:t>Quoted Prices</w:t>
            </w:r>
          </w:p>
        </w:tc>
        <w:tc>
          <w:tcPr>
            <w:tcW w:w="2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Significant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in Active</w:t>
            </w:r>
          </w:p>
        </w:tc>
        <w:tc>
          <w:tcPr>
            <w:tcW w:w="2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Observable</w:t>
            </w:r>
          </w:p>
        </w:tc>
        <w:tc>
          <w:tcPr>
            <w:tcW w:w="420" w:type="dxa"/>
            <w:vAlign w:val="bottom"/>
          </w:tcPr>
          <w:p>
            <w:pPr>
              <w:spacing w:after="0"/>
              <w:rPr>
                <w:sz w:val="12"/>
                <w:szCs w:val="12"/>
                <w:color w:val="auto"/>
              </w:rPr>
            </w:pPr>
          </w:p>
        </w:tc>
        <w:tc>
          <w:tcPr>
            <w:tcW w:w="9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8"/>
        </w:trPr>
        <w:tc>
          <w:tcPr>
            <w:tcW w:w="4500" w:type="dxa"/>
            <w:vAlign w:val="bottom"/>
            <w:vMerge w:val="restart"/>
          </w:tcPr>
          <w:p>
            <w:pPr>
              <w:ind w:left="2040"/>
              <w:spacing w:after="0"/>
              <w:rPr>
                <w:sz w:val="20"/>
                <w:szCs w:val="20"/>
                <w:color w:val="auto"/>
              </w:rPr>
            </w:pPr>
            <w:r>
              <w:rPr>
                <w:rFonts w:ascii="Arial" w:cs="Arial" w:eastAsia="Arial" w:hAnsi="Arial"/>
                <w:sz w:val="14"/>
                <w:szCs w:val="14"/>
                <w:b w:val="1"/>
                <w:bCs w:val="1"/>
                <w:color w:val="auto"/>
              </w:rPr>
              <w:t>Description</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8"/>
              </w:rPr>
              <w:t>Markets</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50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27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2)</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50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Assets:</w:t>
            </w:r>
          </w:p>
        </w:tc>
        <w:tc>
          <w:tcPr>
            <w:tcW w:w="6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Cash and marketable securities held in Trust Account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207,385,917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207,385,917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30,691,059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30,691,059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23,114,374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23,114,374</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Warrants were accounted for as liabilities in accordance with ASC 815-40 and are presented within warrant liabilities on the accompanying condensed consolidated balance sheets. The warrant liabilities are measured at fair value at inception and on a recurring basis, with changes in fair value presented within the change in fair value of warrant liabilities in the condensed consolidated statement of operations.</w:t>
      </w:r>
    </w:p>
    <w:p>
      <w:pPr>
        <w:spacing w:after="0" w:line="165"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Private Placement Warrants were valued using a Black-Scholes Option Pricing Model, which is considered to be a Level 3 fair value measurement. The measurement of the Public Warrants after the detachment of the Public Warrants from the Units is classified as Level 1 due to the use of an observable market quote in an active market. For periods subsequent to the detachment of the Public Warrants from the Units, the close price of the Public Warrant price was used as the fair value of the Public Warrants as of each relevant date.</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The following table presents the quantitative information regarding Level 3 fair value measurements:</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2021</w:t>
            </w:r>
          </w:p>
        </w:tc>
        <w:tc>
          <w:tcPr>
            <w:tcW w:w="38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Stock price</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10.08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11.50</w:t>
            </w:r>
          </w:p>
        </w:tc>
        <w:tc>
          <w:tcPr>
            <w:tcW w:w="7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11.50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rate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0.92%</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Volatility</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25.0%</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(in years)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5940" w:type="dxa"/>
            <w:vAlign w:val="bottom"/>
            <w:gridSpan w:val="2"/>
          </w:tcPr>
          <w:p>
            <w:pPr>
              <w:spacing w:after="0"/>
              <w:rPr>
                <w:sz w:val="20"/>
                <w:szCs w:val="20"/>
                <w:color w:val="auto"/>
              </w:rPr>
            </w:pPr>
            <w:r>
              <w:rPr>
                <w:rFonts w:ascii="Arial" w:cs="Arial" w:eastAsia="Arial" w:hAnsi="Arial"/>
                <w:sz w:val="18"/>
                <w:szCs w:val="18"/>
                <w:color w:val="auto"/>
              </w:rPr>
              <w:t>Dividend yield</w:t>
            </w:r>
          </w:p>
        </w:tc>
        <w:tc>
          <w:tcPr>
            <w:tcW w:w="14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0.0%</w:t>
            </w: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418"/>
        </w:trPr>
        <w:tc>
          <w:tcPr>
            <w:tcW w:w="6820" w:type="dxa"/>
            <w:vAlign w:val="bottom"/>
            <w:gridSpan w:val="3"/>
          </w:tcPr>
          <w:p>
            <w:pPr>
              <w:spacing w:after="0"/>
              <w:rPr>
                <w:sz w:val="20"/>
                <w:szCs w:val="20"/>
                <w:color w:val="auto"/>
              </w:rPr>
            </w:pPr>
            <w:r>
              <w:rPr>
                <w:rFonts w:ascii="Arial" w:cs="Arial" w:eastAsia="Arial" w:hAnsi="Arial"/>
                <w:sz w:val="18"/>
                <w:szCs w:val="18"/>
                <w:color w:val="auto"/>
                <w:w w:val="99"/>
              </w:rPr>
              <w:t>The following table presents the changes in the fair value of Level 3 warrant liabilities:</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gridSpan w:val="2"/>
          </w:tcPr>
          <w:p>
            <w:pPr>
              <w:jc w:val="center"/>
              <w:ind w:left="58"/>
              <w:spacing w:after="0"/>
              <w:rPr>
                <w:sz w:val="20"/>
                <w:szCs w:val="20"/>
                <w:color w:val="auto"/>
              </w:rPr>
            </w:pPr>
            <w:r>
              <w:rPr>
                <w:rFonts w:ascii="Arial" w:cs="Arial" w:eastAsia="Arial" w:hAnsi="Arial"/>
                <w:sz w:val="14"/>
                <w:szCs w:val="14"/>
                <w:b w:val="1"/>
                <w:bCs w:val="1"/>
                <w:color w:val="auto"/>
                <w:w w:val="94"/>
              </w:rPr>
              <w:t>Private</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tcPr>
          <w:p>
            <w:pPr>
              <w:jc w:val="center"/>
              <w:ind w:left="58"/>
              <w:spacing w:after="0"/>
              <w:rPr>
                <w:sz w:val="20"/>
                <w:szCs w:val="20"/>
                <w:color w:val="auto"/>
              </w:rPr>
            </w:pPr>
            <w:r>
              <w:rPr>
                <w:rFonts w:ascii="Arial" w:cs="Arial" w:eastAsia="Arial" w:hAnsi="Arial"/>
                <w:sz w:val="14"/>
                <w:szCs w:val="14"/>
                <w:b w:val="1"/>
                <w:bCs w:val="1"/>
                <w:color w:val="auto"/>
                <w:w w:val="91"/>
              </w:rPr>
              <w:t>Placement</w:t>
            </w: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January 1, 2021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$11,003,918</w:t>
            </w:r>
          </w:p>
        </w:tc>
        <w:tc>
          <w:tcPr>
            <w:tcW w:w="30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Change in fair value</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7"/>
              </w:rPr>
              <w:t>12,110,456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44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March 31, 2021</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23,114,374</w:t>
            </w:r>
          </w:p>
        </w:tc>
        <w:tc>
          <w:tcPr>
            <w:tcW w:w="300" w:type="dxa"/>
            <w:vAlign w:val="bottom"/>
            <w:tcBorders>
              <w:left w:val="single" w:sz="8" w:color="CCEEFF"/>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Transfers to and from Levels 1, 2 and 3 are recognized at the end of the reporting period. There were no transfers between levels for the three months ended March 31,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unaudited condensed consolidated financial statements were issued. Based upon this review, the Company did not identify any subsequent events that would have required adjustment or disclosure in the unaudited condensed consolidated financial statements.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440" w:top="125" w:right="5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References in this report (the “Quarterly Report”) to “we,” “us” or the “Company” refer to VPC Impact Acquisition Holdings. References to our “management” or our “management team” refer to our officers and directors, and references to the “Sponsor” refer to VPC Impact Acquisition Holdings Sponsor, LLC. The following discussion and analysis of the Company’s financial condition and results of operations should be read in conjunction with the consolidated financial statements and the notes thereto contained elsewhere in this Quarterly Report. Certain information contained in the discussion and analysis set forth below includes forward-looking statements that involve risks and uncertainties.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This Quarterly Report includes “forward-looking statements” within the meaning of Section 27A of the Securities Act of 1933, as amended (the “Securities Act”) and Section 21E of the Securities Exchange Act of 1934, as amended (the “Exchange Act”) that are not historical facts, and involve risks and uncertainties that could cause actual results to differ materially from those expected and projected. All statements, other than statements of historical fact included in this Form 10-Q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“anticipate,” “believe,” “continue,” “could,” “estimate,” “expect,” “intends,” “may,” “might,” “plan,” “possible,” “potential,” “predict,” “project,” “should,” “would” and variations thereof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Annual Report on Form 10-K/A filed with the U.S. Securities and Exchange Commission (the “SEC”) on May 21, 2021.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We are a blank check company incorporated on July 31, 2020 as a Cayman Islands exempted company for the purpose of effecting a Business Combination. We intend to effectuate our initial Business Combination using cash from the proceeds of our Initial Public Offering and the sale of the private placement warrants, our shares, debt or a combination of cash, equity and debt.</w:t>
      </w:r>
    </w:p>
    <w:p>
      <w:pPr>
        <w:spacing w:after="0" w:line="184"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We expect to continue to incur significant costs in the pursuit of our acquisition plans. We cannot assure you that our plans to complete a Business Combination will be successful.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for Business Combination</w:t>
      </w:r>
    </w:p>
    <w:p>
      <w:pPr>
        <w:spacing w:after="0" w:line="12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January 11, 2021, the Company entered into an Agreement and Plan of Merger (the “Merger Agreement”), with Pylon Merger Company LLC, a Delaware limited liability company and a direct wholly-owned subsidiary of VIH (“Merger Sub”), and Bakkt Holdings, LLC, a Delaware limited liability company (“Bakkt”). The Merger Agreement provides that, among other things and upon the terms and subject to the conditions thereof, the following transactions will occur (together with the other agreements and transactions contemplated by the Merger Agreement, the “Proposed Transaction”):</w:t>
      </w:r>
    </w:p>
    <w:p>
      <w:pPr>
        <w:spacing w:after="0" w:line="80" w:lineRule="exact"/>
        <w:rPr>
          <w:sz w:val="20"/>
          <w:szCs w:val="20"/>
          <w:color w:val="auto"/>
        </w:rPr>
      </w:pPr>
    </w:p>
    <w:p>
      <w:pPr>
        <w:jc w:val="both"/>
        <w:ind w:left="560" w:right="200" w:hanging="4"/>
        <w:spacing w:after="0" w:line="311" w:lineRule="auto"/>
        <w:tabs>
          <w:tab w:leader="none" w:pos="775" w:val="left"/>
        </w:tabs>
        <w:numPr>
          <w:ilvl w:val="0"/>
          <w:numId w:val="6"/>
        </w:numPr>
        <w:rPr>
          <w:rFonts w:ascii="Arial" w:cs="Arial" w:eastAsia="Arial" w:hAnsi="Arial"/>
          <w:sz w:val="16"/>
          <w:szCs w:val="16"/>
          <w:color w:val="auto"/>
        </w:rPr>
      </w:pPr>
      <w:r>
        <w:rPr>
          <w:rFonts w:ascii="Arial" w:cs="Arial" w:eastAsia="Arial" w:hAnsi="Arial"/>
          <w:sz w:val="16"/>
          <w:szCs w:val="16"/>
          <w:color w:val="auto"/>
        </w:rPr>
        <w:t>at the closing of the transactions contemplated by the Merger Agreement (the “Closing”), in accordance with the Delaware Limited Liability Company Act, as amended (“DLLCA”), Merger Sub will merge (the “Merger”) with and into Bakkt, the separate corporate existence of Merger Sub will cease and Bakkt will be the surviving limited liability company, to be renamed Bakkt Opco Holdings, LLC (“Bakkt Opco”);</w:t>
      </w:r>
    </w:p>
    <w:p>
      <w:pPr>
        <w:spacing w:after="0" w:line="40" w:lineRule="exact"/>
        <w:rPr>
          <w:rFonts w:ascii="Arial" w:cs="Arial" w:eastAsia="Arial" w:hAnsi="Arial"/>
          <w:sz w:val="16"/>
          <w:szCs w:val="16"/>
          <w:color w:val="auto"/>
        </w:rPr>
      </w:pPr>
    </w:p>
    <w:p>
      <w:pPr>
        <w:ind w:left="560" w:right="560" w:hanging="4"/>
        <w:spacing w:after="0" w:line="308" w:lineRule="auto"/>
        <w:tabs>
          <w:tab w:leader="none" w:pos="825" w:val="left"/>
        </w:tabs>
        <w:numPr>
          <w:ilvl w:val="0"/>
          <w:numId w:val="6"/>
        </w:numPr>
        <w:rPr>
          <w:rFonts w:ascii="Arial" w:cs="Arial" w:eastAsia="Arial" w:hAnsi="Arial"/>
          <w:sz w:val="17"/>
          <w:szCs w:val="17"/>
          <w:color w:val="auto"/>
        </w:rPr>
      </w:pPr>
      <w:r>
        <w:rPr>
          <w:rFonts w:ascii="Arial" w:cs="Arial" w:eastAsia="Arial" w:hAnsi="Arial"/>
          <w:sz w:val="17"/>
          <w:szCs w:val="17"/>
          <w:color w:val="auto"/>
        </w:rPr>
        <w:t>immediately prior to the closing of the PIPE Investment (as defined below) and the effective time of the Merger, in connection with the Domestication described below, VIH will be renamed “Bakkt Holdings, Inc.” (referred to hereinafter as “Bakkt Pubco”); and</w:t>
      </w:r>
    </w:p>
    <w:p>
      <w:pPr>
        <w:spacing w:after="0" w:line="38" w:lineRule="exact"/>
        <w:rPr>
          <w:rFonts w:ascii="Arial" w:cs="Arial" w:eastAsia="Arial" w:hAnsi="Arial"/>
          <w:sz w:val="17"/>
          <w:szCs w:val="17"/>
          <w:color w:val="auto"/>
        </w:rPr>
      </w:pPr>
    </w:p>
    <w:p>
      <w:pPr>
        <w:ind w:left="560" w:right="60" w:hanging="4"/>
        <w:spacing w:after="0" w:line="263" w:lineRule="auto"/>
        <w:tabs>
          <w:tab w:leader="none" w:pos="875"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a result of the Merger, the aggregate consideration to be received in respect of the Merger by all of the Bakkt interest holders will be an aggregate of 208,200,000 common units of Bakkt Opco (“Bakkt Opco Units”) and 208,200,000 shares of class V common stock of Bakkt PubCo, which will be non-economic, voting shares of Bakkt Pubco.</w:t>
      </w:r>
    </w:p>
    <w:p>
      <w:pPr>
        <w:spacing w:after="0" w:line="18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The board of directors of the Company has unanimously (i) approved the Merger Agreement, the Proposed Transaction and the other transactions contemplated thereby and (ii) resolved to recommend approval of the Merger Agreement and related matters by the shareholders of VIH.</w:t>
      </w:r>
    </w:p>
    <w:p>
      <w:pPr>
        <w:spacing w:after="0" w:line="124"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Prior to the Closing, subject to the approval of our shareholders, and in accordance with the DGCL, Cayman Islands Companies Act (as revised) (the “CICA”) and our amended and restated memorandum and articles of association, we will effect a deregistration under the CICA and a domestication under Section 388 of the DGCL (by means of filing a certificate of domestication with the Secretary of State of Delaware), pursuant to which our jurisdiction of incorporation will be changed from the Cayman Islands to the State of Delaware (the “Domestication”).</w:t>
      </w:r>
    </w:p>
    <w:p>
      <w:pPr>
        <w:spacing w:after="0" w:line="17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Upon the Closing, Bakkt Pubco will be organized in an “Up-C” structure in which substantially all of the assets and the business of Bakkt Pubco will be held by Bakkt Opco and its subsidiaries, and Bakkt Pubco’s only direct assets will consist of Bakkt Opco Units. Assuming no redemptions of public shares in connection with the Proposed Transaction, upon the Closing Bakkt Pubco is expected to own approximately 22% of Bakkt Opco Units and will be the managing member of Bakkt Opco. All remaining Bakkt Opco Units will be owned by the former equity owners of Bakkt (“Bakkt Equity Holders”).</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On January 11, 2021, concurrently with the execution of the Merger Agreement, we entered into subscription agreements with certain investors (collectively, the “PIPE Investors” which include certain existing equity holders of the Company and Bakkt), pursuant to, and on the terms and subject to the conditions of which, the PIPE Investors have collectively subscribed for 32,500,000 Bakkt Pubco Class A Shares for an aggregate purchase price equal to $325,000,000 (the “PIPE Investment”).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consummation of the proposed business combination described herein is subject to certain conditions as further described in the Merger Agreement.</w:t>
      </w:r>
    </w:p>
    <w:p>
      <w:pPr>
        <w:spacing w:after="0" w:line="248"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For more information about the Merger Agreement and the proposed business combination, see our Current Report on Form 8-K filed with the SEC on January 11, 2021 (File No. 001-39544) and the prospectus included in our Registration Statement on Form S-4 filed with the SEC on March 31, 2021 (File No. 333-254935) (the “Bakkt Disclosure Statement”). Unless specifically stated, this Quarterly Report does not give effect to the Proposed Transaction and does not contain the risks associated with the Proposed Transaction. Such risks and effects relating to the Proposed Transaction will be included in the Bakkt Disclosure Statement.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have neither engaged in any operations (other than searching for a Business Combination after our Initial Public Offering and entering into the Merger Agreement described above) nor generated any revenues to date. Our only activities from inception to March 31, 2021 were organizational activities, those necessary to prepare for the Initial Public Offering, described below, and, after the Initial Public Offering, identifying a target company for a Business Combination and entering into the Merger Agreement. We do not expect to generate any operating revenues until after the completion of our Business Combination. We generate non-operating income in the form of interest income on marketable securities held in a trust account (the “Trust Account”). We incur expenses as a result of being a public company (for legal, financial reporting, accounting and auditing compliance), as well as for due diligence expenses in connection with completing a Business Combination.</w:t>
      </w:r>
    </w:p>
    <w:p>
      <w:pPr>
        <w:spacing w:after="0" w:line="177"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For the three months ended March 31, 2021, we had a net loss of $33,671,616, which consisted of formation and operating expenses of $2,393,428 and changes in fair value of warrant liability of $31,292,368, offset by interest earned on investments held in the Trust Account of $9,704 and other income earned of $4,476.</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Until the consummation of the Initial Public Offering, our only source of liquidity was an initial purchase of ordinary shares by the Sponsor and loans from our Sponsor.</w:t>
      </w:r>
    </w:p>
    <w:p>
      <w:pPr>
        <w:spacing w:after="0" w:line="170"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On September 25, 2020, we consummated the Initial Public Offering of 20,000,000 units (the ”Units”), at a price of $10.00 per Unit, generating gross proceeds of $200,000,000. Simultaneously with the closing of the Initial Public Offering, we consummated the sale of 6,000,000 warrants (the “Private Placement Warrants”) to the Sponsor at a price of $1.00 per Private Placement Warrant generating gross proceeds of $6,000,000.</w:t>
      </w:r>
    </w:p>
    <w:p>
      <w:pPr>
        <w:spacing w:after="0" w:line="165"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Following the Initial Public Offering and the sale of the Private Placement Warrants, a total of $200,000,000 was placed in the Trust Account, and we had $1,205,178 of cash held outside of the Trust Account, after payment of costs related to the Initial Public Offering, and available for working capital purposes. We incurred $11,906,606 in transaction costs, including $4,147,440 of underwriting fees, $7,258,021 of deferred underwriting fees and $501,146 of other offering costs.</w:t>
      </w:r>
    </w:p>
    <w:p>
      <w:pPr>
        <w:spacing w:after="0" w:line="187" w:lineRule="exact"/>
        <w:rPr>
          <w:sz w:val="20"/>
          <w:szCs w:val="20"/>
          <w:color w:val="auto"/>
        </w:rPr>
      </w:pPr>
    </w:p>
    <w:p>
      <w:pPr>
        <w:jc w:val="both"/>
        <w:ind w:left="120" w:right="280"/>
        <w:spacing w:after="0" w:line="311" w:lineRule="auto"/>
        <w:rPr>
          <w:sz w:val="20"/>
          <w:szCs w:val="20"/>
          <w:color w:val="auto"/>
        </w:rPr>
      </w:pPr>
      <w:r>
        <w:rPr>
          <w:rFonts w:ascii="Arial" w:cs="Arial" w:eastAsia="Arial" w:hAnsi="Arial"/>
          <w:sz w:val="16"/>
          <w:szCs w:val="16"/>
          <w:color w:val="auto"/>
        </w:rPr>
        <w:t>On October 1, 2020, in connection with the underwriters’ election to partially exercise of their over-allotment option, we consummated the sale of an additional 737,202 Units and the sale of an additional 147,440 Private Placement Warrants, generating total gross proceeds of $7,519,460. A total of $7,372,020 of the net proceeds was deposited into the Trust Account, bringing the aggregate proceeds held in the Trust Account to $207,372,020.</w:t>
      </w:r>
    </w:p>
    <w:p>
      <w:pPr>
        <w:spacing w:after="0" w:line="14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For the three months ended March 31, 2021, net cash used in operating activities was $175,906, which consisted of our net loss of $33,671,616 affected by interest earned on investments of $9,704, changes in fair value of warrant liability of $31,292,368 and changes in operating assets and liabilities, which provided $2,213,046 of cash from operating activities.</w:t>
      </w:r>
    </w:p>
    <w:p>
      <w:pPr>
        <w:spacing w:after="0" w:line="184"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At March 31, 2021, we had investments held in the Trust Account of $207,385,917. We intend to use substantially all of the funds held in the Trust Account, including any amounts representing interest earned on the Trust Account, which interest shall be net of taxes payable and excluding deferred underwriting commissions, to complete our Business Combination. We may withdraw interest from the Trust Account to pay taxes, if any. To the extent that our share capital or debt is used, in whole or in part, as consideration to complete a Business Combination, the remaining proceeds held in the Trust Account will be used as working capital to finance the operations of the target business or businesses, make other acquisitions and pursue our growth strategies.</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At March 31, 2021, we had cash of $1,001,772 held outside of the Trust Account. We intend to use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structure, negotiate and complete a Business Combination.</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order to fund working capital deficiencies or finance transaction costs in connection with a Business Combination, our Sponsor or an affiliate of our Sponsor or certain of our officers and directors may, but are not obligated to, loan us funds as may be required. If we complete a Business Combination, we may repay such loaned amounts out of the proceeds of the Trust Account released to us. In the event that a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do not believe we will need to raise additional funds in order to meet the expenditures required for operating our business. However, if our estimate of the costs of identifying a target business, undertaking in-depth due diligence and negotiating a Business Combination are less than the actual amount necessary to do so, we may have insufficient funds available to operate our business prior to our initial Business Combination. Moreover, we may need to obtain additional financing either to complete our Business Combination or because we become obligated to redeem a significant number of our public shares upon completion of our Business Combination, in which case we may issue additional securities or incur debt in connection with such Business Combination.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March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to pay the Sponsor a monthly fee of $10,000 for office space, utilities, secretarial and administrative support services, provided to the Company. We began incurring these fees on September 25, 2020 and will continue to incur these fees monthly until the earlier of the completion of a Business Combination and the Company’s liquidation.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Underwriting Agreement</w:t>
      </w:r>
    </w:p>
    <w:p>
      <w:pPr>
        <w:spacing w:after="0" w:line="11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 underwriters were paid a cash underwriting discount of $0.20 per Unit, or $4,147,440 in the aggregate. In addition, $0.35 per Public Share, or approximately $7,258,021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preparation of condensed consolidated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condensed consolidated financial statements, and income and expenses during the periods reported. Actual results could materially differ from those estimates. We have identified the following critical accounting policies: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 Liability</w:t>
      </w:r>
    </w:p>
    <w:p>
      <w:pPr>
        <w:spacing w:after="0" w:line="117"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We account for the warrants issued in connection with our Initial Public Offering in accordance with the guidance contained in ASC 815 under which the warrants do not meet the criteria for equity treatment and must be recorded as liabilities. Accordingly, we classify the warrants as liabilities at their fair value and adjust the warrants to fair value at each reporting period. This liability is subject to re-measurement at each balance sheet date until exercised, and any change in fair value is recognized in our statement of operations. The fair value of the warrants was estimated using a Black-Scholes Option Pricing Model. For periods subsequent to the detachment of the Public Warrants from the Units, the close price of the Public Warrant price was used as the fair value of the Public Warrants as of each relevant date.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account for our Class A ordinary shares subject to possible redemption in accordance with the guidance in Accounting Standards Codification (“ASC”) Topic 480 “Distinguishing Liabilities from Equity.” Class A ordinary shares subject to mandatory redemption is classified as a liability instrument and is measured at fair value. Conditionally redeemable ordinary shares (including ordinary shares that features redemption rights that is either within the control of the holder or subject to redemption upon the occurrence of uncertain events not solely within our control) is classified as temporary equity. At all other times, ordinary shares are classified as shareholders’ equity. Our ordinary shares feature certain redemption rights that are considered to be outside of our control and subject to occurrence of uncertain future events. Accordingly, Class A ordinary shares subject to possible redemption is presented as temporary equity, outside of the shareholders’ equity section of our condensed balance sheets.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Income (Loss) Per Ordinary Share</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apply the two-class method in calculating earnings per share. Net income per ordinary share, basic and diluted for Class A redeemable ordinary shares is calculated by dividing the interest income earned on the Trust Account by the weighted average number of Class A redeemable ordinary shares outstanding since original issuance. Net loss per common share, basic and diluted for Class B non-redeemable ordinary shares is calculated by dividing the net income (loss), less income attributable to Class A redeemable ordinary shares, by the weighted average number of Class B non-redeemable ordinary shares outstanding for the periods presented.</w:t>
      </w:r>
    </w:p>
    <w:p>
      <w:pPr>
        <w:sectPr>
          <w:pgSz w:w="11900" w:h="16838" w:orient="portrait"/>
          <w:cols w:equalWidth="0" w:num="1">
            <w:col w:w="11080"/>
          </w:cols>
          <w:pgMar w:left="320" w:top="459" w:right="499" w:bottom="1440" w:gutter="0" w:footer="0" w:header="0"/>
        </w:sectPr>
      </w:pP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080"/>
          </w:cols>
          <w:pgMar w:left="320" w:top="459" w:right="49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our condensed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The Jumpstart Our Business Startups Act of 2012 (the “JOBS Act”)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consolidated financial statements may not be comparable to companies that comply with new or revised accounting pronouncements as of public company effective dates.</w:t>
      </w:r>
    </w:p>
    <w:p>
      <w:pPr>
        <w:spacing w:after="0" w:line="178"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consolidated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our Initial Public Offering or until we are no longer an “emerging growth company,” whichever is earlier.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Our management does not believe there are any other recently issued, but not yet effective, accounting pronouncements, if currently adopted, that would have a material effect on our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otherwise required under this item.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left="120" w:right="220"/>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conducted an evaluation of the effectiveness of our disclosure controls and procedures as of the end of the fiscal quarter ended December 31, 2020, as such term is defined in Rules 13a-15(e) and 15d-15(e) under the Exchange Act. Based on this evaluation, our principal executive officer and principal financial and accounting officer have concluded that during the period covered by this report, our disclosure controls and procedures were not effective, due solely to the material weakness in our internal control over financial reporting described in the Company’s Amendment No. 1 to its Annual Report on Form 10-K/A filed on May 21, 2021) (the “Restatement”). In light of this material weakness, we performed additional analysis as deemed necessary to ensure that our financial statements were prepared in accordance with U.S. generally accepted accounting principles.</w:t>
      </w:r>
    </w:p>
    <w:p>
      <w:pPr>
        <w:spacing w:after="0" w:line="16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Notwithstanding the material weakness, management has concluded that the financial statements included elsewhere in this Quarterly Report present fairly, in all material respects, our financial position, results of operations and cash flows in conformity with GAAP.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Other than as described below, there was no change in our internal control over financial reporting that occurred during the fiscal quarter of 2021 covered by this Quarterly Report on Form 10-Q that has materially affected, or is reasonably likely to materially affect, our internal control over financial reporting. In light of the Restatement,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Factors that could cause our actual results to differ materially from those in this Quarterly Report are any of the risks described in our final Annual Report on Form 10-K/A, filed with the SEC on May 21, 2021.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Annual Report on Form 10-K/A. We may disclose changes to such factors or disclose additional factors from time to time in our future filings with the SEC.</w:t>
      </w:r>
    </w:p>
    <w:p>
      <w:pPr>
        <w:spacing w:after="0" w:line="30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On September 25, 2020, we consummated our Initial Public Offering of 20,000,000 Units. On October 1, 2020, in connection with underwriters’ election to partially exercise their option to purchase additional Units, we sold an additional 737,202 Units., at a price of $10.00 per Unit, generating total gross proceeds of $207,372,020. Jefferies LLC acted as the sole book-running manager. The securities sold in the offering were registered under the Securities Act on registration statements on Form S-1 (No. 333-248619). The registration statements became effective on September 22, 2020.</w:t>
      </w:r>
    </w:p>
    <w:p>
      <w:pPr>
        <w:spacing w:after="0" w:line="157" w:lineRule="exact"/>
        <w:rPr>
          <w:sz w:val="20"/>
          <w:szCs w:val="20"/>
          <w:color w:val="auto"/>
        </w:rPr>
      </w:pPr>
    </w:p>
    <w:p>
      <w:pPr>
        <w:ind w:left="120" w:right="340"/>
        <w:spacing w:after="0" w:line="259" w:lineRule="auto"/>
        <w:rPr>
          <w:sz w:val="20"/>
          <w:szCs w:val="20"/>
          <w:color w:val="auto"/>
        </w:rPr>
      </w:pPr>
      <w:r>
        <w:rPr>
          <w:rFonts w:ascii="Arial" w:cs="Arial" w:eastAsia="Arial" w:hAnsi="Arial"/>
          <w:sz w:val="18"/>
          <w:szCs w:val="18"/>
          <w:color w:val="auto"/>
        </w:rPr>
        <w:t>Simultaneously with the consummation of the Initial Public Offering, and the exercise of the over-allotment option in part and the sale of the Private Placement Warrants, we consummated a private placement of 6,147,440 Private Placement Warrants to our Sponsor at a price of $1.00 per Private Placement Warrant, generating total proceeds of $6,147,440. Such securities were issued pursuant to the exemption from registration contained in Section 4(a)(2) of the Securities Act.</w:t>
      </w:r>
    </w:p>
    <w:p>
      <w:pPr>
        <w:spacing w:after="0" w:line="187"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are not transferable, assignable or salable until 30 days after the completion of a Business Combination, subject to certain limited exceptions.</w:t>
      </w:r>
    </w:p>
    <w:p>
      <w:pPr>
        <w:spacing w:after="0" w:line="184"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Of the gross proceeds received from the Initial Public Offering including the partial exercise of the option to purchase additional Units, and the sale of the Private Placement Warrants, $207,372,020 was placed in the Trust Account.</w:t>
      </w:r>
    </w:p>
    <w:p>
      <w:pPr>
        <w:spacing w:after="0" w:line="17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paid a total of $4,147,440 in underwriting discounts and commissions and $501,146 for other offering costs related to the Initial Public Offering. In addition, the underwriters agreed to defer $7,258,021 in underwriting discounts and commissions.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a description of the use of the proceeds generated in our Initial Public Offering, see Part I, Item 2 of this Form 10-Q.</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400" w:type="dxa"/>
            <w:vAlign w:val="bottom"/>
            <w:gridSpan w:val="15"/>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1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5400" w:type="dxa"/>
            <w:vAlign w:val="bottom"/>
            <w:tcBorders>
              <w:bottom w:val="single" w:sz="8" w:color="auto"/>
            </w:tcBorders>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9980" w:type="dxa"/>
            <w:vAlign w:val="bottom"/>
            <w:gridSpan w:val="19"/>
          </w:tcPr>
          <w:p>
            <w:pPr>
              <w:spacing w:after="0"/>
              <w:rPr>
                <w:rFonts w:ascii="Arial" w:cs="Arial" w:eastAsia="Arial" w:hAnsi="Arial"/>
                <w:sz w:val="18"/>
                <w:szCs w:val="18"/>
                <w:color w:val="0000EE"/>
                <w:w w:val="92"/>
              </w:rPr>
            </w:pPr>
            <w:hyperlink r:id="rId39">
              <w:r>
                <w:rPr>
                  <w:rFonts w:ascii="Arial" w:cs="Arial" w:eastAsia="Arial" w:hAnsi="Arial"/>
                  <w:sz w:val="18"/>
                  <w:szCs w:val="18"/>
                  <w:color w:val="0000EE"/>
                  <w:w w:val="92"/>
                </w:rPr>
                <w:t>Business Combination Agreement, dated as of January 11, 2021, by and among the Company, Pylon Merger Company LLC and Bakkt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4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860" w:type="dxa"/>
            <w:vAlign w:val="bottom"/>
            <w:tcBorders>
              <w:bottom w:val="single" w:sz="8" w:color="0000EE"/>
            </w:tcBorders>
            <w:gridSpan w:val="14"/>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Holdings, LLC (incorporated by reference to Exhibit 2.1 to the Company’s Current Report on Form 8-K (File No. 001-39544), filed with</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rPr>
            </w:pPr>
            <w:hyperlink r:id="rId39">
              <w:r>
                <w:rPr>
                  <w:rFonts w:ascii="Arial" w:cs="Arial" w:eastAsia="Arial" w:hAnsi="Arial"/>
                  <w:sz w:val="18"/>
                  <w:szCs w:val="18"/>
                  <w:color w:val="0000EE"/>
                </w:rPr>
                <w:t>the Securities and Exchange Commission on January 11, 2021).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3.1</w:t>
            </w:r>
          </w:p>
        </w:tc>
        <w:tc>
          <w:tcPr>
            <w:tcW w:w="9980" w:type="dxa"/>
            <w:vAlign w:val="bottom"/>
            <w:gridSpan w:val="19"/>
          </w:tcPr>
          <w:p>
            <w:pPr>
              <w:spacing w:after="0"/>
              <w:rPr>
                <w:rFonts w:ascii="Arial" w:cs="Arial" w:eastAsia="Arial" w:hAnsi="Arial"/>
                <w:sz w:val="18"/>
                <w:szCs w:val="18"/>
                <w:color w:val="0000EE"/>
                <w:w w:val="94"/>
              </w:rPr>
            </w:pPr>
            <w:hyperlink r:id="rId40">
              <w:r>
                <w:rPr>
                  <w:rFonts w:ascii="Arial" w:cs="Arial" w:eastAsia="Arial" w:hAnsi="Arial"/>
                  <w:sz w:val="18"/>
                  <w:szCs w:val="18"/>
                  <w:color w:val="0000EE"/>
                  <w:w w:val="94"/>
                </w:rPr>
                <w:t>Amended and Restated Memorandum and Articles of Association (incorporated by reference to Exhibit 3.1 to the Company’s Current</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6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40">
              <w:r>
                <w:rPr>
                  <w:rFonts w:ascii="Arial" w:cs="Arial" w:eastAsia="Arial" w:hAnsi="Arial"/>
                  <w:sz w:val="18"/>
                  <w:szCs w:val="18"/>
                  <w:color w:val="0000EE"/>
                </w:rPr>
                <w:t>Report on Form 8-K (File No. 001-39544), filed with the Securities and Exchange Commission on September 28, 2020).</w:t>
              </w:r>
            </w:hyperlink>
          </w:p>
        </w:tc>
        <w:tc>
          <w:tcPr>
            <w:tcW w:w="3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4.1</w:t>
            </w:r>
          </w:p>
        </w:tc>
        <w:tc>
          <w:tcPr>
            <w:tcW w:w="9960" w:type="dxa"/>
            <w:vAlign w:val="bottom"/>
            <w:tcBorders>
              <w:bottom w:val="single" w:sz="8" w:color="0000EE"/>
            </w:tcBorders>
            <w:gridSpan w:val="18"/>
          </w:tcPr>
          <w:p>
            <w:pPr>
              <w:spacing w:after="0"/>
              <w:rPr>
                <w:rFonts w:ascii="Arial" w:cs="Arial" w:eastAsia="Arial" w:hAnsi="Arial"/>
                <w:sz w:val="18"/>
                <w:szCs w:val="18"/>
                <w:color w:val="0000EE"/>
                <w:w w:val="91"/>
              </w:rPr>
            </w:pPr>
            <w:hyperlink r:id="rId41">
              <w:r>
                <w:rPr>
                  <w:rFonts w:ascii="Arial" w:cs="Arial" w:eastAsia="Arial" w:hAnsi="Arial"/>
                  <w:sz w:val="18"/>
                  <w:szCs w:val="18"/>
                  <w:color w:val="0000EE"/>
                  <w:w w:val="91"/>
                </w:rPr>
                <w:t>Specimen Unit Certificate (incorporated by reference to Exhibit 4.1 to the Company’s Registration Statement on Amendment No. 1 to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rPr>
            </w:pPr>
            <w:hyperlink r:id="rId41">
              <w:r>
                <w:rPr>
                  <w:rFonts w:ascii="Arial" w:cs="Arial" w:eastAsia="Arial" w:hAnsi="Arial"/>
                  <w:sz w:val="18"/>
                  <w:szCs w:val="18"/>
                  <w:color w:val="0000EE"/>
                </w:rPr>
                <w:t>Form S-1 (File No. 333-248619), filed with the Securities and Exchange Commission on September 16, 2020).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4.2</w:t>
            </w:r>
          </w:p>
        </w:tc>
        <w:tc>
          <w:tcPr>
            <w:tcW w:w="9520" w:type="dxa"/>
            <w:vAlign w:val="bottom"/>
            <w:tcBorders>
              <w:bottom w:val="single" w:sz="8" w:color="0000EE"/>
            </w:tcBorders>
            <w:gridSpan w:val="10"/>
          </w:tcPr>
          <w:p>
            <w:pPr>
              <w:spacing w:after="0"/>
              <w:rPr>
                <w:rFonts w:ascii="Arial" w:cs="Arial" w:eastAsia="Arial" w:hAnsi="Arial"/>
                <w:sz w:val="18"/>
                <w:szCs w:val="18"/>
                <w:color w:val="0000EE"/>
                <w:w w:val="91"/>
              </w:rPr>
            </w:pPr>
            <w:hyperlink r:id="rId42">
              <w:r>
                <w:rPr>
                  <w:rFonts w:ascii="Arial" w:cs="Arial" w:eastAsia="Arial" w:hAnsi="Arial"/>
                  <w:sz w:val="18"/>
                  <w:szCs w:val="18"/>
                  <w:color w:val="0000EE"/>
                  <w:w w:val="91"/>
                </w:rPr>
                <w:t>Specimen Class A Ordinary Share Certificate (incorporated by reference to Exhibit 4.2 to the Company’s Registration Statement on</w:t>
              </w:r>
            </w:hyperlink>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8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42">
              <w:r>
                <w:rPr>
                  <w:rFonts w:ascii="Arial" w:cs="Arial" w:eastAsia="Arial" w:hAnsi="Arial"/>
                  <w:sz w:val="18"/>
                  <w:szCs w:val="18"/>
                  <w:color w:val="0000EE"/>
                  <w:w w:val="91"/>
                </w:rPr>
                <w:t>Amendment No. 1 to the Form S-1 (File No. 333-248619), filed with the Securities and Exchange Commission on September 16, 2020).</w:t>
              </w:r>
            </w:hyperlink>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4.3</w:t>
            </w:r>
          </w:p>
        </w:tc>
        <w:tc>
          <w:tcPr>
            <w:tcW w:w="9980" w:type="dxa"/>
            <w:vAlign w:val="bottom"/>
            <w:gridSpan w:val="19"/>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Specimen Warrant Certificate (incorporated by reference to Exhibit 4.3 to the Company’s Registration Statement on Amendment No. 1 to</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2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43">
              <w:r>
                <w:rPr>
                  <w:rFonts w:ascii="Arial" w:cs="Arial" w:eastAsia="Arial" w:hAnsi="Arial"/>
                  <w:sz w:val="18"/>
                  <w:szCs w:val="18"/>
                  <w:color w:val="0000EE"/>
                  <w:w w:val="90"/>
                </w:rPr>
                <w:t>the Form S-1 (File No. 333-248619), filed with the Securities and Exchange Commission on September 16, 2020).</w:t>
              </w:r>
            </w:hyperlink>
          </w:p>
        </w:tc>
        <w:tc>
          <w:tcPr>
            <w:tcW w:w="1680" w:type="dxa"/>
            <w:vAlign w:val="bottom"/>
            <w:tcBorders>
              <w:top w:val="single" w:sz="8" w:color="0000EE"/>
            </w:tcBorders>
            <w:gridSpan w:val="11"/>
          </w:tcPr>
          <w:p>
            <w:pPr>
              <w:spacing w:after="0"/>
              <w:rPr>
                <w:sz w:val="17"/>
                <w:szCs w:val="17"/>
                <w:color w:val="auto"/>
              </w:rPr>
            </w:pPr>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4.4</w:t>
            </w:r>
          </w:p>
        </w:tc>
        <w:tc>
          <w:tcPr>
            <w:tcW w:w="9980" w:type="dxa"/>
            <w:vAlign w:val="bottom"/>
            <w:gridSpan w:val="19"/>
          </w:tcPr>
          <w:p>
            <w:pPr>
              <w:spacing w:after="0"/>
              <w:rPr>
                <w:rFonts w:ascii="Arial" w:cs="Arial" w:eastAsia="Arial" w:hAnsi="Arial"/>
                <w:sz w:val="18"/>
                <w:szCs w:val="18"/>
                <w:color w:val="0000EE"/>
                <w:w w:val="96"/>
              </w:rPr>
            </w:pPr>
            <w:hyperlink r:id="rId44">
              <w:r>
                <w:rPr>
                  <w:rFonts w:ascii="Arial" w:cs="Arial" w:eastAsia="Arial" w:hAnsi="Arial"/>
                  <w:sz w:val="18"/>
                  <w:szCs w:val="18"/>
                  <w:color w:val="0000EE"/>
                  <w:w w:val="96"/>
                </w:rPr>
                <w:t>Warrant Agreement by and between the Company and Continental Stock Transfer &amp; Trust Company (incorporated by reference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Exhibit 4.1 to the Company’s Current Report on Form 8-K (File No. 001-39544), filed with the Securities and Exchange Commission 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8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September 28, 2020).</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60" w:type="dxa"/>
            <w:vAlign w:val="bottom"/>
            <w:gridSpan w:val="6"/>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9980" w:type="dxa"/>
            <w:vAlign w:val="bottom"/>
            <w:gridSpan w:val="19"/>
          </w:tcPr>
          <w:p>
            <w:pPr>
              <w:spacing w:after="0"/>
              <w:rPr>
                <w:rFonts w:ascii="Arial" w:cs="Arial" w:eastAsia="Arial" w:hAnsi="Arial"/>
                <w:sz w:val="18"/>
                <w:szCs w:val="18"/>
                <w:color w:val="0000EE"/>
                <w:w w:val="95"/>
              </w:rPr>
            </w:pPr>
            <w:hyperlink r:id="rId45">
              <w:r>
                <w:rPr>
                  <w:rFonts w:ascii="Arial" w:cs="Arial" w:eastAsia="Arial" w:hAnsi="Arial"/>
                  <w:sz w:val="18"/>
                  <w:szCs w:val="18"/>
                  <w:color w:val="0000EE"/>
                  <w:w w:val="95"/>
                </w:rPr>
                <w:t>Letter Agreement among the Company, its officers, certain directors, dated as of September 22, 2020 (incorporated by reference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60" w:type="dxa"/>
            <w:vAlign w:val="bottom"/>
            <w:gridSpan w:val="6"/>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760" w:type="dxa"/>
            <w:vAlign w:val="bottom"/>
            <w:tcBorders>
              <w:bottom w:val="single" w:sz="8" w:color="0000EE"/>
            </w:tcBorders>
            <w:gridSpan w:val="13"/>
          </w:tcPr>
          <w:p>
            <w:pPr>
              <w:spacing w:after="0" w:line="19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Exhibit 10.1 to the Company’s Current Report on Form 8-K (File No. 001-39544), filed with the Securities and Exchange Commission</w:t>
              </w:r>
            </w:hyperlink>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178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r:id="rId45">
              <w:r>
                <w:rPr>
                  <w:rFonts w:ascii="Arial" w:cs="Arial" w:eastAsia="Arial" w:hAnsi="Arial"/>
                  <w:sz w:val="18"/>
                  <w:szCs w:val="18"/>
                  <w:color w:val="0000EE"/>
                  <w:w w:val="88"/>
                </w:rPr>
                <w:t>on September 28, 2020).</w:t>
              </w:r>
            </w:hyperlink>
          </w:p>
        </w:tc>
        <w:tc>
          <w:tcPr>
            <w:tcW w:w="82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9980" w:type="dxa"/>
            <w:vAlign w:val="bottom"/>
            <w:gridSpan w:val="19"/>
          </w:tcPr>
          <w:p>
            <w:pPr>
              <w:spacing w:after="0"/>
              <w:rPr>
                <w:rFonts w:ascii="Arial" w:cs="Arial" w:eastAsia="Arial" w:hAnsi="Arial"/>
                <w:sz w:val="18"/>
                <w:szCs w:val="18"/>
                <w:color w:val="0000EE"/>
                <w:w w:val="92"/>
              </w:rPr>
            </w:pPr>
            <w:hyperlink r:id="rId46">
              <w:r>
                <w:rPr>
                  <w:rFonts w:ascii="Arial" w:cs="Arial" w:eastAsia="Arial" w:hAnsi="Arial"/>
                  <w:sz w:val="18"/>
                  <w:szCs w:val="18"/>
                  <w:color w:val="0000EE"/>
                  <w:w w:val="92"/>
                </w:rPr>
                <w:t>Promissory Note issued to VPC Impact Acquisition Holdings Sponsor, LLC (incorporated by reference to Exhibit 10.6 to the Company’s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8100" w:type="dxa"/>
            <w:vAlign w:val="bottom"/>
            <w:gridSpan w:val="1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9980" w:type="dxa"/>
            <w:vAlign w:val="bottom"/>
            <w:gridSpan w:val="19"/>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Registration Statement on Amendment No. 1 to the Form S-1 (File No. 333-248619), filed with the Securities and Exchange Commission</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90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on September 16, 2020).</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1040" w:type="dxa"/>
            <w:vAlign w:val="bottom"/>
          </w:tcPr>
          <w:p>
            <w:pPr>
              <w:spacing w:after="0"/>
              <w:rPr>
                <w:sz w:val="24"/>
                <w:szCs w:val="24"/>
                <w:color w:val="auto"/>
              </w:rPr>
            </w:pPr>
          </w:p>
        </w:tc>
        <w:tc>
          <w:tcPr>
            <w:tcW w:w="1760" w:type="dxa"/>
            <w:vAlign w:val="bottom"/>
            <w:tcBorders>
              <w:top w:val="single" w:sz="8" w:color="0000EE"/>
            </w:tcBorders>
            <w:gridSpan w:val="2"/>
          </w:tcPr>
          <w:p>
            <w:pPr>
              <w:spacing w:after="0"/>
              <w:rPr>
                <w:sz w:val="24"/>
                <w:szCs w:val="24"/>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3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auto"/>
              </w:rPr>
              <w:t>10.3</w:t>
            </w:r>
          </w:p>
        </w:tc>
        <w:tc>
          <w:tcPr>
            <w:tcW w:w="9620" w:type="dxa"/>
            <w:vAlign w:val="bottom"/>
            <w:tcBorders>
              <w:bottom w:val="single" w:sz="8" w:color="0000EE"/>
            </w:tcBorders>
            <w:gridSpan w:val="20"/>
          </w:tcPr>
          <w:p>
            <w:pPr>
              <w:spacing w:after="0"/>
              <w:rPr>
                <w:rFonts w:ascii="Arial" w:cs="Arial" w:eastAsia="Arial" w:hAnsi="Arial"/>
                <w:sz w:val="18"/>
                <w:szCs w:val="18"/>
                <w:color w:val="0000EE"/>
                <w:w w:val="91"/>
              </w:rPr>
            </w:pPr>
            <w:hyperlink r:id="rId48">
              <w:r>
                <w:rPr>
                  <w:rFonts w:ascii="Arial" w:cs="Arial" w:eastAsia="Arial" w:hAnsi="Arial"/>
                  <w:sz w:val="18"/>
                  <w:szCs w:val="18"/>
                  <w:color w:val="0000EE"/>
                  <w:w w:val="91"/>
                </w:rPr>
                <w:t>Registration Rights Agreement, dated September 22, 2020, by and among the Company, VPC Impact Acquisition Holdings Sponsor,</w:t>
              </w:r>
            </w:hyperlink>
          </w:p>
        </w:tc>
        <w:tc>
          <w:tcPr>
            <w:tcW w:w="200" w:type="dxa"/>
            <w:vAlign w:val="bottom"/>
            <w:gridSpan w:val="4"/>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96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48">
              <w:r>
                <w:rPr>
                  <w:rFonts w:ascii="Arial" w:cs="Arial" w:eastAsia="Arial" w:hAnsi="Arial"/>
                  <w:sz w:val="18"/>
                  <w:szCs w:val="18"/>
                  <w:color w:val="0000EE"/>
                  <w:w w:val="91"/>
                </w:rPr>
                <w:t>LLC and the holders party thereto (incorporated by reference to Exhibit 10.3 to the Company’s Current Report on Form 8-K (File No.</w:t>
              </w:r>
            </w:hyperlink>
          </w:p>
        </w:tc>
        <w:tc>
          <w:tcPr>
            <w:tcW w:w="160" w:type="dxa"/>
            <w:vAlign w:val="bottom"/>
            <w:gridSpan w:val="2"/>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6540" w:type="dxa"/>
            <w:vAlign w:val="bottom"/>
            <w:tcBorders>
              <w:bottom w:val="single" w:sz="8" w:color="0000EE"/>
            </w:tcBorders>
            <w:gridSpan w:val="6"/>
          </w:tcPr>
          <w:p>
            <w:pPr>
              <w:ind w:left="40"/>
              <w:spacing w:after="0" w:line="196" w:lineRule="exact"/>
              <w:rPr>
                <w:rFonts w:ascii="Arial" w:cs="Arial" w:eastAsia="Arial" w:hAnsi="Arial"/>
                <w:sz w:val="18"/>
                <w:szCs w:val="18"/>
                <w:color w:val="0000EE"/>
                <w:w w:val="90"/>
              </w:rPr>
            </w:pPr>
            <w:hyperlink r:id="rId48">
              <w:r>
                <w:rPr>
                  <w:rFonts w:ascii="Arial" w:cs="Arial" w:eastAsia="Arial" w:hAnsi="Arial"/>
                  <w:sz w:val="18"/>
                  <w:szCs w:val="18"/>
                  <w:color w:val="0000EE"/>
                  <w:w w:val="90"/>
                </w:rPr>
                <w:t>001-39544), filed with the Securities and Exchange Commission on September 28, 2020).</w:t>
              </w:r>
            </w:hyperlink>
          </w:p>
        </w:tc>
        <w:tc>
          <w:tcPr>
            <w:tcW w:w="3280" w:type="dxa"/>
            <w:vAlign w:val="bottom"/>
            <w:gridSpan w:val="18"/>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10.4</w:t>
            </w:r>
          </w:p>
        </w:tc>
        <w:tc>
          <w:tcPr>
            <w:tcW w:w="9340" w:type="dxa"/>
            <w:vAlign w:val="bottom"/>
            <w:tcBorders>
              <w:bottom w:val="single" w:sz="8" w:color="0000EE"/>
            </w:tcBorders>
            <w:gridSpan w:val="15"/>
          </w:tcPr>
          <w:p>
            <w:pPr>
              <w:spacing w:after="0"/>
              <w:rPr>
                <w:rFonts w:ascii="Arial" w:cs="Arial" w:eastAsia="Arial" w:hAnsi="Arial"/>
                <w:sz w:val="18"/>
                <w:szCs w:val="18"/>
                <w:color w:val="0000EE"/>
                <w:w w:val="91"/>
              </w:rPr>
            </w:pPr>
            <w:hyperlink r:id="rId49">
              <w:r>
                <w:rPr>
                  <w:rFonts w:ascii="Arial" w:cs="Arial" w:eastAsia="Arial" w:hAnsi="Arial"/>
                  <w:sz w:val="18"/>
                  <w:szCs w:val="18"/>
                  <w:color w:val="0000EE"/>
                  <w:w w:val="91"/>
                </w:rPr>
                <w:t>Administrative Service Agreement, dated as of September 22, 2020, by and between the Company and VPC Impact Acquisition</w:t>
              </w:r>
            </w:hyperlink>
          </w:p>
        </w:tc>
        <w:tc>
          <w:tcPr>
            <w:tcW w:w="48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Holdings Sponsor, LLC (incorporated by reference to Exhibit 10.5 to the Company’s Current Report on Form 8-K (File</w:t>
              </w:r>
            </w:hyperlink>
          </w:p>
        </w:tc>
      </w:tr>
      <w:tr>
        <w:trPr>
          <w:trHeight w:val="196"/>
        </w:trPr>
        <w:tc>
          <w:tcPr>
            <w:tcW w:w="118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0"/>
              </w:rPr>
            </w:pPr>
            <w:hyperlink r:id="rId49">
              <w:r>
                <w:rPr>
                  <w:rFonts w:ascii="Arial" w:cs="Arial" w:eastAsia="Arial" w:hAnsi="Arial"/>
                  <w:sz w:val="18"/>
                  <w:szCs w:val="18"/>
                  <w:color w:val="0000EE"/>
                  <w:w w:val="90"/>
                </w:rPr>
                <w:t>No. 001-39544), filed with the Securities and Exchange Commission on September 28, 2020).</w:t>
              </w:r>
            </w:hyperlink>
          </w:p>
        </w:tc>
        <w:tc>
          <w:tcPr>
            <w:tcW w:w="1800" w:type="dxa"/>
            <w:vAlign w:val="bottom"/>
            <w:tcBorders>
              <w:top w:val="single" w:sz="8" w:color="0000EE"/>
            </w:tcBorders>
            <w:gridSpan w:val="4"/>
          </w:tcPr>
          <w:p>
            <w:pPr>
              <w:spacing w:after="0"/>
              <w:rPr>
                <w:sz w:val="17"/>
                <w:szCs w:val="17"/>
                <w:color w:val="auto"/>
              </w:rPr>
            </w:pPr>
          </w:p>
        </w:tc>
        <w:tc>
          <w:tcPr>
            <w:tcW w:w="1220" w:type="dxa"/>
            <w:vAlign w:val="bottom"/>
            <w:gridSpan w:val="12"/>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10.5</w:t>
            </w:r>
          </w:p>
        </w:tc>
        <w:tc>
          <w:tcPr>
            <w:tcW w:w="9820" w:type="dxa"/>
            <w:vAlign w:val="bottom"/>
            <w:gridSpan w:val="24"/>
          </w:tcPr>
          <w:p>
            <w:pPr>
              <w:spacing w:after="0"/>
              <w:rPr>
                <w:rFonts w:ascii="Arial" w:cs="Arial" w:eastAsia="Arial" w:hAnsi="Arial"/>
                <w:sz w:val="18"/>
                <w:szCs w:val="18"/>
                <w:color w:val="0000EE"/>
                <w:w w:val="93"/>
              </w:rPr>
            </w:pPr>
            <w:hyperlink r:id="rId50">
              <w:r>
                <w:rPr>
                  <w:rFonts w:ascii="Arial" w:cs="Arial" w:eastAsia="Arial" w:hAnsi="Arial"/>
                  <w:sz w:val="18"/>
                  <w:szCs w:val="18"/>
                  <w:color w:val="0000EE"/>
                  <w:w w:val="93"/>
                </w:rPr>
                <w:t>Securities Subscription Agreement, dated as of August 3, 2020, by and between the Company and VPC Impact Acquisition Holding</w:t>
              </w:r>
            </w:hyperlink>
          </w:p>
        </w:tc>
      </w:tr>
      <w:tr>
        <w:trPr>
          <w:trHeight w:val="20"/>
        </w:trPr>
        <w:tc>
          <w:tcPr>
            <w:tcW w:w="11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EE"/>
                <w:w w:val="93"/>
              </w:rPr>
            </w:pPr>
            <w:hyperlink r:id="rId50">
              <w:r>
                <w:rPr>
                  <w:rFonts w:ascii="Arial" w:cs="Arial" w:eastAsia="Arial" w:hAnsi="Arial"/>
                  <w:sz w:val="18"/>
                  <w:szCs w:val="18"/>
                  <w:color w:val="0000EE"/>
                  <w:w w:val="93"/>
                </w:rPr>
                <w:t>Sponsor, LLC (incorporated by reference to Exhibit 10.7 to the Company’s Registration Statement on Amendment No. 1 to the Form</w:t>
              </w:r>
            </w:hyperlink>
          </w:p>
        </w:tc>
      </w:tr>
      <w:tr>
        <w:trPr>
          <w:trHeight w:val="196"/>
        </w:trPr>
        <w:tc>
          <w:tcPr>
            <w:tcW w:w="1180" w:type="dxa"/>
            <w:vAlign w:val="bottom"/>
          </w:tcPr>
          <w:p>
            <w:pPr>
              <w:spacing w:after="0"/>
              <w:rPr>
                <w:sz w:val="17"/>
                <w:szCs w:val="17"/>
                <w:color w:val="auto"/>
              </w:rPr>
            </w:pPr>
          </w:p>
        </w:tc>
        <w:tc>
          <w:tcPr>
            <w:tcW w:w="75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50">
              <w:r>
                <w:rPr>
                  <w:rFonts w:ascii="Arial" w:cs="Arial" w:eastAsia="Arial" w:hAnsi="Arial"/>
                  <w:sz w:val="18"/>
                  <w:szCs w:val="18"/>
                  <w:color w:val="0000EE"/>
                  <w:w w:val="90"/>
                </w:rPr>
                <w:t>S-1 (File No. 333-248619), filed with the Securities and Exchange Commission on September 16, 2020).</w:t>
              </w:r>
            </w:hyperlink>
          </w:p>
        </w:tc>
        <w:tc>
          <w:tcPr>
            <w:tcW w:w="2060" w:type="dxa"/>
            <w:vAlign w:val="bottom"/>
            <w:tcBorders>
              <w:top w:val="single" w:sz="8" w:color="0000EE"/>
            </w:tcBorders>
            <w:gridSpan w:val="11"/>
          </w:tcPr>
          <w:p>
            <w:pPr>
              <w:spacing w:after="0"/>
              <w:rPr>
                <w:sz w:val="17"/>
                <w:szCs w:val="17"/>
                <w:color w:val="auto"/>
              </w:rPr>
            </w:pPr>
          </w:p>
        </w:tc>
        <w:tc>
          <w:tcPr>
            <w:tcW w:w="200" w:type="dxa"/>
            <w:vAlign w:val="bottom"/>
            <w:gridSpan w:val="4"/>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10.6</w:t>
            </w:r>
          </w:p>
        </w:tc>
        <w:tc>
          <w:tcPr>
            <w:tcW w:w="9460" w:type="dxa"/>
            <w:vAlign w:val="bottom"/>
            <w:tcBorders>
              <w:bottom w:val="single" w:sz="8" w:color="0000EE"/>
            </w:tcBorders>
            <w:gridSpan w:val="16"/>
          </w:tcPr>
          <w:p>
            <w:pPr>
              <w:spacing w:after="0"/>
              <w:rPr>
                <w:rFonts w:ascii="Arial" w:cs="Arial" w:eastAsia="Arial" w:hAnsi="Arial"/>
                <w:sz w:val="18"/>
                <w:szCs w:val="18"/>
                <w:color w:val="0000EE"/>
                <w:w w:val="91"/>
              </w:rPr>
            </w:pPr>
            <w:hyperlink r:id="rId51">
              <w:r>
                <w:rPr>
                  <w:rFonts w:ascii="Arial" w:cs="Arial" w:eastAsia="Arial" w:hAnsi="Arial"/>
                  <w:sz w:val="18"/>
                  <w:szCs w:val="18"/>
                  <w:color w:val="0000EE"/>
                  <w:w w:val="91"/>
                </w:rPr>
                <w:t>Form of Indemnity Agreement (incorporated by reference to Exhibit 10.5 to the Company’s Registration Statement on Amendment</w:t>
              </w:r>
            </w:hyperlink>
          </w:p>
        </w:tc>
        <w:tc>
          <w:tcPr>
            <w:tcW w:w="360" w:type="dxa"/>
            <w:vAlign w:val="bottom"/>
            <w:gridSpan w:val="8"/>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No. 1 to the Form S-1 (File No. 333-248619), filed with the Securities and Exchange Commission on September 16, 2020).</w:t>
              </w:r>
            </w:hyperlink>
          </w:p>
        </w:tc>
      </w:tr>
      <w:tr>
        <w:trPr>
          <w:trHeight w:val="20"/>
        </w:trPr>
        <w:tc>
          <w:tcPr>
            <w:tcW w:w="11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10.7</w:t>
            </w:r>
          </w:p>
        </w:tc>
        <w:tc>
          <w:tcPr>
            <w:tcW w:w="9580" w:type="dxa"/>
            <w:vAlign w:val="bottom"/>
            <w:tcBorders>
              <w:bottom w:val="single" w:sz="8" w:color="0000EE"/>
            </w:tcBorders>
            <w:gridSpan w:val="18"/>
          </w:tcPr>
          <w:p>
            <w:pPr>
              <w:spacing w:after="0"/>
              <w:rPr>
                <w:rFonts w:ascii="Arial" w:cs="Arial" w:eastAsia="Arial" w:hAnsi="Arial"/>
                <w:sz w:val="18"/>
                <w:szCs w:val="18"/>
                <w:color w:val="0000EE"/>
                <w:w w:val="90"/>
              </w:rPr>
            </w:pPr>
            <w:hyperlink r:id="rId52">
              <w:r>
                <w:rPr>
                  <w:rFonts w:ascii="Arial" w:cs="Arial" w:eastAsia="Arial" w:hAnsi="Arial"/>
                  <w:sz w:val="18"/>
                  <w:szCs w:val="18"/>
                  <w:color w:val="0000EE"/>
                  <w:w w:val="90"/>
                </w:rPr>
                <w:t>Amendment to the Letter Agreement, dated as of January 11, 2021, by and among the Registrant, its executive officers, its directors,</w:t>
              </w:r>
            </w:hyperlink>
          </w:p>
        </w:tc>
        <w:tc>
          <w:tcPr>
            <w:tcW w:w="240" w:type="dxa"/>
            <w:vAlign w:val="bottom"/>
            <w:gridSpan w:val="6"/>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820" w:type="dxa"/>
            <w:vAlign w:val="bottom"/>
            <w:tcBorders>
              <w:bottom w:val="single" w:sz="8" w:color="0000EE"/>
            </w:tcBorders>
            <w:gridSpan w:val="24"/>
          </w:tcPr>
          <w:p>
            <w:pPr>
              <w:spacing w:after="0" w:line="196" w:lineRule="exact"/>
              <w:rPr>
                <w:rFonts w:ascii="Arial" w:cs="Arial" w:eastAsia="Arial" w:hAnsi="Arial"/>
                <w:sz w:val="18"/>
                <w:szCs w:val="18"/>
                <w:color w:val="0000EE"/>
                <w:w w:val="92"/>
              </w:rPr>
            </w:pPr>
            <w:hyperlink r:id="rId52">
              <w:r>
                <w:rPr>
                  <w:rFonts w:ascii="Arial" w:cs="Arial" w:eastAsia="Arial" w:hAnsi="Arial"/>
                  <w:sz w:val="18"/>
                  <w:szCs w:val="18"/>
                  <w:color w:val="0000EE"/>
                  <w:w w:val="92"/>
                </w:rPr>
                <w:t>VPC Impact Acquisition Holdings Sponsor, LLC, and Bakkt Holdings, Inc. (incorporated by reference to Exhibit 10.3 to the Company’s</w:t>
              </w:r>
            </w:hyperlink>
          </w:p>
        </w:tc>
      </w:tr>
      <w:tr>
        <w:trPr>
          <w:trHeight w:val="196"/>
        </w:trPr>
        <w:tc>
          <w:tcPr>
            <w:tcW w:w="1180" w:type="dxa"/>
            <w:vAlign w:val="bottom"/>
          </w:tcPr>
          <w:p>
            <w:pPr>
              <w:spacing w:after="0"/>
              <w:rPr>
                <w:sz w:val="17"/>
                <w:szCs w:val="17"/>
                <w:color w:val="auto"/>
              </w:rPr>
            </w:pPr>
          </w:p>
        </w:tc>
        <w:tc>
          <w:tcPr>
            <w:tcW w:w="908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Current Report on Form 8-K (File No. 001-39544), filed with the Securities and Exchange Commission on January 11, 2021).</w:t>
              </w:r>
            </w:hyperlink>
          </w:p>
        </w:tc>
        <w:tc>
          <w:tcPr>
            <w:tcW w:w="740" w:type="dxa"/>
            <w:vAlign w:val="bottom"/>
            <w:gridSpan w:val="10"/>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10.8</w:t>
            </w:r>
          </w:p>
        </w:tc>
        <w:tc>
          <w:tcPr>
            <w:tcW w:w="9820" w:type="dxa"/>
            <w:vAlign w:val="bottom"/>
            <w:gridSpan w:val="24"/>
          </w:tcPr>
          <w:p>
            <w:pPr>
              <w:spacing w:after="0"/>
              <w:rPr>
                <w:rFonts w:ascii="Arial" w:cs="Arial" w:eastAsia="Arial" w:hAnsi="Arial"/>
                <w:sz w:val="18"/>
                <w:szCs w:val="18"/>
                <w:color w:val="0000EE"/>
                <w:w w:val="94"/>
              </w:rPr>
            </w:pPr>
            <w:hyperlink r:id="rId53">
              <w:r>
                <w:rPr>
                  <w:rFonts w:ascii="Arial" w:cs="Arial" w:eastAsia="Arial" w:hAnsi="Arial"/>
                  <w:sz w:val="18"/>
                  <w:szCs w:val="18"/>
                  <w:color w:val="0000EE"/>
                  <w:w w:val="94"/>
                </w:rPr>
                <w:t>Support Agreement, dated as of January 11, 2021, by and among the Company and the subscribers party thereto (incorporated by</w:t>
              </w:r>
            </w:hyperlink>
          </w:p>
        </w:tc>
      </w:tr>
      <w:tr>
        <w:trPr>
          <w:trHeight w:val="20"/>
        </w:trPr>
        <w:tc>
          <w:tcPr>
            <w:tcW w:w="1180" w:type="dxa"/>
            <w:vAlign w:val="bottom"/>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180" w:type="dxa"/>
            <w:vAlign w:val="bottom"/>
          </w:tcPr>
          <w:p>
            <w:pPr>
              <w:spacing w:after="0"/>
              <w:rPr>
                <w:sz w:val="17"/>
                <w:szCs w:val="17"/>
                <w:color w:val="auto"/>
              </w:rPr>
            </w:pPr>
          </w:p>
        </w:tc>
        <w:tc>
          <w:tcPr>
            <w:tcW w:w="9820" w:type="dxa"/>
            <w:vAlign w:val="bottom"/>
            <w:gridSpan w:val="24"/>
          </w:tcPr>
          <w:p>
            <w:pPr>
              <w:spacing w:after="0" w:line="196" w:lineRule="exact"/>
              <w:rPr>
                <w:rFonts w:ascii="Arial" w:cs="Arial" w:eastAsia="Arial" w:hAnsi="Arial"/>
                <w:sz w:val="18"/>
                <w:szCs w:val="18"/>
                <w:color w:val="0000EE"/>
                <w:w w:val="93"/>
              </w:rPr>
            </w:pPr>
            <w:hyperlink r:id="rId53">
              <w:r>
                <w:rPr>
                  <w:rFonts w:ascii="Arial" w:cs="Arial" w:eastAsia="Arial" w:hAnsi="Arial"/>
                  <w:sz w:val="18"/>
                  <w:szCs w:val="18"/>
                  <w:color w:val="0000EE"/>
                  <w:w w:val="93"/>
                </w:rPr>
                <w:t>reference to Exhibit 10.2 to the Company’s Current Report on Form 8-K (File No. 001-39544), filed with the Securities and Exchange</w:t>
              </w:r>
            </w:hyperlink>
          </w:p>
        </w:tc>
      </w:tr>
      <w:tr>
        <w:trPr>
          <w:trHeight w:val="196"/>
        </w:trPr>
        <w:tc>
          <w:tcPr>
            <w:tcW w:w="1180" w:type="dxa"/>
            <w:vAlign w:val="bottom"/>
          </w:tcPr>
          <w:p>
            <w:pPr>
              <w:spacing w:after="0"/>
              <w:rPr>
                <w:sz w:val="17"/>
                <w:szCs w:val="17"/>
                <w:color w:val="auto"/>
              </w:rPr>
            </w:pPr>
          </w:p>
        </w:tc>
        <w:tc>
          <w:tcPr>
            <w:tcW w:w="2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r:id="rId53">
              <w:r>
                <w:rPr>
                  <w:rFonts w:ascii="Arial" w:cs="Arial" w:eastAsia="Arial" w:hAnsi="Arial"/>
                  <w:sz w:val="18"/>
                  <w:szCs w:val="18"/>
                  <w:color w:val="0000EE"/>
                  <w:w w:val="89"/>
                </w:rPr>
                <w:t>Commission on January 11, 2021).</w:t>
              </w:r>
            </w:hyperlink>
          </w:p>
        </w:tc>
        <w:tc>
          <w:tcPr>
            <w:tcW w:w="7180" w:type="dxa"/>
            <w:vAlign w:val="bottom"/>
            <w:tcBorders>
              <w:top w:val="single" w:sz="8" w:color="0000EE"/>
            </w:tcBorders>
            <w:gridSpan w:val="22"/>
          </w:tcPr>
          <w:p>
            <w:pPr>
              <w:spacing w:after="0"/>
              <w:rPr>
                <w:sz w:val="17"/>
                <w:szCs w:val="17"/>
                <w:color w:val="auto"/>
              </w:rPr>
            </w:pPr>
          </w:p>
        </w:tc>
        <w:tc>
          <w:tcPr>
            <w:tcW w:w="120" w:type="dxa"/>
            <w:vAlign w:val="bottom"/>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10.9</w:t>
            </w:r>
          </w:p>
        </w:tc>
        <w:tc>
          <w:tcPr>
            <w:tcW w:w="9600" w:type="dxa"/>
            <w:vAlign w:val="bottom"/>
            <w:tcBorders>
              <w:bottom w:val="single" w:sz="8" w:color="0000EE"/>
            </w:tcBorders>
            <w:gridSpan w:val="19"/>
          </w:tcPr>
          <w:p>
            <w:pPr>
              <w:spacing w:after="0"/>
              <w:rPr>
                <w:rFonts w:ascii="Arial" w:cs="Arial" w:eastAsia="Arial" w:hAnsi="Arial"/>
                <w:sz w:val="18"/>
                <w:szCs w:val="18"/>
                <w:color w:val="0000EE"/>
                <w:w w:val="90"/>
              </w:rPr>
            </w:pPr>
            <w:hyperlink r:id="rId53">
              <w:r>
                <w:rPr>
                  <w:rFonts w:ascii="Arial" w:cs="Arial" w:eastAsia="Arial" w:hAnsi="Arial"/>
                  <w:sz w:val="18"/>
                  <w:szCs w:val="18"/>
                  <w:color w:val="0000EE"/>
                  <w:w w:val="90"/>
                </w:rPr>
                <w:t>Support Agreement, dated as of January 11, 2021, by and among the Registrant, Intercontinental Exchange Holdings, Inc. and Bakkt</w:t>
              </w:r>
            </w:hyperlink>
          </w:p>
        </w:tc>
        <w:tc>
          <w:tcPr>
            <w:tcW w:w="220" w:type="dxa"/>
            <w:vAlign w:val="bottom"/>
            <w:gridSpan w:val="5"/>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964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Holdings, LLC. (incorporated by reference to Exhibit 10.2 to the Company’s Current Report on Form 8-K (File No. 001-39544), filed</w:t>
              </w:r>
            </w:hyperlink>
          </w:p>
        </w:tc>
        <w:tc>
          <w:tcPr>
            <w:tcW w:w="180" w:type="dxa"/>
            <w:vAlign w:val="bottom"/>
            <w:gridSpan w:val="3"/>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49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53">
              <w:r>
                <w:rPr>
                  <w:rFonts w:ascii="Arial" w:cs="Arial" w:eastAsia="Arial" w:hAnsi="Arial"/>
                  <w:sz w:val="18"/>
                  <w:szCs w:val="18"/>
                  <w:color w:val="0000EE"/>
                  <w:w w:val="89"/>
                </w:rPr>
                <w:t>with the Securities and Exchange Commission on January 11, 2021).</w:t>
              </w:r>
            </w:hyperlink>
          </w:p>
        </w:tc>
        <w:tc>
          <w:tcPr>
            <w:tcW w:w="4860" w:type="dxa"/>
            <w:vAlign w:val="bottom"/>
            <w:gridSpan w:val="21"/>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10.10</w:t>
            </w:r>
          </w:p>
        </w:tc>
        <w:tc>
          <w:tcPr>
            <w:tcW w:w="9340" w:type="dxa"/>
            <w:vAlign w:val="bottom"/>
            <w:tcBorders>
              <w:bottom w:val="single" w:sz="8" w:color="0000EE"/>
            </w:tcBorders>
            <w:gridSpan w:val="15"/>
          </w:tcPr>
          <w:p>
            <w:pPr>
              <w:spacing w:after="0"/>
              <w:rPr>
                <w:rFonts w:ascii="Arial" w:cs="Arial" w:eastAsia="Arial" w:hAnsi="Arial"/>
                <w:sz w:val="18"/>
                <w:szCs w:val="18"/>
                <w:color w:val="0000EE"/>
                <w:w w:val="92"/>
              </w:rPr>
            </w:pPr>
            <w:hyperlink r:id="rId53">
              <w:r>
                <w:rPr>
                  <w:rFonts w:ascii="Arial" w:cs="Arial" w:eastAsia="Arial" w:hAnsi="Arial"/>
                  <w:sz w:val="18"/>
                  <w:szCs w:val="18"/>
                  <w:color w:val="0000EE"/>
                  <w:w w:val="92"/>
                </w:rPr>
                <w:t>Form of Subscription Agreement (incorporated by reference to Exhibit 10.1 to the Company’s Current Report on Form 8-K (File</w:t>
              </w:r>
            </w:hyperlink>
          </w:p>
        </w:tc>
        <w:tc>
          <w:tcPr>
            <w:tcW w:w="480" w:type="dxa"/>
            <w:vAlign w:val="bottom"/>
            <w:gridSpan w:val="9"/>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65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53">
              <w:r>
                <w:rPr>
                  <w:rFonts w:ascii="Arial" w:cs="Arial" w:eastAsia="Arial" w:hAnsi="Arial"/>
                  <w:sz w:val="18"/>
                  <w:szCs w:val="18"/>
                  <w:color w:val="0000EE"/>
                  <w:w w:val="90"/>
                </w:rPr>
                <w:t>No. 001-39544), filed with the Securities and Exchange Commission on January 11, 2021).</w:t>
              </w:r>
            </w:hyperlink>
          </w:p>
        </w:tc>
        <w:tc>
          <w:tcPr>
            <w:tcW w:w="3240" w:type="dxa"/>
            <w:vAlign w:val="bottom"/>
            <w:gridSpan w:val="17"/>
          </w:tcPr>
          <w:p>
            <w:pPr>
              <w:spacing w:after="0"/>
              <w:rPr>
                <w:sz w:val="17"/>
                <w:szCs w:val="17"/>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24*</w:t>
            </w:r>
          </w:p>
        </w:tc>
        <w:tc>
          <w:tcPr>
            <w:tcW w:w="9820" w:type="dxa"/>
            <w:vAlign w:val="bottom"/>
            <w:gridSpan w:val="24"/>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Power of Attorney (included on signature page of this report).</w:t>
              </w:r>
            </w:hyperlink>
          </w:p>
        </w:tc>
      </w:tr>
      <w:tr>
        <w:trPr>
          <w:trHeight w:val="20"/>
        </w:trPr>
        <w:tc>
          <w:tcPr>
            <w:tcW w:w="1180" w:type="dxa"/>
            <w:vAlign w:val="bottom"/>
          </w:tcPr>
          <w:p>
            <w:pPr>
              <w:spacing w:after="0" w:line="20" w:lineRule="exact"/>
              <w:rPr>
                <w:sz w:val="1"/>
                <w:szCs w:val="1"/>
                <w:color w:val="auto"/>
              </w:rPr>
            </w:pPr>
          </w:p>
        </w:tc>
        <w:tc>
          <w:tcPr>
            <w:tcW w:w="4460" w:type="dxa"/>
            <w:vAlign w:val="bottom"/>
            <w:gridSpan w:val="2"/>
            <w:shd w:val="clear" w:color="auto" w:fill="0000EE"/>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31.1*</w:t>
            </w:r>
          </w:p>
        </w:tc>
        <w:tc>
          <w:tcPr>
            <w:tcW w:w="9820" w:type="dxa"/>
            <w:vAlign w:val="bottom"/>
            <w:gridSpan w:val="2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Certification of the Chief Executive Officer required by Rule 13a-14(a) or Rule 15d-14(a).</w:t>
              </w:r>
            </w:hyperlink>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31.2*</w:t>
            </w:r>
          </w:p>
        </w:tc>
        <w:tc>
          <w:tcPr>
            <w:tcW w:w="64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the Chief Financial Officer required by Rule 13a-14(a) or Rule 15d-14(a).</w:t>
              </w:r>
            </w:hyperlink>
          </w:p>
        </w:tc>
        <w:tc>
          <w:tcPr>
            <w:tcW w:w="40" w:type="dxa"/>
            <w:vAlign w:val="bottom"/>
            <w:tcBorders>
              <w:top w:val="single" w:sz="8" w:color="0000EE"/>
            </w:tcBorders>
          </w:tcPr>
          <w:p>
            <w:pPr>
              <w:spacing w:after="0"/>
              <w:rPr>
                <w:sz w:val="24"/>
                <w:szCs w:val="24"/>
                <w:color w:val="auto"/>
              </w:rPr>
            </w:pPr>
          </w:p>
        </w:tc>
        <w:tc>
          <w:tcPr>
            <w:tcW w:w="3300" w:type="dxa"/>
            <w:vAlign w:val="bottom"/>
            <w:gridSpan w:val="19"/>
          </w:tcPr>
          <w:p>
            <w:pPr>
              <w:spacing w:after="0"/>
              <w:rPr>
                <w:sz w:val="24"/>
                <w:szCs w:val="24"/>
                <w:color w:val="auto"/>
              </w:rPr>
            </w:pPr>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32.1**</w:t>
            </w:r>
          </w:p>
        </w:tc>
        <w:tc>
          <w:tcPr>
            <w:tcW w:w="982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Certification of the Chief Executive Officer required by Rule 13a-14(b) or Rule 15d-14(b) and 18 U.S.C. 1350.</w:t>
              </w:r>
            </w:hyperlink>
          </w:p>
        </w:tc>
      </w:tr>
      <w:tr>
        <w:trPr>
          <w:trHeight w:val="304"/>
        </w:trPr>
        <w:tc>
          <w:tcPr>
            <w:tcW w:w="1180" w:type="dxa"/>
            <w:vAlign w:val="bottom"/>
          </w:tcPr>
          <w:p>
            <w:pPr>
              <w:spacing w:after="0"/>
              <w:rPr>
                <w:sz w:val="20"/>
                <w:szCs w:val="20"/>
                <w:color w:val="auto"/>
              </w:rPr>
            </w:pPr>
            <w:r>
              <w:rPr>
                <w:rFonts w:ascii="Arial" w:cs="Arial" w:eastAsia="Arial" w:hAnsi="Arial"/>
                <w:sz w:val="18"/>
                <w:szCs w:val="18"/>
                <w:color w:val="auto"/>
              </w:rPr>
              <w:t>32.2**</w:t>
            </w:r>
          </w:p>
        </w:tc>
        <w:tc>
          <w:tcPr>
            <w:tcW w:w="79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the Chief Financial Officer required by Rule 13a-14(b) or Rule 15d-14(b) and 18 U.S.C. 1350.</w:t>
              </w:r>
            </w:hyperlink>
          </w:p>
        </w:tc>
        <w:tc>
          <w:tcPr>
            <w:tcW w:w="40" w:type="dxa"/>
            <w:vAlign w:val="bottom"/>
            <w:tcBorders>
              <w:top w:val="single" w:sz="8" w:color="0000EE"/>
            </w:tcBorders>
          </w:tcPr>
          <w:p>
            <w:pPr>
              <w:spacing w:after="0"/>
              <w:rPr>
                <w:sz w:val="24"/>
                <w:szCs w:val="24"/>
                <w:color w:val="auto"/>
              </w:rPr>
            </w:pPr>
          </w:p>
        </w:tc>
        <w:tc>
          <w:tcPr>
            <w:tcW w:w="1820" w:type="dxa"/>
            <w:vAlign w:val="bottom"/>
            <w:gridSpan w:val="13"/>
          </w:tcPr>
          <w:p>
            <w:pPr>
              <w:spacing w:after="0"/>
              <w:rPr>
                <w:sz w:val="24"/>
                <w:szCs w:val="24"/>
                <w:color w:val="auto"/>
              </w:rPr>
            </w:pPr>
          </w:p>
        </w:tc>
      </w:tr>
      <w:tr>
        <w:trPr>
          <w:trHeight w:val="345"/>
        </w:trPr>
        <w:tc>
          <w:tcPr>
            <w:tcW w:w="1180" w:type="dxa"/>
            <w:vAlign w:val="bottom"/>
          </w:tcPr>
          <w:p>
            <w:pPr>
              <w:spacing w:after="0"/>
              <w:rPr>
                <w:sz w:val="20"/>
                <w:szCs w:val="20"/>
                <w:color w:val="auto"/>
              </w:rPr>
            </w:pPr>
            <w:r>
              <w:rPr>
                <w:rFonts w:ascii="Arial" w:cs="Arial" w:eastAsia="Arial" w:hAnsi="Arial"/>
                <w:sz w:val="18"/>
                <w:szCs w:val="18"/>
                <w:color w:val="auto"/>
              </w:rPr>
              <w:t>101.INS*</w:t>
            </w:r>
          </w:p>
        </w:tc>
        <w:tc>
          <w:tcPr>
            <w:tcW w:w="9820" w:type="dxa"/>
            <w:vAlign w:val="bottom"/>
            <w:gridSpan w:val="2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101.SCH*</w:t>
            </w:r>
          </w:p>
        </w:tc>
        <w:tc>
          <w:tcPr>
            <w:tcW w:w="9820" w:type="dxa"/>
            <w:vAlign w:val="bottom"/>
            <w:gridSpan w:val="2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101.CAL*</w:t>
            </w:r>
          </w:p>
        </w:tc>
        <w:tc>
          <w:tcPr>
            <w:tcW w:w="9820" w:type="dxa"/>
            <w:vAlign w:val="bottom"/>
            <w:gridSpan w:val="2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101.DEF*</w:t>
            </w:r>
          </w:p>
        </w:tc>
        <w:tc>
          <w:tcPr>
            <w:tcW w:w="9820" w:type="dxa"/>
            <w:vAlign w:val="bottom"/>
            <w:gridSpan w:val="2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180" w:type="dxa"/>
            <w:vAlign w:val="bottom"/>
          </w:tcPr>
          <w:p>
            <w:pPr>
              <w:spacing w:after="0"/>
              <w:rPr>
                <w:sz w:val="20"/>
                <w:szCs w:val="20"/>
                <w:color w:val="auto"/>
              </w:rPr>
            </w:pPr>
            <w:r>
              <w:rPr>
                <w:rFonts w:ascii="Arial" w:cs="Arial" w:eastAsia="Arial" w:hAnsi="Arial"/>
                <w:sz w:val="18"/>
                <w:szCs w:val="18"/>
                <w:color w:val="auto"/>
              </w:rPr>
              <w:t>101.LAB*</w:t>
            </w:r>
          </w:p>
        </w:tc>
        <w:tc>
          <w:tcPr>
            <w:tcW w:w="9820" w:type="dxa"/>
            <w:vAlign w:val="bottom"/>
            <w:gridSpan w:val="2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1180" w:type="dxa"/>
            <w:vAlign w:val="bottom"/>
          </w:tcPr>
          <w:p>
            <w:pPr>
              <w:spacing w:after="0"/>
              <w:rPr>
                <w:sz w:val="24"/>
                <w:szCs w:val="24"/>
                <w:color w:val="auto"/>
              </w:rPr>
            </w:pPr>
          </w:p>
        </w:tc>
        <w:tc>
          <w:tcPr>
            <w:tcW w:w="4460" w:type="dxa"/>
            <w:vAlign w:val="bottom"/>
            <w:gridSpan w:val="2"/>
          </w:tcPr>
          <w:p>
            <w:pPr>
              <w:ind w:left="4240"/>
              <w:spacing w:after="0"/>
              <w:rPr>
                <w:sz w:val="20"/>
                <w:szCs w:val="20"/>
                <w:color w:val="auto"/>
              </w:rPr>
            </w:pPr>
            <w:r>
              <w:rPr>
                <w:rFonts w:ascii="Arial" w:cs="Arial" w:eastAsia="Arial" w:hAnsi="Arial"/>
                <w:sz w:val="18"/>
                <w:szCs w:val="18"/>
                <w:color w:val="auto"/>
                <w:w w:val="99"/>
              </w:rPr>
              <w:t>23</w:t>
            </w: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110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XBRL Taxonomy Extension Presentation Linkbase Document</w:t>
      </w:r>
    </w:p>
    <w:p>
      <w:pPr>
        <w:spacing w:after="0" w:line="252" w:lineRule="exact"/>
        <w:rPr>
          <w:sz w:val="20"/>
          <w:szCs w:val="20"/>
          <w:color w:val="auto"/>
        </w:rPr>
      </w:pPr>
    </w:p>
    <w:p>
      <w:pPr>
        <w:ind w:left="540" w:right="180" w:hanging="424"/>
        <w:spacing w:after="0" w:line="258"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Certain of the exhibits and schedules to this Exhibit have been omitted in accordance with Regulation S-K Item 601(a)(5). The Registrant agrees to furnish a copy of all omitted exhibits and schedules to the SEC upon its request.</w:t>
      </w:r>
    </w:p>
    <w:p>
      <w:pPr>
        <w:spacing w:after="0" w:line="1" w:lineRule="exact"/>
        <w:rPr>
          <w:sz w:val="20"/>
          <w:szCs w:val="20"/>
          <w:color w:val="auto"/>
        </w:rPr>
      </w:pPr>
    </w:p>
    <w:p>
      <w:pPr>
        <w:ind w:left="540" w:hanging="424"/>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rFonts w:ascii="Arial" w:cs="Arial" w:eastAsia="Arial" w:hAnsi="Arial"/>
          <w:sz w:val="18"/>
          <w:szCs w:val="18"/>
          <w:color w:val="auto"/>
        </w:rPr>
      </w:pPr>
    </w:p>
    <w:p>
      <w:pPr>
        <w:ind w:left="540" w:right="40" w:hanging="424"/>
        <w:spacing w:after="0" w:line="255"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VPC IMPACT ACQUISITION HOLDINGS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Date: May 24, 2021</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John Martin</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John Martin</w:t>
            </w:r>
          </w:p>
        </w:tc>
      </w:tr>
      <w:tr>
        <w:trPr>
          <w:trHeight w:val="216"/>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45"/>
        </w:trPr>
        <w:tc>
          <w:tcPr>
            <w:tcW w:w="6060" w:type="dxa"/>
            <w:vAlign w:val="bottom"/>
          </w:tcPr>
          <w:p>
            <w:pPr>
              <w:spacing w:after="0"/>
              <w:rPr>
                <w:sz w:val="20"/>
                <w:szCs w:val="20"/>
                <w:color w:val="auto"/>
              </w:rPr>
            </w:pPr>
            <w:r>
              <w:rPr>
                <w:rFonts w:ascii="Arial" w:cs="Arial" w:eastAsia="Arial" w:hAnsi="Arial"/>
                <w:sz w:val="18"/>
                <w:szCs w:val="18"/>
                <w:color w:val="auto"/>
              </w:rPr>
              <w:t>Date: May 24, 2021</w:t>
            </w:r>
          </w:p>
        </w:tc>
        <w:tc>
          <w:tcPr>
            <w:tcW w:w="49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Olibia Stamatoglou</w:t>
            </w:r>
          </w:p>
        </w:tc>
      </w:tr>
      <w:tr>
        <w:trPr>
          <w:trHeight w:val="195"/>
        </w:trPr>
        <w:tc>
          <w:tcPr>
            <w:tcW w:w="6060" w:type="dxa"/>
            <w:vAlign w:val="bottom"/>
          </w:tcPr>
          <w:p>
            <w:pPr>
              <w:ind w:left="5520"/>
              <w:spacing w:after="0" w:line="195" w:lineRule="exact"/>
              <w:rPr>
                <w:sz w:val="20"/>
                <w:szCs w:val="20"/>
                <w:color w:val="auto"/>
              </w:rPr>
            </w:pPr>
            <w:r>
              <w:rPr>
                <w:rFonts w:ascii="Arial" w:cs="Arial" w:eastAsia="Arial" w:hAnsi="Arial"/>
                <w:sz w:val="18"/>
                <w:szCs w:val="18"/>
                <w:color w:val="auto"/>
                <w:w w:val="98"/>
              </w:rPr>
              <w:t>Name:</w:t>
            </w:r>
          </w:p>
        </w:tc>
        <w:tc>
          <w:tcPr>
            <w:tcW w:w="4960" w:type="dxa"/>
            <w:vAlign w:val="bottom"/>
          </w:tcPr>
          <w:p>
            <w:pPr>
              <w:ind w:left="100"/>
              <w:spacing w:after="0" w:line="195" w:lineRule="exact"/>
              <w:rPr>
                <w:sz w:val="20"/>
                <w:szCs w:val="20"/>
                <w:color w:val="auto"/>
              </w:rPr>
            </w:pPr>
            <w:r>
              <w:rPr>
                <w:rFonts w:ascii="Arial" w:cs="Arial" w:eastAsia="Arial" w:hAnsi="Arial"/>
                <w:sz w:val="18"/>
                <w:szCs w:val="18"/>
                <w:color w:val="auto"/>
              </w:rPr>
              <w:t>Olibia Stamatoglou</w:t>
            </w:r>
          </w:p>
        </w:tc>
      </w:tr>
      <w:tr>
        <w:trPr>
          <w:trHeight w:val="216"/>
        </w:trPr>
        <w:tc>
          <w:tcPr>
            <w:tcW w:w="6060" w:type="dxa"/>
            <w:vAlign w:val="bottom"/>
          </w:tcPr>
          <w:p>
            <w:pPr>
              <w:ind w:left="5520"/>
              <w:spacing w:after="0"/>
              <w:rPr>
                <w:sz w:val="20"/>
                <w:szCs w:val="20"/>
                <w:color w:val="auto"/>
              </w:rPr>
            </w:pPr>
            <w:r>
              <w:rPr>
                <w:rFonts w:ascii="Arial" w:cs="Arial" w:eastAsia="Arial" w:hAnsi="Arial"/>
                <w:sz w:val="18"/>
                <w:szCs w:val="18"/>
                <w:color w:val="auto"/>
              </w:rPr>
              <w:t>Title:</w:t>
            </w:r>
          </w:p>
        </w:tc>
        <w:tc>
          <w:tcPr>
            <w:tcW w:w="496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606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r>
        <w:trPr>
          <w:trHeight w:val="378"/>
        </w:trPr>
        <w:tc>
          <w:tcPr>
            <w:tcW w:w="6060" w:type="dxa"/>
            <w:vAlign w:val="bottom"/>
          </w:tcPr>
          <w:p>
            <w:pPr>
              <w:ind w:left="5420"/>
              <w:spacing w:after="0"/>
              <w:rPr>
                <w:sz w:val="20"/>
                <w:szCs w:val="20"/>
                <w:color w:val="auto"/>
              </w:rPr>
            </w:pPr>
            <w:r>
              <w:rPr>
                <w:rFonts w:ascii="Arial" w:cs="Arial" w:eastAsia="Arial" w:hAnsi="Arial"/>
                <w:sz w:val="18"/>
                <w:szCs w:val="18"/>
                <w:color w:val="auto"/>
              </w:rPr>
              <w:t>24</w:t>
            </w:r>
          </w:p>
        </w:tc>
        <w:tc>
          <w:tcPr>
            <w:tcW w:w="49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Martin, certify that:</w:t>
      </w:r>
    </w:p>
    <w:p>
      <w:pPr>
        <w:spacing w:after="0" w:line="131"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VPC Impact Acquisition Holdings;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May 24, 2021</w:t>
            </w:r>
          </w:p>
        </w:tc>
        <w:tc>
          <w:tcPr>
            <w:tcW w:w="7020" w:type="dxa"/>
            <w:vAlign w:val="bottom"/>
            <w:gridSpan w:val="2"/>
          </w:tcPr>
          <w:p>
            <w:pPr>
              <w:ind w:left="2580"/>
              <w:spacing w:after="0"/>
              <w:rPr>
                <w:sz w:val="20"/>
                <w:szCs w:val="20"/>
                <w:color w:val="auto"/>
              </w:rPr>
            </w:pPr>
            <w:r>
              <w:rPr>
                <w:rFonts w:ascii="Arial" w:cs="Arial" w:eastAsia="Arial" w:hAnsi="Arial"/>
                <w:sz w:val="18"/>
                <w:szCs w:val="18"/>
                <w:color w:val="auto"/>
              </w:rPr>
              <w:t>By: /s/ John Martin</w:t>
            </w:r>
          </w:p>
        </w:tc>
      </w:tr>
      <w:tr>
        <w:trPr>
          <w:trHeight w:val="195"/>
        </w:trPr>
        <w:tc>
          <w:tcPr>
            <w:tcW w:w="40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Martin</w:t>
            </w:r>
          </w:p>
        </w:tc>
      </w:tr>
      <w:tr>
        <w:trPr>
          <w:trHeight w:val="216"/>
        </w:trPr>
        <w:tc>
          <w:tcPr>
            <w:tcW w:w="4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4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0"/>
          </w:cols>
          <w:pgMar w:left="440" w:top="121"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Olibia Stamatoglou, certify that:</w:t>
      </w:r>
    </w:p>
    <w:p>
      <w:pPr>
        <w:spacing w:after="0" w:line="131"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VPC Impact Acquisition Holdings;</w:t>
      </w:r>
    </w:p>
    <w:p>
      <w:pPr>
        <w:spacing w:after="0" w:line="130" w:lineRule="exact"/>
        <w:rPr>
          <w:rFonts w:ascii="Arial" w:cs="Arial" w:eastAsia="Arial" w:hAnsi="Arial"/>
          <w:sz w:val="18"/>
          <w:szCs w:val="18"/>
          <w:color w:val="auto"/>
        </w:rPr>
      </w:pPr>
    </w:p>
    <w:p>
      <w:pPr>
        <w:ind w:left="960" w:right="60" w:hanging="53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960" w:right="340" w:hanging="532"/>
        <w:spacing w:after="0" w:line="342" w:lineRule="auto"/>
        <w:tabs>
          <w:tab w:leader="none" w:pos="9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9" w:lineRule="exact"/>
        <w:rPr>
          <w:rFonts w:ascii="Arial" w:cs="Arial" w:eastAsia="Arial" w:hAnsi="Arial"/>
          <w:sz w:val="16"/>
          <w:szCs w:val="16"/>
          <w:color w:val="auto"/>
        </w:rPr>
      </w:pPr>
    </w:p>
    <w:p>
      <w:pPr>
        <w:ind w:left="960" w:right="540" w:hanging="532"/>
        <w:spacing w:after="0" w:line="277"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0" w:hanging="439"/>
        <w:spacing w:after="0"/>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130" w:lineRule="exact"/>
        <w:rPr>
          <w:rFonts w:ascii="Arial" w:cs="Arial" w:eastAsia="Arial" w:hAnsi="Arial"/>
          <w:sz w:val="18"/>
          <w:szCs w:val="18"/>
          <w:color w:val="auto"/>
        </w:rPr>
      </w:pPr>
    </w:p>
    <w:p>
      <w:pPr>
        <w:ind w:left="1420" w:right="180" w:hanging="439"/>
        <w:spacing w:after="0" w:line="263" w:lineRule="auto"/>
        <w:tabs>
          <w:tab w:leader="none" w:pos="1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0" w:right="280" w:hanging="439"/>
        <w:spacing w:after="0" w:line="286" w:lineRule="auto"/>
        <w:tabs>
          <w:tab w:leader="none" w:pos="14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0" w:lineRule="exact"/>
        <w:rPr>
          <w:rFonts w:ascii="Arial" w:cs="Arial" w:eastAsia="Arial" w:hAnsi="Arial"/>
          <w:sz w:val="17"/>
          <w:szCs w:val="17"/>
          <w:color w:val="auto"/>
        </w:rPr>
      </w:pPr>
    </w:p>
    <w:p>
      <w:pPr>
        <w:ind w:left="960" w:right="260" w:hanging="532"/>
        <w:spacing w:after="0" w:line="263"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9" w:lineRule="exact"/>
        <w:rPr>
          <w:sz w:val="20"/>
          <w:szCs w:val="20"/>
          <w:color w:val="auto"/>
        </w:rPr>
      </w:pPr>
    </w:p>
    <w:p>
      <w:pPr>
        <w:ind w:left="1420" w:right="120" w:hanging="439"/>
        <w:spacing w:after="0" w:line="342" w:lineRule="auto"/>
        <w:tabs>
          <w:tab w:leader="none" w:pos="14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0" w:right="400" w:hanging="439"/>
        <w:spacing w:after="0" w:line="277" w:lineRule="auto"/>
        <w:tabs>
          <w:tab w:leader="none" w:pos="1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May 24, 2021</w:t>
            </w:r>
          </w:p>
        </w:tc>
        <w:tc>
          <w:tcPr>
            <w:tcW w:w="7020" w:type="dxa"/>
            <w:vAlign w:val="bottom"/>
            <w:gridSpan w:val="2"/>
          </w:tcPr>
          <w:p>
            <w:pPr>
              <w:ind w:left="2580"/>
              <w:spacing w:after="0"/>
              <w:rPr>
                <w:sz w:val="20"/>
                <w:szCs w:val="20"/>
                <w:color w:val="auto"/>
              </w:rPr>
            </w:pPr>
            <w:r>
              <w:rPr>
                <w:rFonts w:ascii="Arial" w:cs="Arial" w:eastAsia="Arial" w:hAnsi="Arial"/>
                <w:sz w:val="18"/>
                <w:szCs w:val="18"/>
                <w:color w:val="auto"/>
              </w:rPr>
              <w:t>By: /s/ Olibia Stamatoglou</w:t>
            </w:r>
          </w:p>
        </w:tc>
      </w:tr>
      <w:tr>
        <w:trPr>
          <w:trHeight w:val="195"/>
        </w:trPr>
        <w:tc>
          <w:tcPr>
            <w:tcW w:w="40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Olibia Stamatoglou</w:t>
            </w:r>
          </w:p>
        </w:tc>
      </w:tr>
      <w:tr>
        <w:trPr>
          <w:trHeight w:val="216"/>
        </w:trPr>
        <w:tc>
          <w:tcPr>
            <w:tcW w:w="4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4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020"/>
          </w:cols>
          <w:pgMar w:left="440" w:top="121" w:right="439" w:bottom="1440" w:gutter="0" w:footer="0" w:header="0"/>
        </w:sectPr>
      </w:pPr>
    </w:p>
    <w:bookmarkStart w:id="31" w:name="page32"/>
    <w:bookmarkEnd w:id="31"/>
    <w:p>
      <w:pPr>
        <w:ind w:left="1008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connection with the Quarterly Report of VPC Impact Acquisition Holdings (the “Company”) on Form 10-Q for the quarterly period ended March 31, 2021, as filed with the Securities and Exchange Commission (the “Report”), I, John Martin, Chief Executive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May 24, 2021</w:t>
            </w:r>
          </w:p>
        </w:tc>
        <w:tc>
          <w:tcPr>
            <w:tcW w:w="7020" w:type="dxa"/>
            <w:vAlign w:val="bottom"/>
            <w:gridSpan w:val="2"/>
          </w:tcPr>
          <w:p>
            <w:pPr>
              <w:ind w:left="2580"/>
              <w:spacing w:after="0"/>
              <w:rPr>
                <w:sz w:val="20"/>
                <w:szCs w:val="20"/>
                <w:color w:val="auto"/>
              </w:rPr>
            </w:pPr>
            <w:r>
              <w:rPr>
                <w:rFonts w:ascii="Arial" w:cs="Arial" w:eastAsia="Arial" w:hAnsi="Arial"/>
                <w:sz w:val="18"/>
                <w:szCs w:val="18"/>
                <w:color w:val="auto"/>
              </w:rPr>
              <w:t>By: /s/ John Martin</w:t>
            </w:r>
          </w:p>
        </w:tc>
      </w:tr>
      <w:tr>
        <w:trPr>
          <w:trHeight w:val="195"/>
        </w:trPr>
        <w:tc>
          <w:tcPr>
            <w:tcW w:w="40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John Martin</w:t>
            </w:r>
          </w:p>
        </w:tc>
      </w:tr>
      <w:tr>
        <w:trPr>
          <w:trHeight w:val="216"/>
        </w:trPr>
        <w:tc>
          <w:tcPr>
            <w:tcW w:w="4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30"/>
        </w:trPr>
        <w:tc>
          <w:tcPr>
            <w:tcW w:w="4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020"/>
          </w:cols>
          <w:pgMar w:left="440" w:top="121" w:right="4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ADDED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 connection with the Quarterly Report of VPC Impact Acquisition Holdings (the “Company”) on Form 10-Q for the quarterly period ended March 31, 2021, as filed with the Securities and Exchange Commission (the “Report”), I, Olibia Stamatoglou, Chief Financial Officer of the Company, certify, pursuant to 18 U.S.C. §1350, as added by §906 of the Sarbanes-Oxley Act of 2002, that:</w:t>
      </w:r>
    </w:p>
    <w:p>
      <w:pPr>
        <w:spacing w:after="0" w:line="89"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May 24, 2021</w:t>
            </w:r>
          </w:p>
        </w:tc>
        <w:tc>
          <w:tcPr>
            <w:tcW w:w="7020" w:type="dxa"/>
            <w:vAlign w:val="bottom"/>
            <w:gridSpan w:val="2"/>
          </w:tcPr>
          <w:p>
            <w:pPr>
              <w:ind w:left="2580"/>
              <w:spacing w:after="0"/>
              <w:rPr>
                <w:sz w:val="20"/>
                <w:szCs w:val="20"/>
                <w:color w:val="auto"/>
              </w:rPr>
            </w:pPr>
            <w:r>
              <w:rPr>
                <w:rFonts w:ascii="Arial" w:cs="Arial" w:eastAsia="Arial" w:hAnsi="Arial"/>
                <w:sz w:val="18"/>
                <w:szCs w:val="18"/>
                <w:color w:val="auto"/>
              </w:rPr>
              <w:t>By: /s/ Olibia Stamatoglou</w:t>
            </w:r>
          </w:p>
        </w:tc>
      </w:tr>
      <w:tr>
        <w:trPr>
          <w:trHeight w:val="195"/>
        </w:trPr>
        <w:tc>
          <w:tcPr>
            <w:tcW w:w="400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1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Olibia Stamatoglou</w:t>
            </w:r>
          </w:p>
        </w:tc>
      </w:tr>
      <w:tr>
        <w:trPr>
          <w:trHeight w:val="216"/>
        </w:trPr>
        <w:tc>
          <w:tcPr>
            <w:tcW w:w="40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30"/>
        </w:trPr>
        <w:tc>
          <w:tcPr>
            <w:tcW w:w="40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1."/>
      <w:numFmt w:val="decimal"/>
      <w:start w:val="1"/>
    </w:lvl>
    <w:lvl w:ilvl="1">
      <w:lvlJc w:val="left"/>
      <w:lvlText w:val="%2)"/>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47" Type="http://schemas.openxmlformats.org/officeDocument/2006/relationships/image" Target="media/image32.png"/><Relationship Id="rId54" Type="http://schemas.openxmlformats.org/officeDocument/2006/relationships/image" Target="media/image33.png"/><Relationship Id="rId39" Type="http://schemas.openxmlformats.org/officeDocument/2006/relationships/hyperlink" Target="http://www.sec.gov/Archives/edgar/data/0001820302/000119312521005832/d913171dex21.htm" TargetMode="External"/><Relationship Id="rId40" Type="http://schemas.openxmlformats.org/officeDocument/2006/relationships/hyperlink" Target="http://www.sec.gov/Archives/edgar/data/0001820302/000119312520256308/d38926dex31.htm" TargetMode="External"/><Relationship Id="rId41" Type="http://schemas.openxmlformats.org/officeDocument/2006/relationships/hyperlink" Target="http://www.sec.gov/Archives/edgar/data/0001820302/000119312520247281/d10733dex41.htm" TargetMode="External"/><Relationship Id="rId42" Type="http://schemas.openxmlformats.org/officeDocument/2006/relationships/hyperlink" Target="http://www.sec.gov/Archives/edgar/data/0001820302/000119312520247281/d10733dex42.htm" TargetMode="External"/><Relationship Id="rId43" Type="http://schemas.openxmlformats.org/officeDocument/2006/relationships/hyperlink" Target="http://www.sec.gov/Archives/edgar/data/0001820302/000119312520247281/d10733dex43.htm" TargetMode="External"/><Relationship Id="rId44" Type="http://schemas.openxmlformats.org/officeDocument/2006/relationships/hyperlink" Target="http://www.sec.gov/Archives/edgar/data/0001820302/000119312520256308/d38926dex41.htm" TargetMode="External"/><Relationship Id="rId45" Type="http://schemas.openxmlformats.org/officeDocument/2006/relationships/hyperlink" Target="http://www.sec.gov/Archives/edgar/data/1820302/000119312520256308/d38926dex101.htm" TargetMode="External"/><Relationship Id="rId46" Type="http://schemas.openxmlformats.org/officeDocument/2006/relationships/hyperlink" Target="http://www.sec.gov/Archives/edgar/data/0001820302/000119312520247281/d10733dex106.htm" TargetMode="External"/><Relationship Id="rId48" Type="http://schemas.openxmlformats.org/officeDocument/2006/relationships/hyperlink" Target="http://www.sec.gov/Archives/edgar/data/0001820302/000119312520256308/d38926dex103.htm" TargetMode="External"/><Relationship Id="rId49" Type="http://schemas.openxmlformats.org/officeDocument/2006/relationships/hyperlink" Target="http://www.sec.gov/Archives/edgar/data/0001820302/000119312520256308/d38926dex105.htm" TargetMode="External"/><Relationship Id="rId50" Type="http://schemas.openxmlformats.org/officeDocument/2006/relationships/hyperlink" Target="http://www.sec.gov/Archives/edgar/data/0001820302/000119312520247281/d10733dex107.htm" TargetMode="External"/><Relationship Id="rId51" Type="http://schemas.openxmlformats.org/officeDocument/2006/relationships/hyperlink" Target="http://www.sec.gov/Archives/edgar/data/0001820302/000119312520247281/d10733dex105.htm" TargetMode="External"/><Relationship Id="rId52" Type="http://schemas.openxmlformats.org/officeDocument/2006/relationships/hyperlink" Target="http://www.sec.gov/Archives/edgar/data/0001820302/000119312521005832/d913171dex103.htm" TargetMode="External"/><Relationship Id="rId53" Type="http://schemas.openxmlformats.org/officeDocument/2006/relationships/hyperlink" Target="http://www.sec.gov/Archives/edgar/data/0001820302/000119312521005832/d913171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2021-05-24T07:57:48Z</dcterms:created>
  <dcterms:modified xsi:type="dcterms:W3CDTF">2021-05-24T07:57:48Z</dcterms:modified>
</cp:coreProperties>
</file>