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2"/>
            <w:u w:val="none"/>
            <w:effect w:val="non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____________________</w:t>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FORM 10-K</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6"/>
              </w:rPr>
            </w:pPr>
            <w:r>
              <w:rPr>
                <w:rFonts w:ascii="Wingdings;sans-serif" w:hAnsi="Wingdings;sans-serif"/>
                <w:b/>
                <w:color w:val="000000"/>
                <w:sz w:val="16"/>
              </w:rPr>
              <w:t>x</w:t>
            </w:r>
          </w:p>
        </w:tc>
        <w:tc>
          <w:tcPr>
            <w:tcW w:w="8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_________________ to _______________________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001-39544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Bakkt Holdings,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98-1550750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10000 Avalon Boulevard, Suite 1000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Alpharetta, Georgia</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30009</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(678) 534-5849</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1426"/>
        <w:gridCol w:w="1251"/>
        <w:gridCol w:w="1268"/>
        <w:gridCol w:w="294"/>
        <w:gridCol w:w="294"/>
        <w:gridCol w:w="296"/>
        <w:gridCol w:w="970"/>
        <w:gridCol w:w="970"/>
        <w:gridCol w:w="137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par value $0.0001 per share</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 to purchase Class A Common Stock</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BKKT WS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12(g) of the Act: None </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Indicate by check mark if the registrant is a well-known seasoned issuer, as defined in Rule 405 of the Securities Act.</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Indicate by check mark if the registrant is not required to file reports pursuant to Section 13 or Section 15(d) of the Act.</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o</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ind w:left="0" w:right="0" w:firstLine="360"/>
        <w:jc w:val="left"/>
        <w:rPr/>
      </w:pPr>
      <w:r>
        <w:rPr>
          <w:rFonts w:ascii="Times New Roman;sans-serif" w:hAnsi="Times New Roman;sans-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equity held by non-affiliates of the registrant as of June 30, 2023 was approximately $107.5 million. Shares of the registrant’s Class A Common Stock and shares of the registrant’s Class V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pStyle w:val="TextBody"/>
        <w:bidi w:val="0"/>
        <w:spacing w:lineRule="auto" w:line="288" w:before="120" w:after="283"/>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March 18, 2024, there were 141,798,069 shares of the registrant’s Class A common stock, 179,883,479 shares of Class V common stock, and 7,140,808 public warrants issued and outstanding.</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Documents Incorporated by Reference</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Portions of the registrant’s Proxy Statement relating to the 2024 Annual Meeting of Stockholders are incorporated by reference into Part III of this Annual Report on Form 10-K. The Proxy Statement will be filed with the Securities and Exchange Commission within 120 days after the end of the registrant’s fiscal year ended December 31, 2023.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right"/>
        <w:tblInd w:w="0" w:type="dxa"/>
        <w:tblLayout w:type="fixed"/>
        <w:tblCellMar>
          <w:top w:w="28" w:type="dxa"/>
          <w:left w:w="28" w:type="dxa"/>
          <w:bottom w:w="28" w:type="dxa"/>
          <w:right w:w="28" w:type="dxa"/>
        </w:tblCellMar>
      </w:tblPr>
      <w:tblGrid>
        <w:gridCol w:w="288"/>
        <w:gridCol w:w="253"/>
        <w:gridCol w:w="254"/>
        <w:gridCol w:w="2941"/>
        <w:gridCol w:w="2929"/>
        <w:gridCol w:w="2966"/>
        <w:gridCol w:w="167"/>
        <w:gridCol w:w="167"/>
        <w:gridCol w:w="24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3">
              <w:r>
                <w:rPr>
                  <w:rStyle w:val="InternetLink"/>
                  <w:rFonts w:ascii="Times New Roman;sans-serif" w:hAnsi="Times New Roman;sans-serif"/>
                  <w:b/>
                  <w:strike w:val="false"/>
                  <w:dstrike w:val="false"/>
                  <w:color w:val="000000"/>
                  <w:sz w:val="20"/>
                  <w:u w:val="none"/>
                  <w:effect w:val="none"/>
                </w:rPr>
                <w:t>PART I</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6">
              <w:r>
                <w:rPr>
                  <w:rStyle w:val="InternetLink"/>
                  <w:rFonts w:ascii="Times New Roman;sans-serif" w:hAnsi="Times New Roman;sans-serif"/>
                  <w:b w:val="false"/>
                  <w:strike w:val="false"/>
                  <w:dstrike w:val="false"/>
                  <w:color w:val="000000"/>
                  <w:sz w:val="20"/>
                  <w:u w:val="none"/>
                  <w:effect w:val="none"/>
                </w:rPr>
                <w:t>Item 1.</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6">
              <w:r>
                <w:rPr>
                  <w:rStyle w:val="InternetLink"/>
                  <w:rFonts w:ascii="Times New Roman;sans-serif" w:hAnsi="Times New Roman;sans-serif"/>
                  <w:b w:val="false"/>
                  <w:strike w:val="false"/>
                  <w:dstrike w:val="false"/>
                  <w:color w:val="000000"/>
                  <w:sz w:val="20"/>
                  <w:u w:val="none"/>
                  <w:effect w:val="none"/>
                </w:rPr>
                <w:t>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16">
              <w:r>
                <w:rPr>
                  <w:rStyle w:val="InternetLink"/>
                  <w:rFonts w:ascii="Times New Roman;sans-serif" w:hAnsi="Times New Roman;sans-serif"/>
                  <w:b w:val="false"/>
                  <w:strike w:val="false"/>
                  <w:dstrike w:val="false"/>
                  <w:color w:val="000000"/>
                  <w:sz w:val="20"/>
                  <w:u w:val="none"/>
                  <w:effect w:val="none"/>
                </w:rPr>
                <w:t>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9">
              <w:r>
                <w:rPr>
                  <w:rStyle w:val="InternetLink"/>
                  <w:rFonts w:ascii="Times New Roman;sans-serif" w:hAnsi="Times New Roman;sans-serif"/>
                  <w:b w:val="false"/>
                  <w:strike w:val="false"/>
                  <w:dstrike w:val="false"/>
                  <w:color w:val="000000"/>
                  <w:sz w:val="20"/>
                  <w:u w:val="none"/>
                  <w:effect w:val="none"/>
                </w:rPr>
                <w:t>Item 1A.</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9">
              <w:r>
                <w:rPr>
                  <w:rStyle w:val="InternetLink"/>
                  <w:rFonts w:ascii="Times New Roman;sans-serif" w:hAnsi="Times New Roman;sans-serif"/>
                  <w:b w:val="false"/>
                  <w:strike w:val="false"/>
                  <w:dstrike w:val="false"/>
                  <w:color w:val="000000"/>
                  <w:sz w:val="20"/>
                  <w:u w:val="none"/>
                  <w:effect w:val="non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19">
              <w:r>
                <w:rPr>
                  <w:rStyle w:val="InternetLink"/>
                  <w:rFonts w:ascii="Times New Roman;sans-serif" w:hAnsi="Times New Roman;sans-serif"/>
                  <w:b w:val="false"/>
                  <w:strike w:val="false"/>
                  <w:dstrike w:val="false"/>
                  <w:color w:val="000000"/>
                  <w:sz w:val="20"/>
                  <w:u w:val="none"/>
                  <w:effect w:val="none"/>
                </w:rPr>
                <w:t>27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
              <w:r>
                <w:rPr>
                  <w:rStyle w:val="InternetLink"/>
                  <w:rFonts w:ascii="Times New Roman;sans-serif" w:hAnsi="Times New Roman;sans-serif"/>
                  <w:b w:val="false"/>
                  <w:strike w:val="false"/>
                  <w:dstrike w:val="false"/>
                  <w:color w:val="000000"/>
                  <w:sz w:val="20"/>
                  <w:u w:val="none"/>
                  <w:effect w:val="none"/>
                </w:rPr>
                <w:t>Item 1B.</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
              <w:r>
                <w:rPr>
                  <w:rStyle w:val="InternetLink"/>
                  <w:rFonts w:ascii="Times New Roman;sans-serif" w:hAnsi="Times New Roman;sans-serif"/>
                  <w:b w:val="false"/>
                  <w:strike w:val="false"/>
                  <w:dstrike w:val="false"/>
                  <w:color w:val="000000"/>
                  <w:sz w:val="20"/>
                  <w:u w:val="none"/>
                  <w:effect w:val="non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2">
              <w:r>
                <w:rPr>
                  <w:rStyle w:val="InternetLink"/>
                  <w:rFonts w:ascii="Times New Roman;sans-serif" w:hAnsi="Times New Roman;sans-serif"/>
                  <w:b w:val="false"/>
                  <w:strike w:val="false"/>
                  <w:dstrike w:val="false"/>
                  <w:color w:val="000000"/>
                  <w:sz w:val="20"/>
                  <w:u w:val="none"/>
                  <w:effect w:val="non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1128">
              <w:r>
                <w:rPr>
                  <w:rStyle w:val="InternetLink"/>
                  <w:rFonts w:ascii="Times New Roman;sans-serif" w:hAnsi="Times New Roman;sans-serif"/>
                  <w:b w:val="false"/>
                  <w:strike w:val="false"/>
                  <w:dstrike w:val="false"/>
                  <w:color w:val="000000"/>
                  <w:sz w:val="20"/>
                  <w:u w:val="none"/>
                  <w:effect w:val="none"/>
                </w:rPr>
                <w:t>73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5">
              <w:r>
                <w:rPr>
                  <w:rStyle w:val="InternetLink"/>
                  <w:rFonts w:ascii="Times New Roman;sans-serif" w:hAnsi="Times New Roman;sans-serif"/>
                  <w:b w:val="false"/>
                  <w:strike w:val="false"/>
                  <w:dstrike w:val="false"/>
                  <w:color w:val="000000"/>
                  <w:sz w:val="20"/>
                  <w:u w:val="none"/>
                  <w:effect w:val="none"/>
                </w:rPr>
                <w:t>Item 2.</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5">
              <w:r>
                <w:rPr>
                  <w:rStyle w:val="InternetLink"/>
                  <w:rFonts w:ascii="Times New Roman;sans-serif" w:hAnsi="Times New Roman;sans-serif"/>
                  <w:b w:val="false"/>
                  <w:strike w:val="false"/>
                  <w:dstrike w:val="false"/>
                  <w:color w:val="000000"/>
                  <w:sz w:val="20"/>
                  <w:u w:val="none"/>
                  <w:effect w:val="non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5">
              <w:r>
                <w:rPr>
                  <w:rStyle w:val="InternetLink"/>
                  <w:rFonts w:ascii="Times New Roman;sans-serif" w:hAnsi="Times New Roman;sans-serif"/>
                  <w:b w:val="false"/>
                  <w:strike w:val="false"/>
                  <w:dstrike w:val="false"/>
                  <w:color w:val="000000"/>
                  <w:sz w:val="20"/>
                  <w:u w:val="none"/>
                  <w:effect w:val="none"/>
                </w:rPr>
                <w:t>75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8">
              <w:r>
                <w:rPr>
                  <w:rStyle w:val="InternetLink"/>
                  <w:rFonts w:ascii="Times New Roman;sans-serif" w:hAnsi="Times New Roman;sans-serif"/>
                  <w:b w:val="false"/>
                  <w:strike w:val="false"/>
                  <w:dstrike w:val="false"/>
                  <w:color w:val="000000"/>
                  <w:sz w:val="20"/>
                  <w:u w:val="none"/>
                  <w:effect w:val="none"/>
                </w:rPr>
                <w:t>Item 3.</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8">
              <w:r>
                <w:rPr>
                  <w:rStyle w:val="InternetLink"/>
                  <w:rFonts w:ascii="Times New Roman;sans-serif" w:hAnsi="Times New Roman;sans-serif"/>
                  <w:b w:val="false"/>
                  <w:strike w:val="false"/>
                  <w:dstrike w:val="false"/>
                  <w:color w:val="000000"/>
                  <w:sz w:val="20"/>
                  <w:u w:val="none"/>
                  <w:effect w:val="non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8">
              <w:r>
                <w:rPr>
                  <w:rStyle w:val="InternetLink"/>
                  <w:rFonts w:ascii="Times New Roman;sans-serif" w:hAnsi="Times New Roman;sans-serif"/>
                  <w:b w:val="false"/>
                  <w:strike w:val="false"/>
                  <w:dstrike w:val="false"/>
                  <w:color w:val="000000"/>
                  <w:sz w:val="20"/>
                  <w:u w:val="none"/>
                  <w:effect w:val="none"/>
                </w:rPr>
                <w:t>75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31">
              <w:r>
                <w:rPr>
                  <w:rStyle w:val="InternetLink"/>
                  <w:rFonts w:ascii="Times New Roman;sans-serif" w:hAnsi="Times New Roman;sans-serif"/>
                  <w:b w:val="false"/>
                  <w:strike w:val="false"/>
                  <w:dstrike w:val="false"/>
                  <w:color w:val="000000"/>
                  <w:sz w:val="20"/>
                  <w:u w:val="none"/>
                  <w:effect w:val="none"/>
                </w:rPr>
                <w:t>Item 4.</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31">
              <w:r>
                <w:rPr>
                  <w:rStyle w:val="InternetLink"/>
                  <w:rFonts w:ascii="Times New Roman;sans-serif" w:hAnsi="Times New Roman;sans-serif"/>
                  <w:b w:val="false"/>
                  <w:strike w:val="false"/>
                  <w:dstrike w:val="false"/>
                  <w:color w:val="000000"/>
                  <w:sz w:val="20"/>
                  <w:u w:val="none"/>
                  <w:effect w:val="none"/>
                </w:rPr>
                <w:t>Mine Safety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31">
              <w:r>
                <w:rPr>
                  <w:rStyle w:val="InternetLink"/>
                  <w:rFonts w:ascii="Times New Roman;sans-serif" w:hAnsi="Times New Roman;sans-serif"/>
                  <w:b w:val="false"/>
                  <w:strike w:val="false"/>
                  <w:dstrike w:val="false"/>
                  <w:color w:val="000000"/>
                  <w:sz w:val="20"/>
                  <w:u w:val="none"/>
                  <w:effect w:val="none"/>
                </w:rPr>
                <w:t>76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34">
              <w:r>
                <w:rPr>
                  <w:rStyle w:val="InternetLink"/>
                  <w:rFonts w:ascii="Times New Roman;sans-serif" w:hAnsi="Times New Roman;sans-serif"/>
                  <w:b/>
                  <w:strike w:val="false"/>
                  <w:dstrike w:val="false"/>
                  <w:color w:val="000000"/>
                  <w:sz w:val="20"/>
                  <w:u w:val="none"/>
                  <w:effect w:val="none"/>
                </w:rPr>
                <w:t>PART II</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37">
              <w:r>
                <w:rPr>
                  <w:rStyle w:val="InternetLink"/>
                  <w:rFonts w:ascii="Times New Roman;sans-serif" w:hAnsi="Times New Roman;sans-serif"/>
                  <w:b w:val="false"/>
                  <w:strike w:val="false"/>
                  <w:dstrike w:val="false"/>
                  <w:color w:val="000000"/>
                  <w:sz w:val="20"/>
                  <w:u w:val="none"/>
                  <w:effect w:val="none"/>
                </w:rPr>
                <w:t>Item 5.</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37">
              <w:r>
                <w:rPr>
                  <w:rStyle w:val="InternetLink"/>
                  <w:rFonts w:ascii="Times New Roman;sans-serif" w:hAnsi="Times New Roman;sans-serif"/>
                  <w:b w:val="false"/>
                  <w:strike w:val="false"/>
                  <w:dstrike w:val="false"/>
                  <w:color w:val="000000"/>
                  <w:sz w:val="20"/>
                  <w:u w:val="none"/>
                  <w:effect w:val="none"/>
                </w:rPr>
                <w:t>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37">
              <w:r>
                <w:rPr>
                  <w:rStyle w:val="InternetLink"/>
                  <w:rFonts w:ascii="Times New Roman;sans-serif" w:hAnsi="Times New Roman;sans-serif"/>
                  <w:b w:val="false"/>
                  <w:strike w:val="false"/>
                  <w:dstrike w:val="false"/>
                  <w:color w:val="000000"/>
                  <w:sz w:val="20"/>
                  <w:u w:val="none"/>
                  <w:effect w:val="none"/>
                </w:rPr>
                <w:t>77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40">
              <w:r>
                <w:rPr>
                  <w:rStyle w:val="InternetLink"/>
                  <w:rFonts w:ascii="Times New Roman;sans-serif" w:hAnsi="Times New Roman;sans-serif"/>
                  <w:b w:val="false"/>
                  <w:strike w:val="false"/>
                  <w:dstrike w:val="false"/>
                  <w:color w:val="000000"/>
                  <w:sz w:val="20"/>
                  <w:u w:val="none"/>
                  <w:effect w:val="none"/>
                </w:rPr>
                <w:t>Item 7.</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4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40">
              <w:r>
                <w:rPr>
                  <w:rStyle w:val="InternetLink"/>
                  <w:rFonts w:ascii="Times New Roman;sans-serif" w:hAnsi="Times New Roman;sans-serif"/>
                  <w:b w:val="false"/>
                  <w:strike w:val="false"/>
                  <w:dstrike w:val="false"/>
                  <w:color w:val="000000"/>
                  <w:sz w:val="20"/>
                  <w:u w:val="none"/>
                  <w:effect w:val="none"/>
                </w:rPr>
                <w:t>77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97">
              <w:r>
                <w:rPr>
                  <w:rStyle w:val="InternetLink"/>
                  <w:rFonts w:ascii="Times New Roman;sans-serif" w:hAnsi="Times New Roman;sans-serif"/>
                  <w:b w:val="false"/>
                  <w:strike w:val="false"/>
                  <w:dstrike w:val="false"/>
                  <w:color w:val="000000"/>
                  <w:sz w:val="20"/>
                  <w:u w:val="none"/>
                  <w:effect w:val="none"/>
                </w:rPr>
                <w:t>Item 7A.</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97">
              <w:r>
                <w:rPr>
                  <w:rStyle w:val="InternetLink"/>
                  <w:rFonts w:ascii="Times New Roman;sans-serif" w:hAnsi="Times New Roman;sans-serif"/>
                  <w:b w:val="false"/>
                  <w:strike w:val="false"/>
                  <w:dstrike w:val="false"/>
                  <w:color w:val="000000"/>
                  <w:sz w:val="20"/>
                  <w:u w:val="none"/>
                  <w:effect w:val="none"/>
                </w:rPr>
                <w:t>Qualitative and Quantitative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97">
              <w:r>
                <w:rPr>
                  <w:rStyle w:val="InternetLink"/>
                  <w:rFonts w:ascii="Times New Roman;sans-serif" w:hAnsi="Times New Roman;sans-serif"/>
                  <w:b w:val="false"/>
                  <w:strike w:val="false"/>
                  <w:dstrike w:val="false"/>
                  <w:color w:val="000000"/>
                  <w:sz w:val="20"/>
                  <w:u w:val="none"/>
                  <w:effect w:val="none"/>
                </w:rPr>
                <w:t>97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00">
              <w:r>
                <w:rPr>
                  <w:rStyle w:val="InternetLink"/>
                  <w:rFonts w:ascii="Times New Roman;sans-serif" w:hAnsi="Times New Roman;sans-serif"/>
                  <w:b w:val="false"/>
                  <w:strike w:val="false"/>
                  <w:dstrike w:val="false"/>
                  <w:color w:val="000000"/>
                  <w:sz w:val="20"/>
                  <w:u w:val="none"/>
                  <w:effect w:val="none"/>
                </w:rPr>
                <w:t>Item 8.</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00">
              <w:r>
                <w:rPr>
                  <w:rStyle w:val="InternetLink"/>
                  <w:rFonts w:ascii="Times New Roman;sans-serif" w:hAnsi="Times New Roman;sans-serif"/>
                  <w:b w:val="false"/>
                  <w:strike w:val="false"/>
                  <w:dstrike w:val="false"/>
                  <w:color w:val="000000"/>
                  <w:sz w:val="20"/>
                  <w:u w:val="none"/>
                  <w:effect w:val="non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100">
              <w:r>
                <w:rPr>
                  <w:rStyle w:val="InternetLink"/>
                  <w:rFonts w:ascii="Times New Roman;sans-serif" w:hAnsi="Times New Roman;sans-serif"/>
                  <w:b w:val="false"/>
                  <w:strike w:val="false"/>
                  <w:dstrike w:val="false"/>
                  <w:color w:val="000000"/>
                  <w:sz w:val="20"/>
                  <w:u w:val="none"/>
                  <w:effect w:val="none"/>
                </w:rPr>
                <w:t>98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99">
              <w:r>
                <w:rPr>
                  <w:rStyle w:val="InternetLink"/>
                  <w:rFonts w:ascii="Times New Roman;sans-serif" w:hAnsi="Times New Roman;sans-serif"/>
                  <w:b w:val="false"/>
                  <w:strike w:val="false"/>
                  <w:dstrike w:val="false"/>
                  <w:color w:val="000000"/>
                  <w:sz w:val="20"/>
                  <w:u w:val="none"/>
                  <w:effect w:val="none"/>
                </w:rPr>
                <w:t>Item 9.</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99">
              <w:r>
                <w:rPr>
                  <w:rStyle w:val="InternetLink"/>
                  <w:rFonts w:ascii="Times New Roman;sans-serif" w:hAnsi="Times New Roman;sans-serif"/>
                  <w:b w:val="false"/>
                  <w:strike w:val="false"/>
                  <w:dstrike w:val="false"/>
                  <w:color w:val="000000"/>
                  <w:sz w:val="20"/>
                  <w:u w:val="none"/>
                  <w:effect w:val="non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199">
              <w:r>
                <w:rPr>
                  <w:rStyle w:val="InternetLink"/>
                  <w:rFonts w:ascii="Times New Roman;sans-serif" w:hAnsi="Times New Roman;sans-serif"/>
                  <w:b w:val="false"/>
                  <w:strike w:val="false"/>
                  <w:dstrike w:val="false"/>
                  <w:color w:val="000000"/>
                  <w:sz w:val="20"/>
                  <w:u w:val="none"/>
                  <w:effect w:val="none"/>
                </w:rPr>
                <w:t>148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2">
              <w:r>
                <w:rPr>
                  <w:rStyle w:val="InternetLink"/>
                  <w:rFonts w:ascii="Times New Roman;sans-serif" w:hAnsi="Times New Roman;sans-serif"/>
                  <w:b w:val="false"/>
                  <w:strike w:val="false"/>
                  <w:dstrike w:val="false"/>
                  <w:color w:val="000000"/>
                  <w:sz w:val="20"/>
                  <w:u w:val="none"/>
                  <w:effect w:val="none"/>
                </w:rPr>
                <w:t>Item 9A.</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02">
              <w:r>
                <w:rPr>
                  <w:rStyle w:val="InternetLink"/>
                  <w:rFonts w:ascii="Times New Roman;sans-serif" w:hAnsi="Times New Roman;sans-serif"/>
                  <w:b w:val="false"/>
                  <w:strike w:val="false"/>
                  <w:dstrike w:val="false"/>
                  <w:color w:val="000000"/>
                  <w:sz w:val="20"/>
                  <w:u w:val="none"/>
                  <w:effect w:val="none"/>
                </w:rPr>
                <w:t>148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5">
              <w:r>
                <w:rPr>
                  <w:rStyle w:val="InternetLink"/>
                  <w:rFonts w:ascii="Times New Roman;sans-serif" w:hAnsi="Times New Roman;sans-serif"/>
                  <w:b w:val="false"/>
                  <w:strike w:val="false"/>
                  <w:dstrike w:val="false"/>
                  <w:color w:val="000000"/>
                  <w:sz w:val="20"/>
                  <w:u w:val="none"/>
                  <w:effect w:val="none"/>
                </w:rPr>
                <w:t>Item 9B.</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5">
              <w:r>
                <w:rPr>
                  <w:rStyle w:val="InternetLink"/>
                  <w:rFonts w:ascii="Times New Roman;sans-serif" w:hAnsi="Times New Roman;sans-serif"/>
                  <w:b w:val="false"/>
                  <w:strike w:val="false"/>
                  <w:dstrike w:val="false"/>
                  <w:color w:val="000000"/>
                  <w:sz w:val="20"/>
                  <w:u w:val="none"/>
                  <w:effect w:val="non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05">
              <w:r>
                <w:rPr>
                  <w:rStyle w:val="InternetLink"/>
                  <w:rFonts w:ascii="Times New Roman;sans-serif" w:hAnsi="Times New Roman;sans-serif"/>
                  <w:b w:val="false"/>
                  <w:strike w:val="false"/>
                  <w:dstrike w:val="false"/>
                  <w:color w:val="000000"/>
                  <w:sz w:val="20"/>
                  <w:u w:val="none"/>
                  <w:effect w:val="none"/>
                </w:rPr>
                <w:t>148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8">
              <w:r>
                <w:rPr>
                  <w:rStyle w:val="InternetLink"/>
                  <w:rFonts w:ascii="Times New Roman;sans-serif" w:hAnsi="Times New Roman;sans-serif"/>
                  <w:b w:val="false"/>
                  <w:strike w:val="false"/>
                  <w:dstrike w:val="false"/>
                  <w:color w:val="000000"/>
                  <w:sz w:val="20"/>
                  <w:u w:val="none"/>
                  <w:effect w:val="none"/>
                </w:rPr>
                <w:t>Item 9C.</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08">
              <w:r>
                <w:rPr>
                  <w:rStyle w:val="InternetLink"/>
                  <w:rFonts w:ascii="Times New Roman;sans-serif" w:hAnsi="Times New Roman;sans-serif"/>
                  <w:b w:val="false"/>
                  <w:strike w:val="false"/>
                  <w:dstrike w:val="false"/>
                  <w:color w:val="000000"/>
                  <w:sz w:val="20"/>
                  <w:u w:val="none"/>
                  <w:effect w:val="none"/>
                </w:rPr>
                <w:t>Disclosure regarding foreign jurisdictions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08">
              <w:r>
                <w:rPr>
                  <w:rStyle w:val="InternetLink"/>
                  <w:rFonts w:ascii="Times New Roman;sans-serif" w:hAnsi="Times New Roman;sans-serif"/>
                  <w:b w:val="false"/>
                  <w:strike w:val="false"/>
                  <w:dstrike w:val="false"/>
                  <w:color w:val="000000"/>
                  <w:sz w:val="20"/>
                  <w:u w:val="none"/>
                  <w:effect w:val="none"/>
                </w:rPr>
                <w:t>148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211">
              <w:r>
                <w:rPr>
                  <w:rStyle w:val="InternetLink"/>
                  <w:rFonts w:ascii="Times New Roman;sans-serif" w:hAnsi="Times New Roman;sans-serif"/>
                  <w:b/>
                  <w:strike w:val="false"/>
                  <w:dstrike w:val="false"/>
                  <w:color w:val="000000"/>
                  <w:sz w:val="20"/>
                  <w:u w:val="none"/>
                  <w:effect w:val="none"/>
                </w:rPr>
                <w:t>PART III</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14">
              <w:r>
                <w:rPr>
                  <w:rStyle w:val="InternetLink"/>
                  <w:rFonts w:ascii="Times New Roman;sans-serif" w:hAnsi="Times New Roman;sans-serif"/>
                  <w:b w:val="false"/>
                  <w:strike w:val="false"/>
                  <w:dstrike w:val="false"/>
                  <w:color w:val="000000"/>
                  <w:sz w:val="20"/>
                  <w:u w:val="none"/>
                  <w:effect w:val="none"/>
                </w:rPr>
                <w:t>Item 10.</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14">
              <w:r>
                <w:rPr>
                  <w:rStyle w:val="InternetLink"/>
                  <w:rFonts w:ascii="Times New Roman;sans-serif" w:hAnsi="Times New Roman;sans-serif"/>
                  <w:b w:val="false"/>
                  <w:strike w:val="false"/>
                  <w:dstrike w:val="false"/>
                  <w:color w:val="000000"/>
                  <w:sz w:val="20"/>
                  <w:u w:val="none"/>
                  <w:effect w:val="non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14">
              <w:r>
                <w:rPr>
                  <w:rStyle w:val="InternetLink"/>
                  <w:rFonts w:ascii="Times New Roman;sans-serif" w:hAnsi="Times New Roman;sans-serif"/>
                  <w:b w:val="false"/>
                  <w:strike w:val="false"/>
                  <w:dstrike w:val="false"/>
                  <w:color w:val="000000"/>
                  <w:sz w:val="20"/>
                  <w:u w:val="none"/>
                  <w:effect w:val="none"/>
                </w:rPr>
                <w:t>149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17">
              <w:r>
                <w:rPr>
                  <w:rStyle w:val="InternetLink"/>
                  <w:rFonts w:ascii="Times New Roman;sans-serif" w:hAnsi="Times New Roman;sans-serif"/>
                  <w:b w:val="false"/>
                  <w:strike w:val="false"/>
                  <w:dstrike w:val="false"/>
                  <w:color w:val="000000"/>
                  <w:sz w:val="20"/>
                  <w:u w:val="none"/>
                  <w:effect w:val="none"/>
                </w:rPr>
                <w:t>Item 11.</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17">
              <w:r>
                <w:rPr>
                  <w:rStyle w:val="InternetLink"/>
                  <w:rFonts w:ascii="Times New Roman;sans-serif" w:hAnsi="Times New Roman;sans-serif"/>
                  <w:b w:val="false"/>
                  <w:strike w:val="false"/>
                  <w:dstrike w:val="false"/>
                  <w:color w:val="000000"/>
                  <w:sz w:val="20"/>
                  <w:u w:val="none"/>
                  <w:effect w:val="non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17">
              <w:r>
                <w:rPr>
                  <w:rStyle w:val="InternetLink"/>
                  <w:rFonts w:ascii="Times New Roman;sans-serif" w:hAnsi="Times New Roman;sans-serif"/>
                  <w:b w:val="false"/>
                  <w:strike w:val="false"/>
                  <w:dstrike w:val="false"/>
                  <w:color w:val="000000"/>
                  <w:sz w:val="20"/>
                  <w:u w:val="none"/>
                  <w:effect w:val="none"/>
                </w:rPr>
                <w:t>149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0">
              <w:r>
                <w:rPr>
                  <w:rStyle w:val="InternetLink"/>
                  <w:rFonts w:ascii="Times New Roman;sans-serif" w:hAnsi="Times New Roman;sans-serif"/>
                  <w:b w:val="false"/>
                  <w:strike w:val="false"/>
                  <w:dstrike w:val="false"/>
                  <w:color w:val="000000"/>
                  <w:sz w:val="20"/>
                  <w:u w:val="none"/>
                  <w:effect w:val="none"/>
                </w:rPr>
                <w:t>Item 12.</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0">
              <w:r>
                <w:rPr>
                  <w:rStyle w:val="InternetLink"/>
                  <w:rFonts w:ascii="Times New Roman;sans-serif" w:hAnsi="Times New Roman;sans-serif"/>
                  <w:b w:val="false"/>
                  <w:strike w:val="false"/>
                  <w:dstrike w:val="false"/>
                  <w:color w:val="000000"/>
                  <w:sz w:val="20"/>
                  <w:u w:val="none"/>
                  <w:effect w:val="non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20">
              <w:r>
                <w:rPr>
                  <w:rStyle w:val="InternetLink"/>
                  <w:rFonts w:ascii="Times New Roman;sans-serif" w:hAnsi="Times New Roman;sans-serif"/>
                  <w:b w:val="false"/>
                  <w:strike w:val="false"/>
                  <w:dstrike w:val="false"/>
                  <w:color w:val="000000"/>
                  <w:sz w:val="20"/>
                  <w:u w:val="none"/>
                  <w:effect w:val="none"/>
                </w:rPr>
                <w:t>149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3">
              <w:r>
                <w:rPr>
                  <w:rStyle w:val="InternetLink"/>
                  <w:rFonts w:ascii="Times New Roman;sans-serif" w:hAnsi="Times New Roman;sans-serif"/>
                  <w:b w:val="false"/>
                  <w:strike w:val="false"/>
                  <w:dstrike w:val="false"/>
                  <w:color w:val="000000"/>
                  <w:sz w:val="20"/>
                  <w:u w:val="none"/>
                  <w:effect w:val="none"/>
                </w:rPr>
                <w:t>Item 13.</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3">
              <w:r>
                <w:rPr>
                  <w:rStyle w:val="InternetLink"/>
                  <w:rFonts w:ascii="Times New Roman;sans-serif" w:hAnsi="Times New Roman;sans-serif"/>
                  <w:b w:val="false"/>
                  <w:strike w:val="false"/>
                  <w:dstrike w:val="false"/>
                  <w:color w:val="000000"/>
                  <w:sz w:val="20"/>
                  <w:u w:val="none"/>
                  <w:effect w:val="non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23">
              <w:r>
                <w:rPr>
                  <w:rStyle w:val="InternetLink"/>
                  <w:rFonts w:ascii="Times New Roman;sans-serif" w:hAnsi="Times New Roman;sans-serif"/>
                  <w:b w:val="false"/>
                  <w:strike w:val="false"/>
                  <w:dstrike w:val="false"/>
                  <w:color w:val="000000"/>
                  <w:sz w:val="20"/>
                  <w:u w:val="none"/>
                  <w:effect w:val="none"/>
                </w:rPr>
                <w:t>149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6">
              <w:r>
                <w:rPr>
                  <w:rStyle w:val="InternetLink"/>
                  <w:rFonts w:ascii="Times New Roman;sans-serif" w:hAnsi="Times New Roman;sans-serif"/>
                  <w:b w:val="false"/>
                  <w:strike w:val="false"/>
                  <w:dstrike w:val="false"/>
                  <w:color w:val="000000"/>
                  <w:sz w:val="20"/>
                  <w:u w:val="none"/>
                  <w:effect w:val="none"/>
                </w:rPr>
                <w:t>Item 14.</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26">
              <w:r>
                <w:rPr>
                  <w:rStyle w:val="InternetLink"/>
                  <w:rFonts w:ascii="Times New Roman;sans-serif" w:hAnsi="Times New Roman;sans-serif"/>
                  <w:b w:val="false"/>
                  <w:strike w:val="false"/>
                  <w:dstrike w:val="false"/>
                  <w:color w:val="000000"/>
                  <w:sz w:val="20"/>
                  <w:u w:val="none"/>
                  <w:effect w:val="none"/>
                </w:rPr>
                <w:t>Principal Accountant Fees and Services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26">
              <w:r>
                <w:rPr>
                  <w:rStyle w:val="InternetLink"/>
                  <w:rFonts w:ascii="Times New Roman;sans-serif" w:hAnsi="Times New Roman;sans-serif"/>
                  <w:b w:val="false"/>
                  <w:strike w:val="false"/>
                  <w:dstrike w:val="false"/>
                  <w:color w:val="000000"/>
                  <w:sz w:val="20"/>
                  <w:u w:val="none"/>
                  <w:effect w:val="none"/>
                </w:rPr>
                <w:t>149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229">
              <w:r>
                <w:rPr>
                  <w:rStyle w:val="InternetLink"/>
                  <w:rFonts w:ascii="Times New Roman;sans-serif" w:hAnsi="Times New Roman;sans-serif"/>
                  <w:b/>
                  <w:strike w:val="false"/>
                  <w:dstrike w:val="false"/>
                  <w:color w:val="000000"/>
                  <w:sz w:val="20"/>
                  <w:u w:val="none"/>
                  <w:effect w:val="none"/>
                </w:rPr>
                <w:t>PART IV</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32">
              <w:r>
                <w:rPr>
                  <w:rStyle w:val="InternetLink"/>
                  <w:rFonts w:ascii="Times New Roman;sans-serif" w:hAnsi="Times New Roman;sans-serif"/>
                  <w:b w:val="false"/>
                  <w:strike w:val="false"/>
                  <w:dstrike w:val="false"/>
                  <w:color w:val="000000"/>
                  <w:sz w:val="20"/>
                  <w:u w:val="none"/>
                  <w:effect w:val="none"/>
                </w:rPr>
                <w:t>Item 15.</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32">
              <w:r>
                <w:rPr>
                  <w:rStyle w:val="InternetLink"/>
                  <w:rFonts w:ascii="Times New Roman;sans-serif" w:hAnsi="Times New Roman;sans-serif"/>
                  <w:b w:val="false"/>
                  <w:strike w:val="false"/>
                  <w:dstrike w:val="false"/>
                  <w:color w:val="000000"/>
                  <w:sz w:val="20"/>
                  <w:u w:val="none"/>
                  <w:effect w:val="none"/>
                </w:rPr>
                <w:t>Exhibit and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32">
              <w:r>
                <w:rPr>
                  <w:rStyle w:val="InternetLink"/>
                  <w:rFonts w:ascii="Times New Roman;sans-serif" w:hAnsi="Times New Roman;sans-serif"/>
                  <w:b w:val="false"/>
                  <w:strike w:val="false"/>
                  <w:dstrike w:val="false"/>
                  <w:color w:val="000000"/>
                  <w:sz w:val="20"/>
                  <w:u w:val="none"/>
                  <w:effect w:val="none"/>
                </w:rPr>
                <w:t>150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35">
              <w:r>
                <w:rPr>
                  <w:rStyle w:val="InternetLink"/>
                  <w:rFonts w:ascii="Times New Roman;sans-serif" w:hAnsi="Times New Roman;sans-serif"/>
                  <w:b w:val="false"/>
                  <w:strike w:val="false"/>
                  <w:dstrike w:val="false"/>
                  <w:color w:val="000000"/>
                  <w:sz w:val="20"/>
                  <w:u w:val="none"/>
                  <w:effect w:val="none"/>
                </w:rPr>
                <w:t>Item 16.</w:t>
              </w:r>
            </w:hyperlink>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35">
              <w:r>
                <w:rPr>
                  <w:rStyle w:val="InternetLink"/>
                  <w:rFonts w:ascii="Times New Roman;sans-serif" w:hAnsi="Times New Roman;sans-serif"/>
                  <w:b w:val="false"/>
                  <w:strike w:val="false"/>
                  <w:dstrike w:val="false"/>
                  <w:color w:val="000000"/>
                  <w:sz w:val="20"/>
                  <w:u w:val="none"/>
                  <w:effect w:val="non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1d6967fefb49029fa8a5436fef37d9_235">
              <w:r>
                <w:rPr>
                  <w:rStyle w:val="InternetLink"/>
                  <w:rFonts w:ascii="Times New Roman;sans-serif" w:hAnsi="Times New Roman;sans-serif"/>
                  <w:b w:val="false"/>
                  <w:strike w:val="false"/>
                  <w:dstrike w:val="false"/>
                  <w:color w:val="000000"/>
                  <w:sz w:val="20"/>
                  <w:u w:val="none"/>
                  <w:effect w:val="none"/>
                </w:rPr>
                <w:t>153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333" w:before="24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to “Bakkt,” “we,” “us,” “our,” or the “Company” in this Annual Report on Form 10-K (this “Report”) refer to Bakkt Holdings, Inc. and its subsidiaries.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Annual Report on Form 10-K may include, for example, statements about:</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our future financial performance;</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 xml:space="preserve">changes in the market for our products and services; </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the expected benefits we will realize from our acquisition of Apex Crypto LLC, which we have since renamed Bakkt Crypto Solutions, LLC (“Bakkt Crypto”);</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us closing the remaining portion of our February 2024 financings on the timeline expected or at all; and</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expansion plans and opportunities, including our plans to expand to international markets.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Annual Report on Form 10-K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pStyle w:val="TextBody"/>
        <w:bidi w:val="0"/>
        <w:spacing w:lineRule="auto" w:line="333" w:before="2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grow and manage growth profitably;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continue as a going concern;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our business strategy;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the market in which we compete, including with respect to our competitive landscape, technology evolution or changes in applicable laws or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maintain the listing of our securities on the New York Stock Exchange (the “NYSE”);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the markets that we target;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disruptions in the crypto market that subject us to additional risks, including the risk that banks may not provide banking services to us;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possibility that we may be adversely affected by other economic, business, and/or competitive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inability to launch new services and products or to profitably expand into new markets and services, or the inability to continue offering existing services or products;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inability to execute our growth strategies, including identifying and executing acquisitions and our initiatives to add new clients;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achieve the expected benefits from the acquisition of Bakkt Crypto;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failure to comply with extensive government regulation, oversight, licensure and appraisals;</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uncertain regulatory regime governing blockchain technologies and crypto;</w:t>
      </w:r>
    </w:p>
    <w:p>
      <w:pPr>
        <w:pStyle w:val="TextBody"/>
        <w:bidi w:val="0"/>
        <w:spacing w:lineRule="auto" w:line="333" w:before="120" w:after="283"/>
        <w:ind w:left="0" w:right="0" w:hanging="360"/>
        <w:jc w:val="left"/>
        <w:rPr/>
      </w:pPr>
      <w:r>
        <w:rPr>
          <w:color w:val="000000"/>
        </w:rPr>
        <w:t>•</w:t>
      </w:r>
      <w:r>
        <w:rPr>
          <w:rFonts w:ascii="Times New Roman;sans-serif" w:hAnsi="Times New Roman;sans-serif"/>
          <w:b w:val="false"/>
          <w:color w:val="000000"/>
          <w:sz w:val="20"/>
        </w:rPr>
        <w:t>the inability to develop and maintain effective internal controls and procedures;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exposure to any liability, protracted and costly litigation or reputational damage relating to our data security;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impact of any goodwill or other intangible assets impairments on our operating results;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impact of any pandemics or other public health emergencies;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other risks and uncertainties indicated in this Annual Report on Form 10-K, including those set forth under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333" w:before="240" w:after="180"/>
        <w:jc w:val="both"/>
        <w:rPr>
          <w:rFonts w:ascii="Times New Roman;sans-serif" w:hAnsi="Times New Roman;sans-serif"/>
          <w:b w:val="false"/>
          <w:color w:val="0C0C0C"/>
          <w:sz w:val="20"/>
        </w:rPr>
      </w:pPr>
      <w:r>
        <w:rPr>
          <w:rFonts w:ascii="Times New Roman;sans-serif" w:hAnsi="Times New Roman;sans-serif"/>
          <w:b w:val="false"/>
          <w:color w:val="0C0C0C"/>
          <w:sz w:val="20"/>
        </w:rPr>
        <w:t>In this section and elsewhere in this Annual Report on Form 10-K, we use the following terms, which are defined as follows: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Client”</w:t>
      </w:r>
      <w:r>
        <w:rPr>
          <w:color w:val="000000"/>
        </w:rPr>
        <w:t xml:space="preserve"> </w:t>
      </w:r>
      <w:r>
        <w:rPr>
          <w:rFonts w:ascii="Times New Roman;sans-serif" w:hAnsi="Times New Roman;sans-serif"/>
          <w:b w:val="false"/>
          <w:color w:val="000000"/>
          <w:sz w:val="20"/>
        </w:rPr>
        <w:t xml:space="preserve">means businesses with whom we contract to provide services to customers on our platform, and includes financial institutions, hedge funds, merchants, retailers, third party partners, and other businesses (except in the accompanying </w:t>
      </w:r>
      <w:r>
        <w:rPr>
          <w:rFonts w:ascii="Times New Roman;sans-serif" w:hAnsi="Times New Roman;sans-serif"/>
          <w:b w:val="false"/>
          <w:color w:val="231F20"/>
          <w:sz w:val="20"/>
        </w:rPr>
        <w:t xml:space="preserve">notes to the consolidated financial statements, where we refer to revenue earned from customers, instead of clients. The term customers is </w:t>
      </w:r>
      <w:r>
        <w:rPr>
          <w:rFonts w:ascii="Times New Roman;sans-serif" w:hAnsi="Times New Roman;sans-serif"/>
          <w:b w:val="false"/>
          <w:color w:val="000000"/>
          <w:sz w:val="20"/>
        </w:rPr>
        <w:t xml:space="preserve">in accordance with the Financial Accounting Standards Board (“FASB”) Accounting Standards Codification (“ASC”) Topic </w:t>
      </w:r>
      <w:r>
        <w:rPr>
          <w:rFonts w:ascii="Times New Roman;sans-serif" w:hAnsi="Times New Roman;sans-serif"/>
          <w:b w:val="false"/>
          <w:color w:val="231F20"/>
          <w:sz w:val="20"/>
        </w:rPr>
        <w:t xml:space="preserve">606, </w:t>
      </w:r>
      <w:r>
        <w:rPr>
          <w:rFonts w:ascii="Times New Roman;sans-serif" w:hAnsi="Times New Roman;sans-serif"/>
          <w:b w:val="false"/>
          <w:i/>
          <w:color w:val="231F20"/>
          <w:sz w:val="20"/>
        </w:rPr>
        <w:t>Revenue from Contracts with Customers</w:t>
      </w:r>
      <w:r>
        <w:rPr>
          <w:rFonts w:ascii="Times New Roman;sans-serif" w:hAnsi="Times New Roman;sans-serif"/>
          <w:b w:val="false"/>
          <w:color w:val="231F20"/>
          <w:sz w:val="20"/>
        </w:rPr>
        <w: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Crypto” or “Crypto asset”</w:t>
      </w:r>
      <w:r>
        <w:rPr>
          <w:color w:val="000000"/>
        </w:rPr>
        <w:t xml:space="preserve"> </w:t>
      </w:r>
      <w:r>
        <w:rPr>
          <w:rFonts w:ascii="Times New Roman;sans-serif" w:hAnsi="Times New Roman;sans-serif"/>
          <w:b w:val="false"/>
          <w:color w:val="000000"/>
          <w:sz w:val="20"/>
        </w:rPr>
        <w:t>means an asset that is built using blockchain technology, including virtual currencies (as used in the State of New York), coins, cryptocurrencies, stablecoins, and other tokens. Our platform enables transactions in certain supported crypto assets. For purposes of this Form 10-K, we use crypto assets, virtual currency, coins, and tokens interchangeably.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Customer”</w:t>
      </w:r>
      <w:r>
        <w:rPr>
          <w:color w:val="000000"/>
        </w:rPr>
        <w:t xml:space="preserve"> </w:t>
      </w:r>
      <w:r>
        <w:rPr>
          <w:rFonts w:ascii="Times New Roman;sans-serif" w:hAnsi="Times New Roman;sans-serif"/>
          <w:b w:val="false"/>
          <w:color w:val="000000"/>
          <w:sz w:val="20"/>
        </w:rPr>
        <w:t>means an individual user of our platform. Customers include customers of our loyalty clients who use our platform to transact in loyalty points, as well as customers of our clients who transact in crypto through, and have accounts on, our platform (except as defined for ASC 606 purposes above).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Loyalty points”</w:t>
      </w:r>
      <w:r>
        <w:rPr>
          <w:color w:val="000000"/>
        </w:rPr>
        <w:t xml:space="preserve"> </w:t>
      </w:r>
      <w:r>
        <w:rPr>
          <w:rFonts w:ascii="Times New Roman;sans-serif" w:hAnsi="Times New Roman;sans-serif"/>
          <w:b w:val="false"/>
          <w:color w:val="000000"/>
          <w:sz w:val="20"/>
        </w:rPr>
        <w:t>means loyalty and/or reward points that are issued by clients to their customers.</w:t>
      </w:r>
    </w:p>
    <w:p>
      <w:pPr>
        <w:pStyle w:val="TextBody"/>
        <w:bidi w:val="0"/>
        <w:spacing w:lineRule="auto" w:line="333" w:before="240" w:after="283"/>
        <w:ind w:left="0" w:right="0" w:firstLine="720"/>
        <w:jc w:val="both"/>
        <w:rPr/>
      </w:pPr>
      <w:r>
        <w:rPr>
          <w:rFonts w:ascii="Times New Roman;sans-serif" w:hAnsi="Times New Roman;sans-serif"/>
          <w:b w:val="false"/>
          <w:color w:val="151515"/>
          <w:sz w:val="20"/>
        </w:rPr>
        <w:t>Founded in 2018, Bakkt builds technology that enables our clients to deliver new opportunities to their customers through Software as a Service (“SaaS”) and A</w:t>
      </w:r>
      <w:r>
        <w:rPr>
          <w:rFonts w:ascii="Times New Roman;sans-serif" w:hAnsi="Times New Roman;sans-serif"/>
          <w:b w:val="false"/>
          <w:color w:val="0C0C0C"/>
          <w:sz w:val="20"/>
        </w:rPr>
        <w:t>pplication Programming interface (“</w:t>
      </w:r>
      <w:r>
        <w:rPr>
          <w:rFonts w:ascii="Times New Roman;sans-serif" w:hAnsi="Times New Roman;sans-serif"/>
          <w:b w:val="false"/>
          <w:color w:val="151515"/>
          <w:sz w:val="20"/>
        </w:rPr>
        <w:t xml:space="preserve">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 </w:t>
      </w:r>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 </w:t>
      </w:r>
    </w:p>
    <w:p>
      <w:pPr>
        <w:pStyle w:val="TextBody"/>
        <w:bidi w:val="0"/>
        <w:spacing w:lineRule="auto" w:line="333" w:before="240" w:after="283"/>
        <w:jc w:val="both"/>
        <w:rPr>
          <w:rFonts w:ascii="Times New Roman;sans-serif" w:hAnsi="Times New Roman;sans-serif"/>
          <w:b/>
          <w:color w:val="231F20"/>
          <w:sz w:val="20"/>
        </w:rPr>
      </w:pPr>
      <w:r>
        <w:rPr>
          <w:rFonts w:ascii="Times New Roman;sans-serif" w:hAnsi="Times New Roman;sans-serif"/>
          <w:b/>
          <w:color w:val="231F20"/>
          <w:sz w:val="20"/>
        </w:rPr>
        <w:t>Our Corporate Structure</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operate primarily through the following entities:</w:t>
      </w:r>
    </w:p>
    <w:p>
      <w:pPr>
        <w:pStyle w:val="TextBody"/>
        <w:bidi w:val="0"/>
        <w:spacing w:lineRule="auto" w:line="333" w:before="240" w:after="283"/>
        <w:jc w:val="both"/>
        <w:rPr/>
      </w:pPr>
      <w:r>
        <w:rPr>
          <w:rFonts w:ascii="Times New Roman;sans-serif" w:hAnsi="Times New Roman;sans-serif"/>
          <w:b/>
          <w:i/>
          <w:color w:val="000000"/>
          <w:sz w:val="20"/>
        </w:rPr>
        <w:t xml:space="preserve">Bakkt Marketplace: </w:t>
      </w:r>
      <w:r>
        <w:rPr>
          <w:rFonts w:ascii="Times New Roman;sans-serif" w:hAnsi="Times New Roman;sans-serif"/>
          <w:b w:val="false"/>
          <w:color w:val="000000"/>
          <w:sz w:val="20"/>
        </w:rPr>
        <w:t xml:space="preserve">Bakkt Marketplace, LLC (“Bakkt Marketplace”) and Bakkt Crypto Solutions, LLC (“Bakkt Crypto”) - through these entities we operate integrated platforms that provide customers with the ability to buy, sell and store crypto in a simple, intuitive digital experience accessed via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was originally conceived and built in connection with a consumer app that enabled crypto asset transactions, and, at the time, represented a direct-to-consumer business model, which is no longer being pursued by the Company. In contrast, the Bakkt Crypto platform was originally conceived and built as an embedded crypto trading platform that would be integrated into client environments to service customers in those environments. In March of 2024, we obtained approval to merge Bakkt Crypto with and into Bakkt Marketplace, with the surviving entity of the merger to be renamed Bakkt Crypto Solutions, LLC. The two platforms will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pStyle w:val="TextBody"/>
        <w:bidi w:val="0"/>
        <w:spacing w:lineRule="auto" w:line="333" w:before="240" w:after="283"/>
        <w:jc w:val="both"/>
        <w:rPr/>
      </w:pPr>
      <w:r>
        <w:rPr>
          <w:rFonts w:ascii="Times New Roman;sans-serif" w:hAnsi="Times New Roman;sans-serif"/>
          <w:b/>
          <w:i/>
          <w:color w:val="000000"/>
          <w:sz w:val="20"/>
        </w:rPr>
        <w:t xml:space="preserve">Bakkt Crypto: </w:t>
      </w:r>
      <w:r>
        <w:rPr>
          <w:rFonts w:ascii="Times New Roman;sans-serif" w:hAnsi="Times New Roman;sans-serif"/>
          <w:b w:val="false"/>
          <w:color w:val="000000"/>
          <w:sz w:val="20"/>
        </w:rPr>
        <w:t xml:space="preserve">In April 2023, we acquired Apex Crypto LLC (“Apex Crypto”), a platform for integrated crypto trading, which we renamed Bakkt Crypto. This platform supports clients with a range of crypto solutions. We are leveraging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Europe, Latin America and Asia. Bakkt Crypto executes a de minimis amount of trades for entity accounts in jurisdictions other than the State of New York. Subject to applicable regulatory approvals, Bakkt Crypto intends to expand the provision of trading services for institutional clients.</w:t>
      </w:r>
    </w:p>
    <w:p>
      <w:pPr>
        <w:pStyle w:val="TextBody"/>
        <w:bidi w:val="0"/>
        <w:spacing w:lineRule="auto" w:line="333" w:before="240" w:after="283"/>
        <w:jc w:val="both"/>
        <w:rPr/>
      </w:pPr>
      <w:r>
        <w:rPr>
          <w:rFonts w:ascii="Times New Roman;sans-serif" w:hAnsi="Times New Roman;sans-serif"/>
          <w:b/>
          <w:i/>
          <w:color w:val="000000"/>
          <w:sz w:val="20"/>
        </w:rPr>
        <w:t xml:space="preserve">Bakkt Trust: </w:t>
      </w:r>
      <w:r>
        <w:rPr>
          <w:rFonts w:ascii="Times New Roman;sans-serif" w:hAnsi="Times New Roman;sans-serif"/>
          <w:b w:val="false"/>
          <w:color w:val="000000"/>
          <w:sz w:val="20"/>
        </w:rPr>
        <w:t>Bakkt Trust Company LLC (“Bakkt Trust”) is a New York limited-purpose trust company that is chartered by and subject to the supervision and oversight of New York Department of Financial Services (“NYDFS”)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color w:val="000000"/>
        </w:rPr>
        <w:t>—</w:t>
      </w:r>
      <w:r>
        <w:rPr>
          <w:rFonts w:ascii="Times New Roman;sans-serif" w:hAnsi="Times New Roman;sans-serif"/>
          <w:b w:val="false"/>
          <w:i/>
          <w:color w:val="000000"/>
          <w:sz w:val="20"/>
        </w:rPr>
        <w:t>Crypto Assets and Services Offered by Bakkt.</w:t>
      </w:r>
      <w:r>
        <w:rPr>
          <w:color w:val="000000"/>
        </w:rPr>
        <w:t>”</w:t>
      </w:r>
    </w:p>
    <w:p>
      <w:pPr>
        <w:pStyle w:val="TextBody"/>
        <w:bidi w:val="0"/>
        <w:spacing w:lineRule="auto" w:line="333" w:before="240" w:after="283"/>
        <w:jc w:val="both"/>
        <w:rPr/>
      </w:pPr>
      <w:r>
        <w:rPr>
          <w:rFonts w:ascii="Times New Roman;sans-serif" w:hAnsi="Times New Roman;sans-serif"/>
          <w:b/>
          <w:i/>
          <w:color w:val="000000"/>
          <w:sz w:val="20"/>
        </w:rPr>
        <w:t>Bakkt Brokerage:</w:t>
      </w:r>
      <w:r>
        <w:rPr>
          <w:color w:val="000000"/>
        </w:rPr>
        <w:t xml:space="preserve"> </w:t>
      </w:r>
      <w:r>
        <w:rPr>
          <w:rFonts w:ascii="Times New Roman;sans-serif" w:hAnsi="Times New Roman;sans-serif"/>
          <w:b w:val="false"/>
          <w:color w:val="000000"/>
          <w:sz w:val="20"/>
        </w:rPr>
        <w:t>We acquired Bumped Financial, LLC (which we have since renamed Bakkt Brokerage, LLC, “Bakkt Brokerage”), a registered broker-dealer, in February 2023. Bakkt Brokerage is not engaged in any business activities at this time and we have no current plans for it to engage in future business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i/>
          <w:color w:val="000000"/>
          <w:sz w:val="20"/>
        </w:rPr>
        <w:t>Bakkt Loyalty Solutions:</w:t>
      </w:r>
      <w:r>
        <w:rPr>
          <w:color w:val="000000"/>
        </w:rPr>
        <w:t xml:space="preserve"> </w:t>
      </w:r>
      <w:r>
        <w:rPr>
          <w:rFonts w:ascii="Times New Roman;sans-serif" w:hAnsi="Times New Roman;sans-serif"/>
          <w:b w:val="false"/>
          <w:color w:val="000000"/>
          <w:sz w:val="20"/>
        </w:rPr>
        <w:t>We operate our Loyalty Solutions business primarily in the United States and in Canada under the legal entities Bridge2 Solutions, LLC, Bridge2 Solutions Canada Ltd and Aspire Loyalty Travel Solutions, LLC. This business enables clients (including financial institutions, airlines and other loyalty sponsors) to enable their customers - who hold their loyalty points - to redeem those points for items including travel and merchandise. To that end, our Loyalty Solutions business enables point redemption and fulfillment (including travel reservations).</w:t>
      </w:r>
    </w:p>
    <w:p>
      <w:pPr>
        <w:pStyle w:val="TextBody"/>
        <w:bidi w:val="0"/>
        <w:spacing w:lineRule="auto" w:line="288" w:before="240" w:after="283"/>
        <w:jc w:val="both"/>
        <w:rPr>
          <w:rFonts w:ascii="Times New Roman;sans-serif" w:hAnsi="Times New Roman;sans-serif"/>
          <w:b/>
          <w:color w:val="0C0C0C"/>
          <w:sz w:val="20"/>
        </w:rPr>
      </w:pPr>
      <w:r>
        <w:rPr>
          <w:rFonts w:ascii="Times New Roman;sans-serif" w:hAnsi="Times New Roman;sans-serif"/>
          <w:b/>
          <w:color w:val="0C0C0C"/>
          <w:sz w:val="20"/>
        </w:rPr>
        <w:t>Crypto Market Developments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color w:val="000000"/>
        </w:rPr>
        <w:t>—</w:t>
      </w:r>
      <w:r>
        <w:rPr>
          <w:rFonts w:ascii="Times New Roman;sans-serif" w:hAnsi="Times New Roman;sans-serif"/>
          <w:b w:val="false"/>
          <w:i/>
          <w:color w:val="000000"/>
          <w:sz w:val="20"/>
        </w:rPr>
        <w:t>Regulation—Regulation of Our Virtual Currency Business</w:t>
      </w:r>
      <w:r>
        <w:rPr>
          <w:rFonts w:ascii="Times New Roman;sans-serif" w:hAnsi="Times New Roman;sans-serif"/>
          <w:b w:val="false"/>
          <w:color w:val="000000"/>
          <w:sz w:val="20"/>
        </w:rPr>
        <w:t>,” below.</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Crypto Assets and Services Offered by Bakkt</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Retail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crypto asset trading;</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custody services for the crypto assets supported for trading;</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external transfers of crypto assets (through Bakkt Crypto); and</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crypto rewards (expected to become available in the first half of 2024).</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Our management regularly considers whether to make any potential additional crypto assets available on our platform, consistent with our policies and procedures. See “</w:t>
      </w:r>
      <w:r>
        <w:rPr>
          <w:color w:val="000000"/>
        </w:rPr>
        <w:t>—</w:t>
      </w:r>
      <w:r>
        <w:rPr>
          <w:rFonts w:ascii="Times New Roman;sans-serif" w:hAnsi="Times New Roman;sans-serif"/>
          <w:b w:val="false"/>
          <w:i/>
          <w:color w:val="000000"/>
          <w:sz w:val="20"/>
        </w:rPr>
        <w:t>Policies and Procedures—Listing-Related Policies</w:t>
      </w:r>
      <w:r>
        <w:rPr>
          <w:rFonts w:ascii="Times New Roman;sans-serif" w:hAnsi="Times New Roman;sans-serif"/>
          <w:b w:val="false"/>
          <w:color w:val="000000"/>
          <w:sz w:val="20"/>
        </w:rPr>
        <w: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Bakkt Marketplace and Bakkt Trust facilitate transactions in, and provide services for, the crypto assets listed in the tables below.</w:t>
      </w:r>
    </w:p>
    <w:p>
      <w:pPr>
        <w:pStyle w:val="TextBody"/>
        <w:bidi w:val="0"/>
        <w:spacing w:lineRule="auto" w:line="333" w:before="240" w:after="283"/>
        <w:jc w:val="both"/>
        <w:rPr>
          <w:rFonts w:ascii="Times New Roman;sans-serif" w:hAnsi="Times New Roman;sans-serif"/>
          <w:b/>
          <w:i/>
          <w:color w:val="0C0C0C"/>
          <w:sz w:val="20"/>
        </w:rPr>
      </w:pPr>
      <w:r>
        <w:rPr>
          <w:rFonts w:ascii="Times New Roman;sans-serif" w:hAnsi="Times New Roman;sans-serif"/>
          <w:b/>
          <w:i/>
          <w:color w:val="0C0C0C"/>
          <w:sz w:val="20"/>
        </w:rPr>
        <w:t>Bakkt Marketplace / Bakkt Crypto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tbl>
      <w:tblPr>
        <w:tblW w:w="7491" w:type="dxa"/>
        <w:jc w:val="center"/>
        <w:tblInd w:w="0" w:type="dxa"/>
        <w:tblLayout w:type="fixed"/>
        <w:tblCellMar>
          <w:top w:w="28" w:type="dxa"/>
          <w:left w:w="28" w:type="dxa"/>
          <w:bottom w:w="28" w:type="dxa"/>
          <w:right w:w="28" w:type="dxa"/>
        </w:tblCellMar>
      </w:tblPr>
      <w:tblGrid>
        <w:gridCol w:w="554"/>
        <w:gridCol w:w="487"/>
        <w:gridCol w:w="489"/>
        <w:gridCol w:w="109"/>
        <w:gridCol w:w="109"/>
        <w:gridCol w:w="109"/>
        <w:gridCol w:w="245"/>
        <w:gridCol w:w="245"/>
        <w:gridCol w:w="246"/>
        <w:gridCol w:w="109"/>
        <w:gridCol w:w="109"/>
        <w:gridCol w:w="109"/>
        <w:gridCol w:w="250"/>
        <w:gridCol w:w="250"/>
        <w:gridCol w:w="251"/>
        <w:gridCol w:w="109"/>
        <w:gridCol w:w="109"/>
        <w:gridCol w:w="109"/>
        <w:gridCol w:w="280"/>
        <w:gridCol w:w="280"/>
        <w:gridCol w:w="281"/>
        <w:gridCol w:w="109"/>
        <w:gridCol w:w="109"/>
        <w:gridCol w:w="109"/>
        <w:gridCol w:w="680"/>
        <w:gridCol w:w="680"/>
        <w:gridCol w:w="96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15"/>
            <w:tcBorders>
              <w:top w:val="single" w:sz="8" w:space="0" w:color="000000"/>
              <w:right w:val="single" w:sz="8" w:space="0" w:color="000000"/>
            </w:tcBorders>
            <w:shd w:fill="000000" w:val="clear"/>
            <w:tcMar>
              <w:top w:w="30" w:type="dxa"/>
              <w:left w:w="0" w:type="dxa"/>
              <w:bottom w:w="0" w:type="dxa"/>
            </w:tcMar>
            <w:vAlign w:val="center"/>
          </w:tcPr>
          <w:p>
            <w:pPr>
              <w:pStyle w:val="TableContents"/>
              <w:bidi w:val="0"/>
              <w:spacing w:lineRule="auto" w:line="240" w:before="0" w:after="0"/>
              <w:jc w:val="center"/>
              <w:rPr>
                <w:rFonts w:ascii="Times New Roman;sans-serif" w:hAnsi="Times New Roman;sans-serif"/>
                <w:b w:val="false"/>
                <w:color w:val="FFFFFF"/>
                <w:sz w:val="20"/>
              </w:rPr>
            </w:pPr>
            <w:r>
              <w:rPr>
                <w:rFonts w:ascii="Times New Roman;sans-serif" w:hAnsi="Times New Roman;sans-serif"/>
                <w:b w:val="false"/>
                <w:color w:val="FFFFFF"/>
                <w:sz w:val="20"/>
              </w:rPr>
              <w:t>Supported For</w:t>
            </w:r>
          </w:p>
        </w:tc>
      </w:tr>
      <w:tr>
        <w:trPr/>
        <w:tc>
          <w:tcPr>
            <w:tcW w:w="1530"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Crypto Asset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Symbol</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Trading</w:t>
            </w:r>
          </w:p>
        </w:tc>
        <w:tc>
          <w:tcPr>
            <w:tcW w:w="327"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Transfers</w:t>
            </w:r>
          </w:p>
        </w:tc>
        <w:tc>
          <w:tcPr>
            <w:tcW w:w="327"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FFFFFF"/>
              <w:right w:val="single" w:sz="8" w:space="0" w:color="000000"/>
            </w:tcBorders>
            <w:shd w:fill="000000" w:val="clear"/>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Rewards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planned first half 2024</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Bitcoin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 Classic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USD Coin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USDC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pStyle w:val="TextBody"/>
        <w:bidi w:val="0"/>
        <w:spacing w:lineRule="auto" w:line="333" w:before="0" w:after="0"/>
        <w:ind w:left="0" w:right="0" w:firstLine="864"/>
        <w:jc w:val="left"/>
        <w:rPr>
          <w:rFonts w:ascii="Times New Roman;sans-serif" w:hAnsi="Times New Roman;sans-serif"/>
          <w:b w:val="false"/>
          <w:color w:val="000000"/>
          <w:sz w:val="20"/>
        </w:rPr>
      </w:pPr>
      <w:r>
        <w:rPr>
          <w:rFonts w:ascii="Times New Roman;sans-serif" w:hAnsi="Times New Roman;sans-serif"/>
          <w:b w:val="false"/>
          <w:color w:val="000000"/>
          <w:sz w:val="20"/>
        </w:rPr>
        <w:t>* Except for the State of New York</w:t>
      </w:r>
    </w:p>
    <w:p>
      <w:pPr>
        <w:pStyle w:val="TextBody"/>
        <w:bidi w:val="0"/>
        <w:spacing w:lineRule="auto" w:line="333" w:before="240" w:after="283"/>
        <w:jc w:val="both"/>
        <w:rPr>
          <w:rFonts w:ascii="Times New Roman;sans-serif" w:hAnsi="Times New Roman;sans-serif"/>
          <w:b/>
          <w:i/>
          <w:color w:val="0C0C0C"/>
          <w:sz w:val="20"/>
        </w:rPr>
      </w:pPr>
      <w:r>
        <w:rPr>
          <w:rFonts w:ascii="Times New Roman;sans-serif" w:hAnsi="Times New Roman;sans-serif"/>
          <w:b/>
          <w:i/>
          <w:color w:val="0C0C0C"/>
          <w:sz w:val="20"/>
        </w:rPr>
        <w:t>Bakkt Trust</w:t>
      </w:r>
    </w:p>
    <w:tbl>
      <w:tblPr>
        <w:tblW w:w="5001" w:type="dxa"/>
        <w:jc w:val="center"/>
        <w:tblInd w:w="0" w:type="dxa"/>
        <w:tblLayout w:type="fixed"/>
        <w:tblCellMar>
          <w:top w:w="28" w:type="dxa"/>
          <w:left w:w="28" w:type="dxa"/>
          <w:bottom w:w="28" w:type="dxa"/>
          <w:right w:w="28" w:type="dxa"/>
        </w:tblCellMar>
      </w:tblPr>
      <w:tblGrid>
        <w:gridCol w:w="554"/>
        <w:gridCol w:w="487"/>
        <w:gridCol w:w="489"/>
        <w:gridCol w:w="109"/>
        <w:gridCol w:w="109"/>
        <w:gridCol w:w="109"/>
        <w:gridCol w:w="245"/>
        <w:gridCol w:w="245"/>
        <w:gridCol w:w="246"/>
        <w:gridCol w:w="109"/>
        <w:gridCol w:w="109"/>
        <w:gridCol w:w="109"/>
        <w:gridCol w:w="265"/>
        <w:gridCol w:w="265"/>
        <w:gridCol w:w="266"/>
        <w:gridCol w:w="133"/>
        <w:gridCol w:w="133"/>
        <w:gridCol w:w="133"/>
        <w:gridCol w:w="259"/>
        <w:gridCol w:w="259"/>
        <w:gridCol w:w="36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op w:val="single" w:sz="8" w:space="0" w:color="000000"/>
              <w:right w:val="single" w:sz="8" w:space="0" w:color="000000"/>
            </w:tcBorders>
            <w:shd w:fill="000000" w:val="clear"/>
            <w:tcMar>
              <w:top w:w="30" w:type="dxa"/>
              <w:left w:w="0" w:type="dxa"/>
              <w:bottom w:w="0" w:type="dxa"/>
            </w:tcMar>
            <w:vAlign w:val="center"/>
          </w:tcPr>
          <w:p>
            <w:pPr>
              <w:pStyle w:val="TableContents"/>
              <w:bidi w:val="0"/>
              <w:spacing w:lineRule="auto" w:line="240" w:before="0" w:after="0"/>
              <w:jc w:val="center"/>
              <w:rPr>
                <w:rFonts w:ascii="Times New Roman;sans-serif" w:hAnsi="Times New Roman;sans-serif"/>
                <w:b w:val="false"/>
                <w:color w:val="FFFFFF"/>
                <w:sz w:val="20"/>
              </w:rPr>
            </w:pPr>
            <w:r>
              <w:rPr>
                <w:rFonts w:ascii="Times New Roman;sans-serif" w:hAnsi="Times New Roman;sans-serif"/>
                <w:b w:val="false"/>
                <w:color w:val="FFFFFF"/>
                <w:sz w:val="20"/>
              </w:rPr>
              <w:t>Supported for</w:t>
            </w:r>
          </w:p>
        </w:tc>
      </w:tr>
      <w:tr>
        <w:trPr/>
        <w:tc>
          <w:tcPr>
            <w:tcW w:w="1530" w:type="dxa"/>
            <w:gridSpan w:val="3"/>
            <w:tcBorders>
              <w:left w:val="single" w:sz="8" w:space="0" w:color="000000"/>
            </w:tcBorders>
            <w:shd w:fill="000000"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Crypto Asset</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Symbol</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tcBorders>
            <w:shd w:fill="000000"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Custody</w:t>
            </w:r>
          </w:p>
        </w:tc>
        <w:tc>
          <w:tcPr>
            <w:tcW w:w="399" w:type="dxa"/>
            <w:gridSpan w:val="3"/>
            <w:tcBorders>
              <w:top w:val="single" w:sz="8"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FFFFFF"/>
              <w:right w:val="single" w:sz="8" w:space="0" w:color="000000"/>
            </w:tcBorders>
            <w:shd w:fill="000000" w:val="clear"/>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FFFFFF"/>
                <w:sz w:val="20"/>
              </w:rPr>
            </w:pPr>
            <w:r>
              <w:rPr>
                <w:rFonts w:ascii="Times New Roman;sans-serif" w:hAnsi="Times New Roman;sans-serif"/>
                <w:b w:val="false"/>
                <w:color w:val="FFFFFF"/>
                <w:sz w:val="20"/>
              </w:rPr>
              <w:t>Transfers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Bitcoin Cash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 Classic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USD Coin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USDC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Our management regularly considers whether to make any potential additional crypto assets available on our platform, consistent with our policies and procedures. See </w:t>
      </w:r>
      <w:r>
        <w:rPr>
          <w:color w:val="000000"/>
        </w:rPr>
        <w:t>“</w:t>
      </w:r>
      <w:r>
        <w:rPr>
          <w:rFonts w:ascii="Times New Roman;sans-serif" w:hAnsi="Times New Roman;sans-serif"/>
          <w:b w:val="false"/>
          <w:i/>
          <w:color w:val="000000"/>
          <w:sz w:val="20"/>
        </w:rPr>
        <w:t>-Policies and Procedures - Listing-Related Policies.”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This review took into account a number of factors, including: (i) scores assigned to each crypto asset based on a rating framework that 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tbl>
      <w:tblPr>
        <w:tblW w:w="10205" w:type="dxa"/>
        <w:jc w:val="center"/>
        <w:tblInd w:w="0" w:type="dxa"/>
        <w:tblLayout w:type="fixed"/>
        <w:tblCellMar>
          <w:top w:w="28" w:type="dxa"/>
          <w:left w:w="28" w:type="dxa"/>
          <w:bottom w:w="28" w:type="dxa"/>
          <w:right w:w="28" w:type="dxa"/>
        </w:tblCellMar>
      </w:tblPr>
      <w:tblGrid>
        <w:gridCol w:w="3022"/>
        <w:gridCol w:w="2664"/>
        <w:gridCol w:w="2676"/>
        <w:gridCol w:w="109"/>
        <w:gridCol w:w="109"/>
        <w:gridCol w:w="109"/>
        <w:gridCol w:w="510"/>
        <w:gridCol w:w="416"/>
        <w:gridCol w:w="590"/>
      </w:tblGrid>
      <w:tr>
        <w:trPr/>
        <w:tc>
          <w:tcPr>
            <w:tcW w:w="3022"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362"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FFFFFF"/>
                <w:sz w:val="20"/>
              </w:rPr>
            </w:pPr>
            <w:r>
              <w:rPr>
                <w:rFonts w:ascii="Arial;sans-serif" w:hAnsi="Arial;sans-serif"/>
                <w:b w:val="false"/>
                <w:color w:val="FFFFFF"/>
                <w:sz w:val="20"/>
              </w:rPr>
              <w:t>Crypto Asset (Symbol)</w:t>
            </w:r>
          </w:p>
        </w:tc>
        <w:tc>
          <w:tcPr>
            <w:tcW w:w="327" w:type="dxa"/>
            <w:gridSpan w:val="3"/>
            <w:tcBorders>
              <w:top w:val="single" w:sz="8" w:space="0" w:color="000000"/>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right w:val="single" w:sz="8" w:space="0" w:color="000000"/>
            </w:tcBorders>
            <w:shd w:fill="000000" w:val="clear"/>
            <w:tcMar>
              <w:top w:w="30" w:type="dxa"/>
              <w:left w:w="0" w:type="dxa"/>
              <w:bottom w:w="0" w:type="dxa"/>
            </w:tcMar>
            <w:vAlign w:val="center"/>
          </w:tcPr>
          <w:p>
            <w:pPr>
              <w:pStyle w:val="TableContents"/>
              <w:bidi w:val="0"/>
              <w:spacing w:lineRule="auto" w:line="240" w:before="0" w:after="0"/>
              <w:jc w:val="left"/>
              <w:rPr>
                <w:rFonts w:ascii="Arial;sans-serif" w:hAnsi="Arial;sans-serif"/>
                <w:b w:val="false"/>
                <w:color w:val="FFFFFF"/>
                <w:sz w:val="20"/>
              </w:rPr>
            </w:pPr>
            <w:r>
              <w:rPr>
                <w:rFonts w:ascii="Arial;sans-serif" w:hAnsi="Arial;sans-serif"/>
                <w:b w:val="false"/>
                <w:color w:val="FFFFFF"/>
                <w:sz w:val="20"/>
              </w:rPr>
              <w:t>Date of Delisting</w:t>
            </w:r>
          </w:p>
        </w:tc>
      </w:tr>
      <w:tr>
        <w:trPr/>
        <w:tc>
          <w:tcPr>
            <w:tcW w:w="836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6, 2022</w:t>
            </w:r>
          </w:p>
        </w:tc>
      </w:tr>
      <w:tr>
        <w:trPr/>
        <w:tc>
          <w:tcPr>
            <w:tcW w:w="8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CRO; DASH; ONE; LUNA; LUNC; ZEC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15, 2023</w:t>
            </w:r>
          </w:p>
        </w:tc>
      </w:tr>
      <w:tr>
        <w:trPr/>
        <w:tc>
          <w:tcPr>
            <w:tcW w:w="8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ALGO; MANA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21, 2023</w:t>
            </w:r>
          </w:p>
        </w:tc>
      </w:tr>
      <w:tr>
        <w:trPr/>
        <w:tc>
          <w:tcPr>
            <w:tcW w:w="83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 GALA; YFI; LRC; ICP; BAT; LINK; APE; MKR; REN; BNT; SNX; ATOM; GRT; AAVE; FIL; XTZ; AVAX; UNI; XLM; CHZ; SUSHI; CRV; ENJ; FTM; SOL; ADA; MATIC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19, 2023</w:t>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Crypto Asset Trading</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clients that entitle us to receive recurring subscription revenues in the form of platform fees from clients for the use of our platforms by their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may purchase approved crypto assets directly through Bakkt Crypto utilizing one of four funding sources:</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fiat wallet (see Fig. 1 below);</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Banking as a Service (“BaaS”) provider account (see Fig. 2 below);</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brokerage account (see Fig. 3 below); or</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points/rewards account with a participating loyalty client (see Fig. 4 below; expected to become available in the first half of 2024).</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may sell crypto assets through Bakkt Crypto. The sale proceeds from a sale can be directed to one of three potential customer accounts:</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fiat wallet (see Fig. 5 below);</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BaaS account (see Fig. 6 below); or</w:t>
      </w:r>
    </w:p>
    <w:p>
      <w:pPr>
        <w:pStyle w:val="TextBody"/>
        <w:bidi w:val="0"/>
        <w:spacing w:lineRule="auto" w:line="333" w:before="120" w:after="283"/>
        <w:jc w:val="left"/>
        <w:rPr/>
      </w:pPr>
      <w:r>
        <w:rPr>
          <w:color w:val="000000"/>
        </w:rPr>
        <w:t>•</w:t>
      </w:r>
      <w:r>
        <w:rPr>
          <w:rFonts w:ascii="Times New Roman;sans-serif" w:hAnsi="Times New Roman;sans-serif"/>
          <w:b w:val="false"/>
          <w:color w:val="000000"/>
          <w:sz w:val="20"/>
        </w:rPr>
        <w:t>the customer’s brokerage account (see Fig. 7 below).</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color w:val="000000"/>
        </w:rPr>
        <w:t>—</w:t>
      </w:r>
      <w:r>
        <w:rPr>
          <w:rFonts w:ascii="Times New Roman;sans-serif" w:hAnsi="Times New Roman;sans-serif"/>
          <w:b w:val="false"/>
          <w:i/>
          <w:color w:val="000000"/>
          <w:sz w:val="20"/>
        </w:rPr>
        <w:t>Crypto Assets and Services Offered by Bakkt–Crypto Asset Trading–Liquidity Providers</w:t>
      </w:r>
      <w:r>
        <w:rPr>
          <w:color w:val="000000"/>
        </w:rPr>
        <w:t xml:space="preserve">” </w:t>
      </w:r>
      <w:r>
        <w:rPr>
          <w:rFonts w:ascii="Times New Roman;sans-serif" w:hAnsi="Times New Roman;sans-serif"/>
          <w:b w:val="false"/>
          <w:color w:val="000000"/>
          <w:sz w:val="20"/>
        </w:rPr>
        <w:t>below.</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can submit an order request to purchase crypto assets by specifying the dollar value or coin quantity that they wish to purchase. The client’s user interface displays the estimated price or quantity, as applicable, as well as any transaction fees.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pStyle w:val="TextBody"/>
        <w:bidi w:val="0"/>
        <w:spacing w:before="11" w:after="283"/>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1 Crypto Assets Purchase Through A Fiat Wallet</w:t>
      </w:r>
    </w:p>
    <w:p>
      <w:pPr>
        <w:pStyle w:val="TextBody"/>
        <w:bidi w:val="0"/>
        <w:spacing w:before="0" w:after="0"/>
        <w:jc w:val="center"/>
        <w:rPr/>
      </w:pPr>
      <w:r>
        <w:rPr/>
      </w:r>
    </w:p>
    <w:p>
      <w:pPr>
        <w:pStyle w:val="TextBody"/>
        <w:bidi w:val="0"/>
        <w:spacing w:before="22" w:after="283"/>
        <w:ind w:left="0" w:right="0" w:firstLine="720"/>
        <w:jc w:val="center"/>
        <w:rPr/>
      </w:pPr>
      <w:r>
        <w:rPr/>
        <w:drawing>
          <wp:inline distT="0" distB="0" distL="0" distR="0">
            <wp:extent cx="6105525" cy="22955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105525" cy="2295525"/>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Crypto, as depicted in Figure 6, below. Our client, not the Company, maintains the relationship with the BaaS provider and the Company is not itself regulated as a bank.</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2 Crypto Assets Purchase Through A Customer’s BaaS Account</w:t>
      </w:r>
    </w:p>
    <w:p>
      <w:pPr>
        <w:pStyle w:val="TextBody"/>
        <w:bidi w:val="0"/>
        <w:spacing w:before="0" w:after="0"/>
        <w:jc w:val="center"/>
        <w:rPr/>
      </w:pPr>
      <w:r>
        <w:rPr/>
      </w:r>
    </w:p>
    <w:p>
      <w:pPr>
        <w:pStyle w:val="TextBody"/>
        <w:bidi w:val="0"/>
        <w:spacing w:before="22" w:after="283"/>
        <w:ind w:left="0" w:right="0" w:firstLine="990"/>
        <w:jc w:val="center"/>
        <w:rPr/>
      </w:pPr>
      <w:r>
        <w:rPr/>
        <w:drawing>
          <wp:inline distT="0" distB="0" distL="0" distR="0">
            <wp:extent cx="5705475" cy="24193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705475" cy="2419350"/>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customer’s funding source is a brokerage account, Bakkt Crypto sends a message to ledger the funds from the customer’s brokerage account at the brokerage’s clearing firm to Bakkt Crypto brokerage account at the brokerage’s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clearing firm. During the daily batch settlement period, fiat funds are transmitted from the Bakkt Crypto brokerage account to the Bakkt Crypto transaction account.</w:t>
      </w:r>
    </w:p>
    <w:p>
      <w:pPr>
        <w:pStyle w:val="TextBody"/>
        <w:bidi w:val="0"/>
        <w:spacing w:lineRule="auto" w:line="288" w:before="12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3 Crypto Assets Purchase Through A Customer’s Brokerage Account</w:t>
      </w:r>
    </w:p>
    <w:p>
      <w:pPr>
        <w:pStyle w:val="TextBody"/>
        <w:bidi w:val="0"/>
        <w:spacing w:before="0" w:after="0"/>
        <w:jc w:val="center"/>
        <w:rPr/>
      </w:pPr>
      <w:r>
        <w:rPr/>
      </w:r>
    </w:p>
    <w:p>
      <w:pPr>
        <w:pStyle w:val="TextBody"/>
        <w:bidi w:val="0"/>
        <w:spacing w:before="21" w:after="283"/>
        <w:ind w:left="0" w:right="0" w:firstLine="720"/>
        <w:jc w:val="center"/>
        <w:rPr/>
      </w:pPr>
      <w:r>
        <w:rPr/>
        <w:drawing>
          <wp:inline distT="0" distB="0" distL="0" distR="0">
            <wp:extent cx="6115050" cy="26289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115050" cy="2628900"/>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points account at a points/rewards client, Bakkt Crypto will debit the customer’s points account. During the daily batch settlement, funds are transferred from the rewards client account to the Bakkt Crypto transaction account.</w:t>
      </w:r>
    </w:p>
    <w:p>
      <w:pPr>
        <w:pStyle w:val="TextBody"/>
        <w:bidi w:val="0"/>
        <w:spacing w:lineRule="auto" w:line="288" w:before="12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4 Crypto Assets Purchase Through A Customer’s Points/Rewards Account</w:t>
      </w:r>
    </w:p>
    <w:p>
      <w:pPr>
        <w:pStyle w:val="TextBody"/>
        <w:bidi w:val="0"/>
        <w:spacing w:before="0" w:after="0"/>
        <w:jc w:val="center"/>
        <w:rPr/>
      </w:pPr>
      <w:r>
        <w:rPr/>
      </w:r>
    </w:p>
    <w:p>
      <w:pPr>
        <w:pStyle w:val="TextBody"/>
        <w:bidi w:val="0"/>
        <w:spacing w:before="22" w:after="283"/>
        <w:ind w:left="0" w:right="0" w:firstLine="900"/>
        <w:jc w:val="center"/>
        <w:rPr/>
      </w:pPr>
      <w:r>
        <w:rPr/>
        <w:drawing>
          <wp:inline distT="0" distB="0" distL="0" distR="0">
            <wp:extent cx="5934075" cy="242887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5934075" cy="2428875"/>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5 Crypto Assets Sale with proceeds to the Customer’s Fiat Wallet Hosted by Bakkt Crypto</w:t>
      </w:r>
    </w:p>
    <w:p>
      <w:pPr>
        <w:pStyle w:val="TextBody"/>
        <w:bidi w:val="0"/>
        <w:spacing w:before="0" w:after="0"/>
        <w:jc w:val="center"/>
        <w:rPr/>
      </w:pPr>
      <w:r>
        <w:rPr/>
      </w:r>
    </w:p>
    <w:p>
      <w:pPr>
        <w:pStyle w:val="TextBody"/>
        <w:bidi w:val="0"/>
        <w:spacing w:before="22" w:after="283"/>
        <w:ind w:left="0" w:right="0" w:firstLine="810"/>
        <w:jc w:val="center"/>
        <w:rPr/>
      </w:pPr>
      <w:r>
        <w:rPr/>
        <w:drawing>
          <wp:inline distT="0" distB="0" distL="0" distR="0">
            <wp:extent cx="5953125" cy="223837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5953125" cy="2238375"/>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6 Crypto Assets Sale with Proceeds to the Customer’s BaaS Account</w:t>
      </w:r>
    </w:p>
    <w:p>
      <w:pPr>
        <w:pStyle w:val="TextBody"/>
        <w:bidi w:val="0"/>
        <w:spacing w:before="0" w:after="0"/>
        <w:jc w:val="center"/>
        <w:rPr/>
      </w:pPr>
      <w:r>
        <w:rPr/>
      </w:r>
    </w:p>
    <w:p>
      <w:pPr>
        <w:pStyle w:val="TextBody"/>
        <w:bidi w:val="0"/>
        <w:spacing w:before="20" w:after="283"/>
        <w:ind w:left="0" w:right="0" w:firstLine="990"/>
        <w:jc w:val="center"/>
        <w:rPr/>
      </w:pPr>
      <w:r>
        <w:rPr/>
        <w:drawing>
          <wp:inline distT="0" distB="0" distL="0" distR="0">
            <wp:extent cx="5819775" cy="23241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5819775" cy="2324100"/>
                    </a:xfrm>
                    <a:prstGeom prst="rect">
                      <a:avLst/>
                    </a:prstGeom>
                  </pic:spPr>
                </pic:pic>
              </a:graphicData>
            </a:graphic>
          </wp:inline>
        </w:drawing>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03"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Fig. 7 Crypto Assets Sale with Proceeds to the Customer’s Brokerage Account</w:t>
      </w:r>
    </w:p>
    <w:p>
      <w:pPr>
        <w:pStyle w:val="TextBody"/>
        <w:bidi w:val="0"/>
        <w:spacing w:before="0" w:after="0"/>
        <w:jc w:val="center"/>
        <w:rPr/>
      </w:pPr>
      <w:r>
        <w:rPr/>
      </w:r>
    </w:p>
    <w:p>
      <w:pPr>
        <w:pStyle w:val="TextBody"/>
        <w:bidi w:val="0"/>
        <w:spacing w:before="22" w:after="283"/>
        <w:ind w:left="0" w:right="0" w:firstLine="900"/>
        <w:jc w:val="center"/>
        <w:rPr/>
      </w:pPr>
      <w:r>
        <w:rPr/>
        <w:drawing>
          <wp:inline distT="0" distB="0" distL="0" distR="0">
            <wp:extent cx="5886450" cy="22098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5886450" cy="2209800"/>
                    </a:xfrm>
                    <a:prstGeom prst="rect">
                      <a:avLst/>
                    </a:prstGeom>
                  </pic:spPr>
                </pic:pic>
              </a:graphicData>
            </a:graphic>
          </wp:inline>
        </w:drawing>
      </w:r>
    </w:p>
    <w:p>
      <w:pPr>
        <w:pStyle w:val="TextBody"/>
        <w:bidi w:val="0"/>
        <w:spacing w:lineRule="auto" w:line="333" w:before="240" w:after="283"/>
        <w:jc w:val="both"/>
        <w:rPr>
          <w:rFonts w:ascii="Times New Roman;sans-serif" w:hAnsi="Times New Roman;sans-serif"/>
          <w:b/>
          <w:i/>
          <w:color w:val="0C0C0C"/>
          <w:sz w:val="20"/>
        </w:rPr>
      </w:pPr>
      <w:r>
        <w:rPr>
          <w:rFonts w:ascii="Times New Roman;sans-serif" w:hAnsi="Times New Roman;sans-serif"/>
          <w:b/>
          <w:i/>
          <w:color w:val="0C0C0C"/>
          <w:sz w:val="20"/>
        </w:rPr>
        <w:t>Liquidity Providers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fill customer orders as a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is conducted on a net basis on the blockchain supporting the crypto asset. Bakkt Crypto is not required to pre-fund any transactions with liquidity providers. Instead, Bakkt Crypto settles with liquidity providers on a daily basis; however, in instances where a liquidity 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Custody Services for the Crypto Assets Supported for Trading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8%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BitGo Custody Agreement, BitGo, at Bakkt Crypto’s direction, establishes and maintains wallets for the storage of crypto assets, including cold wallets where BitGo holds all of the keys, and all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one-year term and renews automatically for successive one-year periods unless either party provides notice to the other party of its intent not to renew at least 60 days prior to the expiration of the then-current 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Fireblocks License Agreement,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intention is to consolidate our self-custodial services while still offering diversification across custodians for clients that request it.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Trust holds at least 90% of the crypto assets held in custody in cold storage and up to 10% of crypto assets (not to exceed $25.0 million in notional value at any one time) in warm or hot wallets.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pStyle w:val="TextBody"/>
        <w:bidi w:val="0"/>
        <w:spacing w:lineRule="auto" w:line="333"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insurance provider has inspection rights in respect of the crypto assets held in storage.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External Transfers of Crypto Assets (through Bakkt Crypto)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Institutional Client Business – Crypto Custody Services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Bakkt Trust currently provides custody services to customers of Bakkt Marketplace and Bakkt Crypto and to its own institutional customers with respect to all of the crypto assets which we support for trading. For a list of these crypto assets, see the table for Bakkt Trust under “</w:t>
      </w:r>
      <w:r>
        <w:rPr>
          <w:color w:val="000000"/>
        </w:rPr>
        <w:t>—</w:t>
      </w:r>
      <w:r>
        <w:rPr>
          <w:rFonts w:ascii="Times New Roman;sans-serif" w:hAnsi="Times New Roman;sans-serif"/>
          <w:b w:val="false"/>
          <w:i/>
          <w:color w:val="000000"/>
          <w:sz w:val="20"/>
        </w:rPr>
        <w:t>Crypto Assets and Services Offered by Bakkt</w:t>
      </w:r>
      <w:r>
        <w:rPr>
          <w:color w:val="000000"/>
        </w:rPr>
        <w:t xml:space="preserve">” </w:t>
      </w:r>
      <w:r>
        <w:rPr>
          <w:rFonts w:ascii="Times New Roman;sans-serif" w:hAnsi="Times New Roman;sans-serif"/>
          <w:b w:val="false"/>
          <w:color w:val="000000"/>
          <w:sz w:val="20"/>
        </w:rPr>
        <w:t xml:space="preserve">above. </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Bakkt Rewards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half of 2024.</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Rewards will initially be supported by the Bakkt Marketplace platform and, once it combines with Bakkt Crypto, by the platform of the combined entity.</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Potential Services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ongoing review of potential services, we continually evaluate how we can most effectively improve our platform and service offerings in a manner that is compliant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Policies and Procedures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a comprehensive set of policies and procedures relating to crypto assets and crypto asset-related services.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Custody-Related Policies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Listing-Related Policies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crypto asset listing and delisting policies for each of Bakkt Marketplace (which policy also covers Bakkt Crypto, as its wholly owned subsidiary) and Bakkt Trust (the “Listing Policies”), the purpose of which is to provide a framework for the review and approval of new crypto assets, and continued offering of crypto assets, for customer transactions and custody services, respectively. The Listing Policies were revised to accommodate new guidance issued by the NYDFS in November 2023, and were subsequently approved by the NYDFS. Material revisions to the Listing Policies require prior written approval from the NYDFS.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cyber security risk; and illicit finance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monitor each of the crypto assets for material changes and for changes in the risk assessment conducted during the listing evaluation, and to ensure their offering remains consistent with our mission and values, general safety and soundness, and protection of customers. Should we determine that removal of a crypto asset is consistent with NYDFS guidance and regulations, and with safety and soundness, we will delist the crypto asset in accordance with the Listing Policies.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Listing Policies do not ascribe specific weighting to particular factors or inputs to be considered in connection with the potential listing or delisting of crypto assets.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platform to our clients. We do not engage in any direct-to-consumer marketing for the acquisition or engagement of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market our products and services to potential clients using multiple business-to-business channels, such as (i) Company-owned domains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Customer Identification Program and KYC verification) and to service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Matters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and officers’, employee and fiduciary liability.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covered for certain liabilities by insurance policies issued to third parties, including, but not limited to, our dealers and vendors.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 $30 million of hot storage coverage has a three-year term, expiring October 2024. The $200 million of cold storage coverage has a one-year term, expiring November 2024.</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of hot storage coverage policy is non-cancellable, other than due to non-payment of premium. The $200 million of cold storage coverage policy may only be cancelled upon: 1) the Company’s election to cancel, 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insurer’s election to cancel, on 90 days’ notice to the Company, 3) the Company’s change in ownership or control or seizure by a receiver, trustee, or government entity, 4) voluntary liquidation of the Company, 5) exhaustion of the coverage limit, or 6) non-payment of premium. The $30 million of hot storage coverage policy has no automatic or guaranteed renewal provisions, although we expect to renew such coverage prior to its expiration. The $200 million of cold storage policy has a one-year guaranteed renewal provision. There are no carrier inspection rights, but an affirmative proof of loss statement would need to be completed in the event of a loss.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Loyalty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offer a full spectrum of supplier content through configurable, white-label e-commerce storefronts that clients can make available for their customers to purchase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clients’ loyalty strategies and user experience for their loyalty programs. Functionality includes a mobile-optimized user interface, numerous configurations to support diverse program needs, promotional campaign services, comprehensive fraud protection capabilities and the ability to split payments across both loyalty points and credit cards. We recognize that businesses want to offer consumers choice, innovation and a frictionless experience, and our platform and service offerings were constructed with this in mind.</w:t>
      </w:r>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We have thoughtfully built a unique and powerful platform with end-to-end services, including easily consumable technology services, customer support and compliance infrastructure, for our clients. </w:t>
      </w:r>
    </w:p>
    <w:p>
      <w:pPr>
        <w:pStyle w:val="TextBody"/>
        <w:bidi w:val="0"/>
        <w:spacing w:lineRule="auto" w:line="288" w:before="240" w:after="283"/>
        <w:jc w:val="both"/>
        <w:rPr>
          <w:rFonts w:ascii="Times New Roman;sans-serif" w:hAnsi="Times New Roman;sans-serif"/>
          <w:b/>
          <w:color w:val="0C0C0C"/>
          <w:sz w:val="20"/>
        </w:rPr>
      </w:pPr>
      <w:r>
        <w:rPr>
          <w:rFonts w:ascii="Times New Roman;sans-serif" w:hAnsi="Times New Roman;sans-serif"/>
          <w:b/>
          <w:color w:val="0C0C0C"/>
          <w:sz w:val="20"/>
        </w:rPr>
        <w:t>Our Clients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Our clients include financial institutions, fintechs, broker-dealers, neobanks, registered investment advisers, funds, merchants, and other businesses. Our crypto-related capabilities facilitate new asset acquisition opportunities for their customers, in addition to the secure safekeeping of acquired crypto assets and crypto assets stored on behalf of institutional clients. Our loyalty-related capabilities deepen our clients’ relationships with their customers by strengthening the value proposition of their loyalty programs. Our thousands of redemption options enable our clients to meet their customers where they are, deliver the products and services they desire, and meet the expectations of next generation audiences by offering crypto redemption options. </w:t>
      </w:r>
    </w:p>
    <w:p>
      <w:pPr>
        <w:pStyle w:val="TextBody"/>
        <w:bidi w:val="0"/>
        <w:spacing w:lineRule="auto" w:line="333" w:before="240" w:after="283"/>
        <w:ind w:left="0" w:right="0" w:firstLine="720"/>
        <w:jc w:val="both"/>
        <w:rPr/>
      </w:pPr>
      <w:r>
        <w:rPr>
          <w:rFonts w:ascii="Times New Roman;sans-serif" w:hAnsi="Times New Roman;sans-serif"/>
          <w:b w:val="false"/>
          <w:color w:val="0C0C0C"/>
          <w:sz w:val="20"/>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more information, please see our risk factors described in </w:t>
      </w:r>
      <w:r>
        <w:rPr>
          <w:color w:val="0C0C0C"/>
        </w:rPr>
        <w:t>“</w:t>
      </w:r>
      <w:r>
        <w:rPr>
          <w:rFonts w:ascii="Times New Roman;sans-serif" w:hAnsi="Times New Roman;sans-serif"/>
          <w:b w:val="false"/>
          <w:i/>
          <w:color w:val="0C0C0C"/>
          <w:sz w:val="20"/>
        </w:rPr>
        <w:t>Item 1A. Risk Factors - Related to Our Business, Finances and Operations”.</w:t>
      </w:r>
      <w:r>
        <w:rPr>
          <w:color w:val="0C0C0C"/>
        </w:rPr>
        <w:t xml:space="preserve"> </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Revenue Model</w:t>
      </w:r>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We primarily generate revenue when clients or their customers use our services to buy, sell and/or store crypto or transact in loyalty points across our platform in the following key areas:</w:t>
      </w:r>
    </w:p>
    <w:p>
      <w:pPr>
        <w:pStyle w:val="TextBody"/>
        <w:bidi w:val="0"/>
        <w:spacing w:lineRule="auto" w:line="333" w:before="240" w:after="283"/>
        <w:ind w:left="0" w:right="0" w:hanging="360"/>
        <w:jc w:val="both"/>
        <w:rPr/>
      </w:pPr>
      <w:r>
        <w:rPr>
          <w:color w:val="151515"/>
        </w:rPr>
        <w:t>•</w:t>
      </w:r>
      <w:r>
        <w:rPr>
          <w:rFonts w:ascii="Times New Roman;sans-serif" w:hAnsi="Times New Roman;sans-serif"/>
          <w:b/>
          <w:i/>
          <w:color w:val="0C0C0C"/>
          <w:sz w:val="20"/>
        </w:rPr>
        <w:t xml:space="preserve">Subscription and service revenue. </w:t>
      </w:r>
      <w:r>
        <w:rPr>
          <w:rFonts w:ascii="Times New Roman;sans-serif" w:hAnsi="Times New Roman;sans-serif"/>
          <w:b w:val="false"/>
          <w:color w:val="151515"/>
          <w:sz w:val="20"/>
        </w:rPr>
        <w:t>We receive a recurring subscription revenue stream from client platform fees as well as service revenue from software development fees and call center support.</w:t>
      </w:r>
    </w:p>
    <w:p>
      <w:pPr>
        <w:pStyle w:val="TextBody"/>
        <w:bidi w:val="0"/>
        <w:spacing w:lineRule="auto" w:line="333" w:before="240" w:after="283"/>
        <w:ind w:left="0" w:right="0" w:hanging="360"/>
        <w:jc w:val="both"/>
        <w:rPr/>
      </w:pPr>
      <w:r>
        <w:rPr>
          <w:color w:val="000000"/>
        </w:rPr>
        <w:t>•</w:t>
      </w:r>
      <w:r>
        <w:rPr>
          <w:rFonts w:ascii="Times New Roman;sans-serif" w:hAnsi="Times New Roman;sans-serif"/>
          <w:b/>
          <w:i/>
          <w:color w:val="0C0C0C"/>
          <w:sz w:val="20"/>
        </w:rPr>
        <w:t>Transaction revenue.</w:t>
      </w:r>
      <w:r>
        <w:rPr>
          <w:color w:val="151515"/>
        </w:rPr>
        <w:t xml:space="preserve"> </w:t>
      </w:r>
      <w:r>
        <w:rPr>
          <w:rFonts w:ascii="Times New Roman;sans-serif" w:hAnsi="Times New Roman;sans-serif"/>
          <w:b w:val="false"/>
          <w:color w:val="151515"/>
          <w:sz w:val="20"/>
        </w:rPr>
        <w:t>We generate transaction revenue from crypto buy/sell transactions, where we charge a markup on both legs of the transaction, and through loyalty redemption volumes, where we earn a margin from the difference of the value of the points being redeemed and the cost of fulfilling the redemption request.</w:t>
      </w:r>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Our loyalty revenue has seasonality and is typically higher in the fourth quarter, driven by holiday spending and the travel bookings.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Revenue generated from our crypto services had been immaterial prior to our acquisition of Bakkt Crypto; however, revenue from crypto services is now a significant driver of our business, and we expect crypto services revenue to increase as we grow our client base and our customers. As a result of our acquisition of Bakkt Crypto, we expect loyalty revenue, which prior to the Bakkt Crypto acquisition was the source of substantially all of our revenue, to be a smaller percentage of overall revenue in the future as the revenue grows from our crypto product and service offerings. </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Growth Strategy</w:t>
      </w:r>
    </w:p>
    <w:p>
      <w:pPr>
        <w:pStyle w:val="TextBody"/>
        <w:bidi w:val="0"/>
        <w:spacing w:lineRule="auto" w:line="333" w:before="240" w:after="283"/>
        <w:ind w:left="0" w:right="0" w:firstLine="720"/>
        <w:jc w:val="both"/>
        <w:rPr>
          <w:rFonts w:ascii="Times New Roman;sans-serif" w:hAnsi="Times New Roman;sans-serif"/>
          <w:b w:val="false"/>
          <w:color w:val="131313"/>
          <w:sz w:val="20"/>
        </w:rPr>
      </w:pPr>
      <w:r>
        <w:rPr>
          <w:rFonts w:ascii="Times New Roman;sans-serif" w:hAnsi="Times New Roman;sans-serif"/>
          <w:b w:val="false"/>
          <w:color w:val="131313"/>
          <w:sz w:val="20"/>
        </w:rPr>
        <w:t>We go to market using a platform strategy, driven by our clients. We partner with leading companies and expect to grow customers on our platform through those relationships, in addition to our direct institutional clients. We have already built an extensive network of clients across numerous industries including financial institutions, merchants and travel and entertainment. These clients include Webull, Public.com, Blockchain.com, Swan Bitcoin, and Caesars. We believe this strategy will enable us to add transacting accounts and volume more quickly and more efficiently than a direct-to-consumer model, given our limited operating history and the novelty of the crypto space for some customers.</w:t>
      </w:r>
    </w:p>
    <w:p>
      <w:pPr>
        <w:pStyle w:val="TextBody"/>
        <w:bidi w:val="0"/>
        <w:spacing w:lineRule="auto" w:line="333" w:before="240" w:after="283"/>
        <w:ind w:left="0" w:right="0" w:firstLine="720"/>
        <w:jc w:val="both"/>
        <w:rPr>
          <w:rFonts w:ascii="Times New Roman;sans-serif" w:hAnsi="Times New Roman;sans-serif"/>
          <w:b w:val="false"/>
          <w:color w:val="131313"/>
          <w:sz w:val="20"/>
        </w:rPr>
      </w:pPr>
      <w:r>
        <w:rPr>
          <w:rFonts w:ascii="Times New Roman;sans-serif" w:hAnsi="Times New Roman;sans-serif"/>
          <w:b w:val="false"/>
          <w:color w:val="131313"/>
          <w:sz w:val="20"/>
        </w:rPr>
        <w:t xml:space="preserve">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 hosted user interfaces such as our Custody client portal. </w:t>
      </w:r>
    </w:p>
    <w:p>
      <w:pPr>
        <w:pStyle w:val="TextBody"/>
        <w:bidi w:val="0"/>
        <w:spacing w:lineRule="auto" w:line="333" w:before="240" w:after="283"/>
        <w:ind w:left="0" w:right="0" w:firstLine="720"/>
        <w:jc w:val="both"/>
        <w:rPr>
          <w:rFonts w:ascii="Times New Roman;sans-serif" w:hAnsi="Times New Roman;sans-serif"/>
          <w:b w:val="false"/>
          <w:color w:val="131313"/>
          <w:sz w:val="20"/>
        </w:rPr>
      </w:pPr>
      <w:r>
        <w:rPr>
          <w:rFonts w:ascii="Times New Roman;sans-serif" w:hAnsi="Times New Roman;sans-serif"/>
          <w:b w:val="false"/>
          <w:color w:val="131313"/>
          <w:sz w:val="20"/>
        </w:rPr>
        <w:t xml:space="preserve">We believe our growth will come from adding clients and correspondingly, their customers, and increasing transaction activity as well as strategic acquisitions. Our acquisition of Bakkt Crypto has provided scale and meaningful transaction volume from Bakkt Crypto’s active client base which we are working to leverage to sell additional products and services on the same platform. Leveraging Bakkt Crypto’s proprietary trading platform and existing relationships with liquidity providers, we provide a wide range of assets and competitive pricing to our clients. </w:t>
      </w:r>
    </w:p>
    <w:p>
      <w:pPr>
        <w:pStyle w:val="TextBody"/>
        <w:bidi w:val="0"/>
        <w:spacing w:lineRule="auto" w:line="333" w:before="240" w:after="283"/>
        <w:ind w:left="0" w:right="0" w:firstLine="720"/>
        <w:jc w:val="both"/>
        <w:rPr>
          <w:rFonts w:ascii="Times New Roman;sans-serif" w:hAnsi="Times New Roman;sans-serif"/>
          <w:b w:val="false"/>
          <w:color w:val="131313"/>
          <w:sz w:val="20"/>
        </w:rPr>
      </w:pPr>
      <w:r>
        <w:rPr>
          <w:rFonts w:ascii="Times New Roman;sans-serif" w:hAnsi="Times New Roman;sans-serif"/>
          <w:b w:val="false"/>
          <w:color w:val="131313"/>
          <w:sz w:val="20"/>
        </w:rPr>
        <w:t>Our growth strategies include the following:</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Adding clients.</w:t>
      </w:r>
      <w:r>
        <w:rPr>
          <w:color w:val="0C0C0C"/>
        </w:rPr>
        <w:t xml:space="preserve"> </w:t>
      </w:r>
      <w:r>
        <w:rPr>
          <w:rFonts w:ascii="Times New Roman;sans-serif" w:hAnsi="Times New Roman;sans-serif"/>
          <w:b w:val="false"/>
          <w:color w:val="0C0C0C"/>
          <w:sz w:val="20"/>
        </w:rPr>
        <w:t xml:space="preserve">We are focused on continuing to build strong client relationships. Acquiring customers through our clients is an efficient and scalable way to grow our business. </w:t>
      </w:r>
      <w:r>
        <w:rPr>
          <w:rFonts w:ascii="Times New Roman;sans-serif" w:hAnsi="Times New Roman;sans-serif"/>
          <w:b w:val="false"/>
          <w:color w:val="131313"/>
          <w:sz w:val="20"/>
        </w:rPr>
        <w:t>Bakkt Crypto has significantly expanded our crypto client base into a number of new and rapidly growing client verticals, such as fintechs, trading and brokerage platforms and neobanks. In addition to growing our retail trading clients, we continue to invest in the institutional side of our business, initially with our relaunched qualified custodian product and as a key agent for collaborative custody through our partnership with Unchained.</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131313"/>
          <w:sz w:val="20"/>
        </w:rPr>
        <w:t xml:space="preserve">Adding customers. </w:t>
      </w:r>
      <w:r>
        <w:rPr>
          <w:rFonts w:ascii="Times New Roman;sans-serif" w:hAnsi="Times New Roman;sans-serif"/>
          <w:b w:val="false"/>
          <w:color w:val="0C0C0C"/>
          <w:sz w:val="20"/>
        </w:rPr>
        <w:t>We are focused on</w:t>
      </w:r>
      <w:r>
        <w:rPr>
          <w:color w:val="0C0C0C"/>
        </w:rPr>
        <w:t xml:space="preserve"> </w:t>
      </w:r>
      <w:r>
        <w:rPr>
          <w:rFonts w:ascii="Times New Roman;sans-serif" w:hAnsi="Times New Roman;sans-serif"/>
          <w:b w:val="false"/>
          <w:color w:val="0C0C0C"/>
          <w:sz w:val="20"/>
        </w:rPr>
        <w:t>activating our existing clients and supporting our clients in marketing campaigns to drive new customer acquisition and engagement of existing customers. Our existing clients provide us with an addressable market of well over 100 million potential users, who we will focus on bringing onto our platform.</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Expanding our offering.</w:t>
      </w:r>
      <w:r>
        <w:rPr>
          <w:color w:val="0C0C0C"/>
        </w:rPr>
        <w:t xml:space="preserve"> </w:t>
      </w:r>
      <w:r>
        <w:rPr>
          <w:rFonts w:ascii="Times New Roman;sans-serif" w:hAnsi="Times New Roman;sans-serif"/>
          <w:b w:val="false"/>
          <w:color w:val="0C0C0C"/>
          <w:sz w:val="20"/>
        </w:rPr>
        <w:t xml:space="preserve">We aim to increase the breadth and depth of our product offering - with respect to both retail customers and institutional clients - in order to increase its appeal to clients and customers. With respect to our retail product offerings, we made numerous enhancements to our platform over the last year in addition to the expanded capabilities from the acquisition of Bakkt Crypto, which has been enhanced with the addition of fiat funding. We believe Bakkt Crypto accelerated our product road map by providing new capabilities to our platform including the addition of 6 coins to our platform and deposit and withdrawal functionality in jurisdictions where permitted. The integration with Bakkt Marketplace enabled direct fiat funding capabilities, user management and onboarding and compliance functionality, each of which continue to be enhanced with additions such as wire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C0C0C"/>
          <w:sz w:val="20"/>
        </w:rPr>
      </w:pPr>
      <w:r>
        <w:rPr>
          <w:rFonts w:ascii="Times New Roman;sans-serif" w:hAnsi="Times New Roman;sans-serif"/>
          <w:b w:val="false"/>
          <w:color w:val="0C0C0C"/>
          <w:sz w:val="20"/>
        </w:rPr>
        <w:t>funding support and, subject to applicable regulatory approvals, support for entity accounts, which materially expands the market for our trading capabilities from individual consumers to include businesses and trust entities.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have also reinvested in growing our institutional offerings, starting with the relaunch of our qualified custody platform in November 2023, and subsequently expanding custody support for 6 additional crypto assets and in the process of expanding our operational coverage to support evening and weekend withdrawal processing. Custody serves as the basis for our institutional offerings, which can then be leveraged to add additional functionality to both our institutional clients and retail clients and customers. For instance, in March 2024 we launched a partnership with Unchained Capital to support their Collaborative Custody vault offering. Bakkt leverages our secure custody infrastructure, vault and operational capabilities to secure one of three private keys and act as a key agent in a multi-signature wallet in which two of three signatures are required to transfer assets, which results in custody that does not rely on any single party.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continue to invest in enhancing these custodial solutions with additional offerings to expand our addressable market. This includes enhancements to expand support from traditional long term buy and hold custody clients to service more active trading clients and funds, such as being a custodian for one or more of the recently launched spot Bitcoin ETFs, as well as any future spot based crypto ETFs. We are also working on leveraging our custody solution to provide adjacent solutions, such as settlement and collateral management capabilities. These enable settlement services for third party exchanges, so that funds can be tradable on exchange while being held securely in custody, or processed between counterparts to facilitate settlement, eliminating counterparty risk with the exchange.</w:t>
      </w:r>
    </w:p>
    <w:p>
      <w:pPr>
        <w:pStyle w:val="TextBody"/>
        <w:bidi w:val="0"/>
        <w:spacing w:lineRule="auto" w:line="333" w:before="240" w:after="283"/>
        <w:ind w:left="0" w:right="0" w:hanging="360"/>
        <w:jc w:val="both"/>
        <w:rPr/>
      </w:pPr>
      <w:r>
        <w:rPr>
          <w:color w:val="000000"/>
        </w:rPr>
        <w:t>•</w:t>
      </w:r>
      <w:r>
        <w:rPr>
          <w:rFonts w:ascii="Times New Roman;sans-serif" w:hAnsi="Times New Roman;sans-serif"/>
          <w:b/>
          <w:i/>
          <w:color w:val="000000"/>
          <w:sz w:val="20"/>
        </w:rPr>
        <w:t>Market expansion.</w:t>
      </w:r>
      <w:r>
        <w:rPr>
          <w:color w:val="000000"/>
        </w:rPr>
        <w:t xml:space="preserve"> </w:t>
      </w:r>
      <w:r>
        <w:rPr>
          <w:rFonts w:ascii="Times New Roman;sans-serif" w:hAnsi="Times New Roman;sans-serif"/>
          <w:b w:val="false"/>
          <w:color w:val="000000"/>
          <w:sz w:val="20"/>
        </w:rPr>
        <w:t>After the acquisition of Bakkt Crypto, we are seeing significant opportunity in expanding our retail offerings internationally beyond the U.S. We have expanded into new markets, and expect to continue to do so with our clients. We are currently live with our clients in Europe, Latin America and Asia, and are exploring additional expansion opportunities. Ultimately, the decision as to when and where to expand continues to be driven by client and customer demand and the regulatory environment in those markets.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Over time, we will continue to invest in our business to provide best-in-class products and services. Some of those longer-term planned enhancements include:</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00000"/>
          <w:sz w:val="20"/>
        </w:rPr>
        <w:t>Crypto enhancement</w:t>
      </w:r>
      <w:r>
        <w:rPr>
          <w:rFonts w:ascii="Times New Roman;sans-serif" w:hAnsi="Times New Roman;sans-serif"/>
          <w:b/>
          <w:i/>
          <w:color w:val="0C0C0C"/>
          <w:sz w:val="20"/>
        </w:rPr>
        <w:t>s.</w:t>
      </w:r>
      <w:r>
        <w:rPr>
          <w:color w:val="0C0C0C"/>
        </w:rPr>
        <w:t xml:space="preserve"> </w:t>
      </w:r>
      <w:r>
        <w:rPr>
          <w:rFonts w:ascii="Times New Roman;sans-serif" w:hAnsi="Times New Roman;sans-serif"/>
          <w:b w:val="false"/>
          <w:color w:val="0C0C0C"/>
          <w:sz w:val="20"/>
        </w:rPr>
        <w:t>We expect to expand our crypto capabilities to products and services that will appeal to both retail and institutional clients. Our institutional-grade crypto custody solution is our foundation. By increasing the acceptance of crypto investing in the institutional space, we believe that these additional products can further increase interest in crypto generally among consumers, benefiting our platform. As the narrative for crypto shifts, we will look to enhance our crypto capabilities, including layer 2 protocols like bitcoin’s Lightning Network and stablecoins, to drive increased utility in the crypto economy initially by providing more efficient settlement rails for fiat to fiat remittances.</w:t>
      </w:r>
    </w:p>
    <w:p>
      <w:pPr>
        <w:pStyle w:val="TextBody"/>
        <w:bidi w:val="0"/>
        <w:spacing w:lineRule="auto" w:line="328" w:before="240" w:after="283"/>
        <w:ind w:left="0" w:right="0" w:hanging="360"/>
        <w:jc w:val="both"/>
        <w:rPr/>
      </w:pPr>
      <w:r>
        <w:rPr>
          <w:color w:val="000000"/>
        </w:rPr>
        <w:t>•</w:t>
      </w:r>
      <w:r>
        <w:rPr>
          <w:rFonts w:ascii="Times New Roman;sans-serif" w:hAnsi="Times New Roman;sans-serif"/>
          <w:b/>
          <w:i/>
          <w:color w:val="0C0C0C"/>
          <w:sz w:val="20"/>
        </w:rPr>
        <w:t xml:space="preserve">Evaluate additional strategic acquisitions. </w:t>
      </w:r>
      <w:r>
        <w:rPr>
          <w:rFonts w:ascii="Times New Roman;sans-serif" w:hAnsi="Times New Roman;sans-serif"/>
          <w:b w:val="false"/>
          <w:color w:val="0C0C0C"/>
          <w:sz w:val="20"/>
        </w:rPr>
        <w:t>We will continue to be opportunistic and evaluate strategic acquisitions that have compelling benefits for our business.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i/>
          <w:color w:val="0C0C0C"/>
          <w:sz w:val="20"/>
        </w:rPr>
        <w:t>Loyalty enhancements.</w:t>
      </w:r>
      <w:r>
        <w:rPr>
          <w:color w:val="0C0C0C"/>
        </w:rPr>
        <w:t xml:space="preserve"> </w:t>
      </w:r>
      <w:r>
        <w:rPr>
          <w:rFonts w:ascii="Times New Roman;sans-serif" w:hAnsi="Times New Roman;sans-serif"/>
          <w:b w:val="false"/>
          <w:color w:val="0C0C0C"/>
          <w:sz w:val="20"/>
        </w:rPr>
        <w:t>As we serve existing loyalty clients with large active customer populations, we can create deeper relationships across merchants with Bakkt at the center of these loyalty networks. As loyalty programs seek new ways to leverage customer data and behaviors to deliver value, we believe our platform will enable clients to more effectively acquire, re-activate and engage customers. Additionally, we continue to evaluate additional loyalty offerings and suppliers to meet the needs of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How We Are Different</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believe this provides a competitive differentiation that would be difficult to replicate. Although we do not believe that we have any single direct competitor for the full range of products we provide through our platform, we compete with a wide range of parties, including crypto exchanges, custodians, payment systems, and loyalty program redemption solutions, for similar services. This market is growing and changing rapidly, so we expect that we will continue to see increased competition with new entrants into the space or existing competitors expanding their product offerings.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believe that our business model provides us with significant competitive advantages, including:</w:t>
      </w:r>
    </w:p>
    <w:p>
      <w:pPr>
        <w:pStyle w:val="TextBody"/>
        <w:bidi w:val="0"/>
        <w:spacing w:before="0" w:after="0"/>
        <w:jc w:val="both"/>
        <w:rPr/>
      </w:pPr>
      <w:r>
        <w:rPr/>
      </w:r>
    </w:p>
    <w:p>
      <w:pPr>
        <w:pStyle w:val="TextBody"/>
        <w:bidi w:val="0"/>
        <w:spacing w:lineRule="auto" w:line="360" w:before="0" w:after="0"/>
        <w:ind w:left="0" w:right="0" w:hanging="360"/>
        <w:jc w:val="both"/>
        <w:rPr/>
      </w:pPr>
      <w:r>
        <w:rPr>
          <w:color w:val="0C0C0C"/>
        </w:rPr>
        <w:t>•</w:t>
      </w:r>
      <w:r>
        <w:rPr>
          <w:rFonts w:ascii="Times New Roman;sans-serif" w:hAnsi="Times New Roman;sans-serif"/>
          <w:b/>
          <w:i/>
          <w:color w:val="0C0C0C"/>
          <w:sz w:val="20"/>
        </w:rPr>
        <w:t xml:space="preserve">Multi-faceted approach to security and compliance. </w:t>
      </w:r>
      <w:r>
        <w:rPr>
          <w:rFonts w:ascii="Times New Roman;sans-serif" w:hAnsi="Times New Roman;sans-serif"/>
          <w:b w:val="false"/>
          <w:color w:val="0C0C0C"/>
          <w:sz w:val="20"/>
        </w:rPr>
        <w:t>We enable responsible and secure access to crypto for our clients. Our compliance measures, controls and rigorous risk management practices are at the core of how we operate. Our infrastructure provides multiple layers of protection and provides heightened security and compliance. This includes a separate and independent board for Bakkt Trust. As a public company, we are subject to significant and comprehensive regulations. Across our entities, we possess two BitLicenses from NYDFS, a limited-purpose trust charter (also from NYDFS), and state money transmitter licenses. We have robust policies and programs that govern crypto-related activity, such as a cyber security program, information security policy, global AML policy, and Bank Secrecy Act (“BSA”)/Office of Foreign Assets Control (“OFAC”) of the U.S. Department of the Treasury program. These measures are all designed to protect our clients and stockholders.</w:t>
      </w:r>
      <w:r>
        <w:rPr>
          <w:color w:val="0C0C0C"/>
        </w:rPr>
        <w:t xml:space="preserve"> </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Client-led strategy.</w:t>
      </w:r>
      <w:r>
        <w:rPr>
          <w:color w:val="0C0C0C"/>
        </w:rPr>
        <w:t xml:space="preserve"> </w:t>
      </w:r>
      <w:r>
        <w:rPr>
          <w:rFonts w:ascii="Times New Roman;sans-serif" w:hAnsi="Times New Roman;sans-serif"/>
          <w:b w:val="false"/>
          <w:color w:val="0C0C0C"/>
          <w:sz w:val="20"/>
        </w:rPr>
        <w:t xml:space="preserve">We seek to leverage our existing and new client relationships with leading brands to add customers to our platform. By partnering with these brands and their existing customer bases, we believe customers are more likely to embrace the new asset classes offered on our platform. We also believe that, as a relatively new brand, this approach will allow us to scale customers and revenue more quickly. </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 xml:space="preserve">Institutional-grade platform. </w:t>
      </w:r>
      <w:r>
        <w:rPr>
          <w:rFonts w:ascii="Times New Roman;sans-serif" w:hAnsi="Times New Roman;sans-serif"/>
          <w:b w:val="false"/>
          <w:color w:val="0C0C0C"/>
          <w:sz w:val="20"/>
        </w:rPr>
        <w:t>Our platform architecture is engineered to natively support crypto across a wide range of classes, with scalability and strong regulatory and compliance controls. Our platform includes a custody platform that we designed and built in partnership with our majority investor, ICE. Our platform was designed with these principles in mind to provide safe, reliable infrastructure for consumers in their everyday use. We believe that it also serves as a springboard for additional products and services, particularly with respect to the institutional crypto space.</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Trusted and scalable capabilities.</w:t>
      </w:r>
      <w:r>
        <w:rPr>
          <w:color w:val="0C0C0C"/>
        </w:rPr>
        <w:t xml:space="preserve"> </w:t>
      </w:r>
      <w:r>
        <w:rPr>
          <w:rFonts w:ascii="Times New Roman;sans-serif" w:hAnsi="Times New Roman;sans-serif"/>
          <w:b w:val="false"/>
          <w:color w:val="0C0C0C"/>
          <w:sz w:val="20"/>
        </w:rPr>
        <w:t>Our approach, built to scale with technology, privacy, security and compliance at the core, is informed by our team's decades of collective experience. Our platform moves a significant amount of volume across asset classes every day, and we handle customer service for many of the largest financial institutions in the country. We believe these pillars, when applied to the rapidly evolving crypto space, provide confidence to customers, merchants, institutions and loyalty clients that participate in our ecosystem.</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Sales and Marketing</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Our go-to-market strategy is “business-to-business-to-consumer”, or “B2B2C”, in which we acquire customers primarily via client relationships. We believe our focused approach on building scalable partnerships with valued brands will drive strong growth in customers. Our goal is to provide our clients with opportunities to leverage Bakkt’s capabilities to drive mutually beneficial customer acquisition and engagement. Customers of our crypto clients access our platform through a client environment. Similarly, customers of our loyalty clients may only access our redemption storefronts through clients’ loyalty program user experiences.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We also engage in indirect marketing to potential clients via partnerships with existing clients and other third parties to promote branding and product access for potential clients through existing client channels. </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Customer Care</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Our customer service channels are at the core of our loyalty and travel redemption offerings to clients, providing seamless and easy-to-leverage support for the wide array of loyalty and travel redemption transactions on our platform. We strive to provide our clients and their customers with a high-quality experience. We provide customer service that is designed to meet the requirements of our clients. Our customer service agents undergo a rigorous training program and are continually monitored and trained as new capabilities are added to the platform. New clients are able to leverage our deep expertise in customer support as they roll out new offerings to their customer bases.</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Technology</w:t>
      </w:r>
    </w:p>
    <w:p>
      <w:pPr>
        <w:pStyle w:val="TextBody"/>
        <w:bidi w:val="0"/>
        <w:spacing w:lineRule="auto" w:line="333" w:before="240" w:after="283"/>
        <w:ind w:left="0" w:right="0" w:firstLine="720"/>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Our core platforms were built in-house and are maintained by our skilled technical staff who have deep industry expertise across crypto and loyalty solutions. We leverage a modern software and cloud infrastructure stack to offer off-the-shelf or bespoke solutions for our clients, depending on their needs. Additionally, our platform implements advanced strategies and controls to enable KYC, AML, and other anti-fraud measures to combat financial crime. </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Our modern embedded web experiences and API-driven platform allow us to partner and easily integrate with clients, including through the following:</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C0C0C"/>
          <w:sz w:val="20"/>
        </w:rPr>
        <w:t xml:space="preserve">Via standard SSO and API integrations, our multi-storefront loyalty redemption platform is provided as SaaS and powers rewards redemption for several of the top loyalty programs in the US. The platform is built upon highly scalable proprietary technology and is directly integrated with dozens of suppliers for real-time redemption of merchandise, gift cards and travel services. Additionally, our multi-location call center teams leverage our platform to provide agent assisted transactions and redemption servicing. </w:t>
      </w:r>
    </w:p>
    <w:p>
      <w:pPr>
        <w:pStyle w:val="TextBody"/>
        <w:bidi w:val="0"/>
        <w:spacing w:lineRule="auto" w:line="333" w:before="240" w:after="283"/>
        <w:ind w:left="0" w:right="0" w:hanging="360"/>
        <w:jc w:val="both"/>
        <w:rPr/>
      </w:pPr>
      <w:r>
        <w:rPr>
          <w:color w:val="000000"/>
        </w:rPr>
        <w:t>•</w:t>
      </w:r>
      <w:r>
        <w:rPr>
          <w:rFonts w:ascii="Times New Roman;sans-serif" w:hAnsi="Times New Roman;sans-serif"/>
          <w:b w:val="false"/>
          <w:color w:val="0C0C0C"/>
          <w:sz w:val="20"/>
        </w:rPr>
        <w:t xml:space="preserve">Our crypto solutions operate in an institutional-grade crypto custody and trading platform, anchored by our performance hardened trade execution engine. The custody platform is built to safeguard </w:t>
      </w:r>
      <w:r>
        <w:rPr>
          <w:rFonts w:ascii="Times New Roman;sans-serif" w:hAnsi="Times New Roman;sans-serif"/>
          <w:b w:val="false"/>
          <w:color w:val="000000"/>
          <w:sz w:val="20"/>
        </w:rPr>
        <w:t>crypto</w:t>
      </w:r>
      <w:r>
        <w:rPr>
          <w:color w:val="0C0C0C"/>
        </w:rPr>
        <w:t xml:space="preserve"> </w:t>
      </w:r>
      <w:r>
        <w:rPr>
          <w:rFonts w:ascii="Times New Roman;sans-serif" w:hAnsi="Times New Roman;sans-serif"/>
          <w:b w:val="false"/>
          <w:color w:val="0C0C0C"/>
          <w:sz w:val="20"/>
        </w:rPr>
        <w:t xml:space="preserve">with multi-signature wallet policies, hardware security modules and offline storage of private key material, blockchain surveillance and AML/KYC compliance integrated into the core of the platform and our operation team’s procedures. Our trade execution engine was built with speed and scale at its core to deliver equities-grade trading performance to provide liquidity for the purchase and sale of crypto to our clients. </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Cybersecurity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loyalty and crypto clients’ consumer data, as well as crypto wallets, including crypto that is kept in custody. Our administrative, technical, and physical controls include the use of separation of duties, physical and logical access controls, biometrics, hardware security modules, advanced cryptographic algorithms, dedicated 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crypto platform and SOC 2 Type II attestation reports for our loyalty platform. We also maintain controls aligned to the Payment Card Industry Data Security Standard ("PCI-DSS") for in-scope systems where cardholder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C0C0C"/>
          <w:sz w:val="20"/>
        </w:rPr>
      </w:pPr>
      <w:r>
        <w:rPr>
          <w:rFonts w:ascii="Times New Roman;sans-serif" w:hAnsi="Times New Roman;sans-serif"/>
          <w:b w:val="false"/>
          <w:color w:val="0C0C0C"/>
          <w:sz w:val="20"/>
        </w:rPr>
        <w:t>data is stored or processed. We comply with NYDFS cybersecurity requirements which impose strict rules related to establishing a detailed cybersecurity plan, enacting a comprehensive cybersecurity policy, and maintaining an ongoing reporting system for cybersecurity events.</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Regulation</w:t>
      </w:r>
    </w:p>
    <w:p>
      <w:pPr>
        <w:pStyle w:val="TextBody"/>
        <w:bidi w:val="0"/>
        <w:spacing w:lineRule="auto" w:line="333" w:before="240" w:after="283"/>
        <w:ind w:left="0" w:right="0" w:firstLine="720"/>
        <w:jc w:val="both"/>
        <w:rPr/>
      </w:pPr>
      <w:r>
        <w:rPr>
          <w:rFonts w:ascii="Times New Roman;sans-serif" w:hAnsi="Times New Roman;sans-serif"/>
          <w:b w:val="false"/>
          <w:color w:val="0C0C0C"/>
          <w:sz w:val="20"/>
        </w:rPr>
        <w:t xml:space="preserve">International, 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 products and services, or that could require costly, time-consuming, or otherwise burdensome compliance measures. Further, additional laws and regulations may apply to our businesses as we expand outside of the United States in the future. For more information, please see our risk factors described in </w:t>
      </w:r>
      <w:r>
        <w:rPr>
          <w:color w:val="0C0C0C"/>
        </w:rPr>
        <w:t>“</w:t>
      </w:r>
      <w:r>
        <w:rPr>
          <w:rFonts w:ascii="Times New Roman;sans-serif" w:hAnsi="Times New Roman;sans-serif"/>
          <w:b w:val="false"/>
          <w:i/>
          <w:color w:val="0C0C0C"/>
          <w:sz w:val="20"/>
        </w:rPr>
        <w:t>Item 1A. Risk Factors - Risks Related to Regulation, Taxation and Laws”.</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Regulation of Our Money Transmission Business.</w:t>
      </w:r>
      <w:r>
        <w:rPr>
          <w:color w:val="0C0C0C"/>
        </w:rPr>
        <w:t xml:space="preserve"> </w:t>
      </w:r>
      <w:r>
        <w:rPr>
          <w:rFonts w:ascii="Times New Roman;sans-serif" w:hAnsi="Times New Roman;sans-serif"/>
          <w:b w:val="false"/>
          <w:color w:val="0C0C0C"/>
          <w:sz w:val="20"/>
        </w:rPr>
        <w:t xml:space="preserve">Bakkt Marketplace and Bakkt Crypto maintain a money transmitter license in each jurisdiction in which they operate that requires such a license for our activities. In all other jurisdictions where Bakkt Marketplace and Bakkt Crypto operate, we have established with the applicable licensing body that a money transmitter license is not required at this time. We will comply with new license requirements as they arise. Bakkt Marketplace and Bakkt Crypto are also registered as a "Money Services Business" with the U.S. Department of Treasury’s Financial Crimes Enforcement Network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 </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Regulation of Our Virtual Currency Business.</w:t>
      </w:r>
      <w:r>
        <w:rPr>
          <w:color w:val="0C0C0C"/>
        </w:rPr>
        <w:t xml:space="preserve"> </w:t>
      </w:r>
      <w:r>
        <w:rPr>
          <w:rFonts w:ascii="Times New Roman;sans-serif" w:hAnsi="Times New Roman;sans-serif"/>
          <w:b w:val="false"/>
          <w:color w:val="0C0C0C"/>
          <w:sz w:val="20"/>
        </w:rPr>
        <w:t>We provide crypto custody services through Bakkt Trust, a limited purpose trust company that is chartered under the New York Banking Law and subject to the supervision and oversight of NYDFS. Consequently, we must comply with laws, rules and regulations promulgated pursuant to the New York Banking Law with respect to the crypto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are subject in certain jurisdictions to licensing and regulatory requirements as a result of offering our clients the ability to aggregate, buy, sell, convert,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and Bakkt Crypto also have virtual currency licenses (“BitLicenses”) from the NYDFS, which subject them to NYDFS's oversight with respect to business activities conducted in New York State and with New York residents. 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We expect that our business will require licensure under the DFAL and will therefore take steps to obtain necessary licenses prior to the enactment’s effective date of July 1, 2025.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We will continue to monitor and review guidance from the DFPI clarifying the enactment’s scope and interpretation.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The laws and regulations applicable to crypto are rapidly evolving and subject to interpretation and change. For instance, the Securities and Exchange Commission (the “SEC”) has indicated in various enforcement actions and other contexts that it considers certain crypto assets to constitute securities. The SEC has yet to issue any formal regulation on this point, though it has put forth some guidance on overarching frameworks and relevant factors to consider in this analysis. Therefore, our crypto services offered through our platform may become subject to regulation by other authorities and/or may subject us to additional requirements.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i/>
          <w:color w:val="000000"/>
          <w:sz w:val="20"/>
        </w:rPr>
        <w:t>Broker-Dealer Regulation</w:t>
      </w:r>
      <w:r>
        <w:rPr>
          <w:rFonts w:ascii="Times New Roman;sans-serif" w:hAnsi="Times New Roman;sans-serif"/>
          <w:b w:val="false"/>
          <w:color w:val="0C0C0C"/>
          <w:sz w:val="20"/>
        </w:rPr>
        <w:t>. The Exchange Act requires that any person who is a broker or a dealer and effects or induces securities transactions must register with the SEC. A broker is defined as “any person engaged in the business of effecting transactions in securities for the account of others,” while a dealer is defined as “any person engaged in the business of buying and selling securities for such person’s own account,” in each case, subject to exceptions. In order to be able to act as a broker and advise clients interested in transactions that involve securities, we acquired Bakkt Brokerage, a registered broker-dealer. Broker-dealers are subject to regulation, examination, investigation, and disciplinary action by the SEC, FINRA, and state securities regulators, as well as other governmental authorities and self-regulatory organizations with which they are registered or licensed or of which they are a member. Bakkt Brokerage is registered as a broker-dealer in 52 U.S. states and territories. The regulation of broker-dealers covers all aspects of the broker-dealer business and operations, including, depending the scope of its activities, among other things, sales and trading practices and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customers, customer privacy, data protection, information security and cybersecurity, the safeguarding of customer information, the sharing of customer information, best execution of customer orders, public offerings, customer qualifications for margin and options transactions, registration of personnel, business continuity planning, transactions with affiliates, conflicts, and the conduct of directors, officers and employees. Broker-dealers are also subject to anti-money laundering rules and requirements issued by FinCEN under the U.S. Bank Secrecy Act.</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Privacy and Information Cybersecurity Regulations.</w:t>
      </w:r>
      <w:r>
        <w:rPr>
          <w:color w:val="0C0C0C"/>
        </w:rPr>
        <w:t xml:space="preserve"> </w:t>
      </w:r>
      <w:r>
        <w:rPr>
          <w:rFonts w:ascii="Times New Roman;sans-serif" w:hAnsi="Times New Roman;sans-serif"/>
          <w:b w:val="false"/>
          <w:color w:val="0C0C0C"/>
          <w:sz w:val="20"/>
        </w:rPr>
        <w:t>Aspects of our operations or business are subject to laws and regulation in the United States 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pStyle w:val="TextBody"/>
        <w:bidi w:val="0"/>
        <w:spacing w:lineRule="auto" w:line="333" w:before="240" w:after="283"/>
        <w:ind w:left="0" w:right="0" w:firstLine="720"/>
        <w:jc w:val="both"/>
        <w:rPr/>
      </w:pPr>
      <w:r>
        <w:rPr>
          <w:rFonts w:ascii="Times New Roman;sans-serif" w:hAnsi="Times New Roman;sans-serif"/>
          <w:b w:val="false"/>
          <w:color w:val="0C0C0C"/>
          <w:sz w:val="20"/>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sans-serif" w:hAnsi="Times New Roman;sans-serif"/>
          <w:b w:val="false"/>
          <w:i/>
          <w:color w:val="0C0C0C"/>
          <w:sz w:val="20"/>
        </w:rPr>
        <w:t xml:space="preserve">Risk Factors – Risks Related to Regulation, Taxation, and Laws – Complying with evolving laws and requirements relating to privacy, </w:t>
      </w:r>
      <w:r>
        <w:rPr>
          <w:rFonts w:ascii="Times New Roman;sans-serif" w:hAnsi="Times New Roman;sans-serif"/>
          <w:b w:val="false"/>
          <w:i/>
          <w:color w:val="000000"/>
          <w:sz w:val="20"/>
        </w:rPr>
        <w:t>and other data related laws and requirements</w:t>
      </w:r>
      <w:r>
        <w:rPr>
          <w:color w:val="0C0C0C"/>
        </w:rPr>
        <w:t xml:space="preserve"> </w:t>
      </w:r>
      <w:r>
        <w:rPr>
          <w:rFonts w:ascii="Times New Roman;sans-serif" w:hAnsi="Times New Roman;sans-serif"/>
          <w:b w:val="false"/>
          <w:i/>
          <w:color w:val="0C0C0C"/>
          <w:sz w:val="20"/>
        </w:rPr>
        <w:t>may be expensive and force us to make changes to our business, and failure to comply with such laws and requirements could result in substantial harm to our business.</w:t>
      </w:r>
      <w:r>
        <w:rPr>
          <w:color w:val="0C0C0C"/>
        </w:rPr>
        <w:t>”</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Consumer Protection Regulation.</w:t>
      </w:r>
      <w:r>
        <w:rPr>
          <w:color w:val="0C0C0C"/>
        </w:rPr>
        <w:t xml:space="preserve"> </w:t>
      </w:r>
      <w:r>
        <w:rPr>
          <w:rFonts w:ascii="Times New Roman;sans-serif" w:hAnsi="Times New Roman;sans-serif"/>
          <w:b w:val="false"/>
          <w:color w:val="0C0C0C"/>
          <w:sz w:val="20"/>
        </w:rPr>
        <w:t>The Consumer Financial Protection Bureau and other federal and state regulatory agencies, including the Federal 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that may impact or apply to our business.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C0C0C"/>
          <w:sz w:val="20"/>
        </w:rPr>
      </w:pPr>
      <w:r>
        <w:rPr>
          <w:rFonts w:ascii="Times New Roman;sans-serif" w:hAnsi="Times New Roman;sans-serif"/>
          <w:b w:val="false"/>
          <w:color w:val="0C0C0C"/>
          <w:sz w:val="20"/>
        </w:rPr>
        <w:t>transfer services to consumers prior to their use of the service, among other requirements. We are further required to extend error resolution and limited liability protections to customers who use our card product.</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Anti-Money Laundering and Counter-Terrorism Regulation.</w:t>
      </w:r>
      <w:r>
        <w:rPr>
          <w:color w:val="0C0C0C"/>
        </w:rPr>
        <w:t xml:space="preserve"> </w:t>
      </w:r>
      <w:r>
        <w:rPr>
          <w:rFonts w:ascii="Times New Roman;sans-serif" w:hAnsi="Times New Roman;sans-serif"/>
          <w:b w:val="false"/>
          <w:color w:val="0C0C0C"/>
          <w:sz w:val="20"/>
        </w:rPr>
        <w:t>We are subject to AML laws and regulations in the United States, including the BSA, as amended, and its implemented regulations enforced by 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designed to address applicable legal and regulatory requirements and to assist in managing risk associated with money laundering and terrorist financing.</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Indirect Regulatory Requirements.</w:t>
      </w:r>
      <w:r>
        <w:rPr>
          <w:color w:val="0C0C0C"/>
        </w:rPr>
        <w:t xml:space="preserve"> </w:t>
      </w:r>
      <w:r>
        <w:rPr>
          <w:rFonts w:ascii="Times New Roman;sans-serif" w:hAnsi="Times New Roman;sans-serif"/>
          <w:b w:val="false"/>
          <w:color w:val="0C0C0C"/>
          <w:sz w:val="20"/>
        </w:rPr>
        <w:t>We maintain relationships with certain clients, including banks and other financial institutions in the United States, that are regulated by state, local and federal agencies. Because of these relationships, we may be subject to indirect regulation or examination by these institutions' regulators. We generally seek to account for these types of indirect regulatory requirements in our commercial agreements. We also have clients that are investments advisors. The SEC has recently proposed changes to its investment adviser custody rule, which could affect the terms upon which we can offer custody services to those clients.</w:t>
      </w:r>
    </w:p>
    <w:p>
      <w:pPr>
        <w:pStyle w:val="TextBody"/>
        <w:bidi w:val="0"/>
        <w:spacing w:lineRule="auto" w:line="333" w:before="240" w:after="283"/>
        <w:ind w:left="0" w:right="0" w:firstLine="720"/>
        <w:jc w:val="both"/>
        <w:rPr/>
      </w:pPr>
      <w:r>
        <w:rPr>
          <w:rFonts w:ascii="Times New Roman;sans-serif" w:hAnsi="Times New Roman;sans-serif"/>
          <w:b/>
          <w:i/>
          <w:color w:val="0C0C0C"/>
          <w:sz w:val="20"/>
        </w:rPr>
        <w:t>Escheatment and Unclaimed Property Regulations.</w:t>
      </w:r>
      <w:r>
        <w:rPr>
          <w:color w:val="0C0C0C"/>
        </w:rPr>
        <w:t xml:space="preserve"> </w:t>
      </w:r>
      <w:r>
        <w:rPr>
          <w:rFonts w:ascii="Times New Roman;sans-serif" w:hAnsi="Times New Roman;sans-serif"/>
          <w:b w:val="false"/>
          <w:color w:val="0C0C0C"/>
          <w:sz w:val="20"/>
        </w:rPr>
        <w:t>There is regulatory uncertainty regarding how states and jurisdictions treat virtual currencies and 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Intellectual Property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Human Capital</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strive to challenge the status quo with new ideas, have open and honest communications, appreciate our diversity of thought, take ownership and accountability for delivering valuable results and act with integrity, respect and reliability.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 complex industry, it is critical for employees to act ethically. We provide regular training to help our employees understand and comply with the many regulations in our industry and with our company policies. We expect managers to set the tone for their teams and to lead by example, including by embracing ethical behavior and sharing its importance with their team. Managers are expected to help their teams understand our company policies and encourage them to report any violations of policy or law. As a company, we help ensure Bakkt’s non-retaliation policy is strictly followed.</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At Bakkt, we understand that our success is built by operating as a unified company – one culture and team across the crypto landscape, with a focus on growth and innovation. We are committed to diversity throughout our company. It is 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topics. Our employees come from a wide variety of backgrounds to work toward a common vision for the Company. Our CEO brings our teams together in bi-weekly all hands calls and sends weekly email updates for transparency regarding our company strategy and goals.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strive to hold employees accountable for their work performance while providing incentives for excellence in their contributions to the Company. We encourage open collaboration to put out the best ideas and solutions to better adapt to changing markets and other challenges Bakkt faces.</w:t>
      </w:r>
      <w:r>
        <w:rPr>
          <w:color w:val="0C0C0C"/>
        </w:rPr>
        <w:t xml:space="preserve"> </w:t>
      </w:r>
      <w:r>
        <w:rPr>
          <w:rFonts w:ascii="Times New Roman;sans-serif" w:hAnsi="Times New Roman;sans-serif"/>
          <w:b w:val="false"/>
          <w:color w:val="0C0C0C"/>
          <w:sz w:val="20"/>
        </w:rPr>
        <w:t>Our commitment to our employees is reflected in our ability to attract high-caliber talent, continuously innovate, and provide exceptional service and solutions to our clients.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As of December 31, 2023, we had a total of 747 employees, all of whom were full-time employees, and are located in the United States. We also engage temporary employees, consultants and employers of record as needed to support our operations. Collectively, approximately 16% of our workforce is dedicated to engineering, design, or product roles. Our core locations are Alpharetta, GA, Scottsdale, AZ and New York City, NY. None of our employees are represented by a labor union or covered by a collective bargaining agreement. We have not experienced any work stoppages, and we consider our relations with our employees to be good.</w:t>
      </w:r>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Available Information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website is http://www.bakkt.com, and our investor relations website is located at https://investors.bakkt.com, where we make available, free of charge, our Annual Reports on Form 10-K, Quarterly Reports on Form 10-Q and Current Reports on Form 8-K and amendments to those reports filed or furnished pursuant to Section 13(a) or 15(d) of the Exchange Act, as well as proxy statements, as soon as reasonably practicable after we electronically file such material with, or furnish it to, the SEC.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securities. These risks are described more fully below and include, but are not limited to, risks relating to the following:</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Business, Finances and Operations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business model is newly developed and may encounter additional risks and challenges as it grows.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platform is still in the early stages of its release, will be further developed, and is largely untested.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have limited operating history and a history of operating losses.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If we are unable to attract, retain or grow our relationships with our existing clients, our business, financial condition, results of operations and future prospects would be materially and adversely affected.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may not realize the anticipated benefits of past or future investments, strategic transactions, or acquisitions and integration of these acquisitions may disrupt our business and management.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Crypto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Disruptions in the crypto market subject us to additional risks, including the risk that banks may not provide banking services to us.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There may be a general perception among regulators and others that crypto is used to facilitate illegal activity such as fraud, money laundering, tax evasion and ransomware scams.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failure to safeguard and manage our customers’ crypto could adversely impact our business, operating results, and financial condition.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Crypto does not have extensive historical precedent and distributed ledger technology continues to rapidly evolve.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may encounter technical issues in connection with the integration of supported crypto assets and changes and upgrades to their underlying networks, which could adversely affect our business.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Regulation, Taxation and Laws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are subject to extensive government regulation, oversight, licensure and appraisals and our failure to comply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regulatory regime governing blockchain technologies and crypto is uncertain, and new regulations or policies may alter or significantly adversely affect our business practices with respect to crypto.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are subject to significant litigation risk and risk of regulatory liability and penalties. Any current or future litigation against us could be costly and time-consuming to defend.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Information Technology and Data</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Actual or perceived cyberattacks, security incidents, or breaches could result in serious harm to our reputation, business and financial condition.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Risk Management and Financial Reporting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 xml:space="preserve">If we are unable to maintain effective internal controls over financial reporting, we may be unable to produce timely and accurate financial statements, which could have a material effect on our business.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Finances and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business model is newly developed and may encounter additional risks and challenges as it grows.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is that our clients will utilize our platform as the go-to solution enabling customers to transact in crypto and loyalty points.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Because some of the crypto assets that are anticipated to be available on our platform have not previously been available for the uses our platform is intended to cover, it is difficult to predict the preferences and requirements of clients or customers, and our platform, design and technology may not appeal to such clients or customers, or may be incompatible with new or emerging forms of crypto or related technologies. Failure to achieve acceptance would impede our ability to develop and sustain a commercial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when customers transact in crypto and loyalty points on our platform. Our success depends on bringing on clients and on the transaction volume from these customers. If we are not able to bring new clients onto the platform, many of whom will pay us subscription fees for our platform services, our revenue and business concern could be negatively impacted. Additionally, much of our future revenue depends on transaction fees earned from customers transacting in crypto and loyalty points and the margin we charge in connection with those transactions. If we are not able to continue to grow our base of clients, we will not be able to continue to grow our customer base, our revenues or our business, which could negatively impact our business, financial condition and results of operations and may cause us to be unable to continue as a going concern.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attractiveness of our platform depends upon, among other things: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number and variety of assets and other capabilities in which customers can transact through our platform;</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reputation, as well as clients’ and customers’ experience and satisfaction with, and trust and perception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 xml:space="preserve">technological innovation; </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regulatory compliance and data security;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services and products offered by competitors.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clients may choose to contract with other providers of services that are competitive with ours. If we fail to retain existing clients, attract new clients, or continually expand usage and transaction volume on our platform, our business, financial condition, results of operations and prospects will be materially and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require regulatory approvals, including, for example, to add new crypto assets, products, and functionalities to our platform, and may require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business model entails numerous risks, including risks relating to our ability 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manage the complexity of our business model to stay current with the industry and new technologies;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successfully enter new categories, markets and jurisdictions in which we may have limited or no prior experience;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integrate into multiple distributed ledger technologies as they currently exist and as they evolve;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successfully develop and integrate products, systems and personnel into our business operations;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obtain and maintain required licenses and regulatory approvals for our business;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respond to, and comply with the evolving regulatory landscape for crypto and crypto platforms.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is in the early stages of release and will be further refined and developed, and certain areas of our platform are still under development and largely untested on a commercial scale. We are working to expand our service offerings, including, for example offering crypto rewards.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that we encounter with the development or operation of our platform, including technical, legal and regulatory problems, could have a material adverse effect on our business, financial condition and results of operations.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and a history of operating losses, which make it difficult to forecast our future results of operations. Further, we expect to reduce our operating expenses in the foreseeable future, and we may not achieve or sustain profitability to absorb our targeted expense base.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founded in 2018 and have experienced net losses in the periods from inception through December 31, 2023. For example, our revenue was $727.0 million and $56.2 million in the years ended December 31, 2023 and December 31, 2022, respectively, and we generated net losses of $225.8 million and $1,989.9 million in the years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and December 31, 2022,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Bakkt Crypto acquisition, our historical revenue was achieved largely as the result of our white-labeled loyalty redemption product, which reflects little revenue from the launch of our broader crypto platform, and therefore should not be considered indicative of our future performance.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our limited operating history and the fact that our current and historical revenue prior to the Bakkt Crypto Acquisition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increasing our operating costs and expenses in 2022 to complete our product road map and build public company infrastructure, we expect to reduce our operating expenses in the foreseeable future. In particular, we intend to continue to invest significant resources to further develop our platform. We have incurred increased general and administrative expenses associated with our growth, including legal and accounting expenses and costs related to internal systems and operating as a public company. We may not be able to achieve the operating expense reductions we are targeting to align with our revenue growth assumptions. Our efforts to operate our business may be costlier than we expect, or our revenue growth rate may be slower than we expect, and we may not be able to increase our revenue enough to offset our operating expenses resulting from these investments. If we are unable to achieve the revenue growth that we expect from these investments, reduce our operating expenses, or achieve profitability, it would have an adverse effect on our business, financial condition and results of operations, and the value of our business and our securities may significantly decrease.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Substantially all of our net revenues each quarter come from transactions that occur during that quarter, which has resulted in, and may continue to result in, significant fluctuations in our operating results.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that may cause fluctuations in our quarterly results include: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attract and retain clients and customers;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transaction volume and mix;</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rates of repeat transaction and fluctuations in usage of our platform, including seasonality;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amount and timing of our expenses related to acquiring clients and customers and the maintenance and expansion of our business, operations and infrastructure;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to our relationships with our clients;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general economic, industry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competitive dynamics in the industry in which we operate;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amount and timing of stock-based compensation expenses;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network outages, cyberattacks, or other actual or perceived security incidents or breaches or data privacy violations;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cost and outcomes of existing or potential claims or litigation;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from acquired technologies or businesses.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certain terms of our client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client agreement terms, we may be unable to agree to terms with such clients on commercially advantageous terms or at all, which may adversely affect our business and prospects.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clients do not engage with us, or if customers choose not to transact or make fewer transactions on our platform, as a result of the decision to delist those crypto assets or our decision not to offer other crypto assets, our revenues will be adversely impacted.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among other things, adversely impact our stock price, make us less competitive compared to our peers and otherwise significantly adversely affect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prospective clients themselves are regulated entities that may be restricted from engaging with us. For instance, several banks to whom we seek to provide our crypto solutions are regulated by the Federal Reserve, the Office of the Comptroller of the Currency, and/or the Federal Deposit Insurance Corporation. Pursuant to statements made by these regulators in the last several months, banks they regulate are required to consult with, and potentially obtain the approval of, their relevant regulator before “engaging in crypto-related activities.” If these banks, or other current or prospective clients that are regulated entities, are unable to obtain the approval of their regulators, or the timing of such approvals is delayed, that failure or delay would materially and adversely affect our results of operations and future prospects.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face substantial and increasingly intense competition worldwide in the industries in which we operate.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crypto and loyalty and rewards industries are highly competitive, rapidly changing, highly innovative, and increasingly subject to regulatory scrutiny and oversight. Although we do not believe that we have any single direct competitor for the full range of products we provide through our platform, we compete against a wide range of businesses in the crypto and loyalty industries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primarily on the basis of the following: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ability to attract, retain and engage clients (and in turn, customers) on our platform;</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ability to demonstrate to clients that they may achieve incremental revenue and attract new customers by using and offering our services to their customers;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confidence in the safety, security, privacy and control of customer information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ability to develop products and services across multiple commerce channels, including crypto and loyalty points;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system reliability, regulatory compliance and data security.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compete against a large number of decentralized and noncustodial platforms. On these platforms, customers can interact directly with a market-making smart contract or on-chain trading mechanism to exchange one type of crypto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our platform does not meet our service level commitments, our revenue and reputation may be negatively impacted.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face operational, legal and other risks related to our reliance on third party vendors, over which we have no control.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cannot keep pace with rapid technological developments to provide new and innovative products and services, the use of our products and services may not develop, and, consequently, our business would suffer.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Rapid, significant and disruptive technological changes impact the industries in which we operate, including developments in crypto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concentration of a significant portion of our business and transaction volume with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Any such loss could make our platform less appealing to existing and potential customers. Accordingly, the loss of any significant client relationship could materially and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 strategic investments, partnerships, or alliances may be difficult to identify. We may not realize the anticipated benefits of past or future investments, strategic transactions or acquisitions and integration of these acquisitions may pose integration challenges, divert the attention of management, disrupt our business, dilute stockholder value or otherwise adversely affect our business, financial condition and results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realize the anticipated benefits of past or future investments, strategic transactions, or acquisitions, and these transactions involve numerous risks that are not within our control. These risks include the following, among others: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difficulty in assimilating the operations, systems, and personnel of the acquired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difficulty in effectively integrating the acquired technologies or products with our current products and technologies;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difficulty in maintaining controls, procedures and policies during the transition and integration;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disruption of our ongoing business and distraction of our management and employees from other opportunities and challenges due to integration issues;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difficulty integrating the acquired business’s accounting, management information and other administrative systems;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inability to retain key technical and managerial personnel of the acquired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inability to retain key customers, vendors and other business clients of the acquired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inability to achieve the financial and strategic goals for the acquired and combined businesses;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incurring acquisition-related costs or amortization costs for acquired intangible assets that could impact our results of operations;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regulatory changes that affect the value of the businesses we acquire or our plans for integration of those businesses, or that expose us to additional regulation or litigation in connection with the acquired businesses;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significant post-acquisition investments which may lower the actual benefits realized through the acquisition;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potential failure of the due diligence process to identify significant issues with product quality, legal, and financial liabilities among other things;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potential inability to assert that internal controls over financial reporting are effective.</w:t>
      </w:r>
    </w:p>
    <w:p>
      <w:pPr>
        <w:pStyle w:val="TextBody"/>
        <w:bidi w:val="0"/>
        <w:spacing w:lineRule="auto" w:line="333"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acquisition of Bakkt Crypto presents risks to our business, including because: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ability to retain the legacy clients of Bakkt Crypto, and expand those relationships, is a key growth driver for us;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are in the process of replacing and/or augmenting many of our existing systems and relationships (e.g., agreements with crypto liquidity providers) with those historically used by Bakkt Crypto;</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may need to be able to accommodate the significantly increased volume on our platform;</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completion of the integration of the Bakkt Crypto business—which includes, among other things, merging legal entities, eliminating duplicative licenses, and adjusting the amount of regulatory capital associated therewith—remains subject to regulatory approval, the delay of which extends the timeline for our recognition of the full benefits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commercial relationship with Apex Clearing Corporation that is a part of the acquisition of Bakkt Crypto is a key growth driver for us, but that relationship may not produce the benefits that we envision.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Class A Common Stock could decline. For example, under the purchase agreement for the acquisition of Bakkt Crypto, we agreed to issue cash consideration of $55.0 million, up to $45 million in shares of our Class A Common Stock depending on Bakkt Crypto's achievement of certain profitability targets for the fourth quarter of 2022, and up to an additional $100.0 million in shares of our Class A Common Stock depending on Bakkt Crypto's achievement of certain financial targets through 2025. Through March 8, 2024, we have delivered approximately $9.1 million of shares of Class A Common Stock in respect of such obligations under such purchase agreement.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the growth of our business, and such capital might not be available on acceptable terms, if at all.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March 2024 we consummated concurrent registered direct offerings whereby we issued and sold an aggregate of 37,679,541 shares of our Class A Common Stock, warrants to purchase an aggregate of 48,898,110 shares of Class A Common Stock at an exercise price of $1.02 per share, and pre-funded warrants to purchase an aggregate of 11,218,570 shares of Class A Common Stock at an exercise price of $0.0001 per share for aggregate net proceeds of $39.7 million. We also agreed to seek stockholder approval to, among other things, issue to our majority stockholder, ICE, in a subsequent closing of the registered direct offering with ICE (the “ICE Offering”) an additional 8,772,016 shares of Class A Common Stock and warrants to purchase an aggregate of 8,772,016 shares of Class A Common Stock at an exercise price of $1.02 per share for aggregate gross proceeds of $7.6 million.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not complete the subsequent closing of the ICE Offering within the time frame we anticipate or at all, which could have an adverse effect on our business, financial results, operations and/or the market price of our Class A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ICE Offering, we agreed to seek stockholder approval to, among other things, issue an additional 8,772,016 shares of Class A Common Stock and warrants to purchase 8,772,016 shares of Class A Common Stock, which could result in aggregate gross proceeds to us of approximately $7.6 million (the “Subsequent ICE Closing”).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consummation of the Subsequent ICE Closing is subject to certain closing conditions, a number of which are not within our control, including stockholder approval of the securities issuable under the Subsequent ICE Closing. Although we have entered into a voting support agreement with ICE, pursuant to which ICE agreed, among other things, to vote in favor of proposals seeking to obtain approval of the Subsequent ICE Closing, ICE voting in support alone does not assure the outcome and we do not control whether ICE complies with such voting support agreement. In addition, the stockholder proposals approving the transactions contemplated under the Subsequent ICE Closing will be subject to a preliminary proxy statement filing, which may be subject to review by the U.S. Securities and Exchange Commission. Such review, if it occurs, may be protracted and there are no assurances that we will be able to close the Subsequent ICE Closing in the timing that we currently expect or at all. If the Subsequent ICE Closing is delayed or not consummated at all, our ongoing business and financial results may be adversely affected.</w:t>
      </w:r>
    </w:p>
    <w:p>
      <w:pPr>
        <w:pStyle w:val="TextBody"/>
        <w:bidi w:val="0"/>
        <w:spacing w:lineRule="auto" w:line="26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might not be able to continue as a going concern.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use our unrestricted cash and proceeds from maturity of available-for-sale debt securities to (i) fund our day-to-day operations, including, but not limited to funding our regulatory capital requirements, compensating balance arrangements and other similar commitments, each of which is subject to change, (ii) activate new crypto clients, (iii) maintain our product development efforts, and (iv) optimize our technology infrastructure and operational support. Substantial doubt was initially raised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amendment filings. We subsequently closed on equity offerings that, when considered with management’s other plans, resulted in management concluding that, notwithstanding the initial doubt that was raised, management’s plans are currently expected to alleviate substantial doubt as of the date of this filing. However, that determination may change in the future. If we cannot continue as a viable entity, our stockholders will likely lose most or all of their investment in us.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may continue to experience impacts to our business as a result of our partners and customers concern regarding our ability to continue as a going concern. For example, (i) one of our partners has closed out of all customer positions, (ii) we have received inquiries from partners and prospective partners about our financial position, (iii) certain of our surety bond providers have requested additional collateral, (iv) we were required to pledge as collateral the amounts that were previously required to be maintained in a concentration account for our purchasing card facility, and (v) certain of our liquidity providers have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our conclusion that our plans alleviate substantial doubt about our ability to continue as a going concern, 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required to raise additional funding in the future to maintain our operations, we cannot be certain that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experience dilution. For example, in our concurrent February 2024 registered direct offerings we agreed to issue up to an aggregate of 48,898,110 shares of our Class A Common Stock (or pre-funded warrants to purchase shares of Class A Common Stock in lieu thereof) and warrants to purchase up to an aggregate of 48,898,110 shares of our Class A Common Stock.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Annual Report on Form 10-K we determined that management’s plans alleviated the substantial doubt about our ability to continue as a going concern, we may be unable to recover with investors, partners and customers due to the adverse reputational effects we experienced previously or may experience in the future.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We hold our cash and cash equivalents that we use to meet our working capital and operating expense needs in deposit accounts that could be adversely affected if the financial institutions holding such funds fail.</w:t>
      </w:r>
      <w:r>
        <w:rPr>
          <w:color w:val="000000"/>
        </w:rPr>
        <w:t xml:space="preserv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The loss of the services of our senior management could adversely affect our business.</w:t>
      </w:r>
    </w:p>
    <w:p>
      <w:pPr>
        <w:pStyle w:val="TextBody"/>
        <w:bidi w:val="0"/>
        <w:spacing w:lineRule="auto" w:line="333"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For example, on March 18, 2024, we announced the resignation of our President and Chief Executive Officer, effective March 25, 2024, and appointment of a new President and Chief Executive Officer.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business will suffer if we fail to attract and retain highly skilled employees.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a shortage in the supply of qualified personnel, which would negatively impact our business. Further, if we suffer attrition and shortages with respect to certain of our customer service personnel, such as our call centers, our ability to maintain compliance with our service level commitments to clients may be impacted, resulting in financial penalties and, potentially, damage to or loss of those client relationships.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revenue is impacted, to a significant extent, by the general economy.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our clients’ businesses are sensitive to macroeconomic conditions. Economic factors such as interest rates,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crypto and loyalty points or otherwise transact in such assets, which would have an adverse effect on our business, results of operations, financial condition, and future prospects. In particular, the high levels of, and increases in, inflation currently experienced in the United States could negatively impact our business by increasing our costs and reducing consumer activities necessarily to our revenue generation.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experience rapid growth, it may place significant demands on our operational, administrative and financial resources and it may be difficult to sustain such growth.</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rapid growth, we could face significant challenges in: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 xml:space="preserve">maintaining and developing relationships with existing and new clients </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securing funding to maintain our operations and future growth;</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maintaining adequate financial, business and risk controls;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implementing new or updated information and financial risk controls and procedures;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navigating complex and evolving regulatory and competitive environments;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attracting, integrating and retaining an appropriate number of qualified, skilled employees;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training, managing and appropriately sizing our workforce and other components of our business on a timely and cost-effective basis;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expanding within existing markets;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entering new markets and introducing new solutions;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continuing to develop, maintain, protect and scale our platform;</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effectively using limited personnel and technology resources;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maintaining the security of our platform and the confidentiality of the information, including personally identifiable information, provided and utilized across our platform.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pStyle w:val="TextBody"/>
        <w:bidi w:val="0"/>
        <w:spacing w:lineRule="auto" w:line="288" w:before="12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Future material impairments in the value of our long-lived assets, including goodwill, have in the past negatively affected, and could in the future negatively affect, our operating results.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crypto product activations and declines in market capitalization could lead to additional goodwill or intangible asset impairment charges in future periods, which could be material to our results of operations. For more information on the valuation and impairment of long-lived assets, see “Critical Accounting Policies and Estimates” in Item 7 of this Annual Report on Form 10-K.</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achieving expected operating efficiencies and sustaining or improving operating expense reductions, and might experience business disruptions and adverse tax consequences associated with restructuring, realignment and cost reduction activities.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our business have been, and may in the future be, the subject of restructuring, realignment or cost reduction initiatives. For example, in the fourth quarter of 2022 and first quarter of 2023, we launched a restructuring plan in order to simplify and focus on our core capabilities. The streamlining effects of the plan could result in reduced revenue, which may adversely impact our business operations. In addition, we may not be successful in achieving the full efficiencies and cost reduction benefits we expect or such benefits might be realized later than expected, and the ongoing costs of implementing these measures might be greater than anticipated. If these measures are not successful or sustainable, we might undertake additional restructuring efforts, which could result in future charges. Moreover, our ability to achieve our other strategic goals and business plans might be adversely affected, and we could experience business disruptions, if our restructuring and realignment efforts and our cost reduction activities prove ineffective.</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Stakeholders’ expectations of our performance relating to environmental, social and governance factors may impose additional costs and expose us to new risks.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an increasing focus from stakeholders concerning corporate responsibility, specifically related to environmental, social and governance matters, or ESG. Some stakeholders may use these non-financial performance factors to guide their investment strategies and, in some cases, may choose not to invest in us if they believe our policies and actions relating to corporate responsibility are inadequate. In particular, increasing concerns over climate change have resulted and may continue to result in new regulatory requirements relating to climate change, including regulating greenhouse gas emissions (and the establishment of enhanced internal processes or systems to track them) and sustainability initiatives, which may impose more stringent restrictions and requirements than our current legal or regulatory obligations and could increase our compliance costs. We may also face reputational damage in the event that we do not meet the ESG standards set by various constituencies.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stakeholders or our initiatives are not executed as planned, our reputation and business, operating results and financial condition could be adversely impacted.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Crypto</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Disruptions in the crypto market subject us to additional risks.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Recent financial distress in the crypto market, such as bankruptcies filed by certain market participants including providers of banking services to crypto companies, has increased uncertainty in the macroeconomic environment. There is no certainty that the measures we have taken will be sufficient to address the risks posed by the downstream effects of continued financial distress in the crypto market, and we may experience material and adverse impacts to our business as a result of the global economic impacts of such financial distress, including the loss of customer trust in crypto, including bitcoin, and any recession or economic downturn that has occurred or may occur in the future.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financial distress in the crypto market will depend on future developments, including, but not limited to, the downstream effects of the bankruptcies filed by certain crypto market participants, their severity, and the actions taken by regulators to address its impact. Any further deterioration in the crypto markets may have an adverse effect on our reputation, and any negative perception by our clients of crypto may lead to a loss of client demand for our products and services, any of which could have an adverse impact on our business and financial condition. We may also suffer a decline in the market price of our Class A Common Stock due to any negative perception by our clients, investors, or the general public, of crypto or the crypto market.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Due to unfamiliarity and some negative publicity associated with crypto platforms, existing and potential customers may lose confidence in crypto platforms, which could have an adverse impact on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crypto platforms have been sued, investigated, or shut down due to fraud, manipulative practices, business failure and security breaches. In many of these instances, customers of these platforms were not compensated or made whole for their losses. For example, in May 2019, Binance, one of the world’s largest platforms, was hacked, resulting in losses of approximately $40 million, and in February 2021, Bitfinex settled a long-running legal dispute with the State of New York related to Bitfinex’s alleged misuse of over $800 million of customer assets. Further, in 2022, each of Celsius Networks, Voyager, Three Arrows Capital and FTX declared bankruptcy, resulting in a loss of confidence in participants of the crypto economy and negative publicity surrounding crypto more broadly. In August 2023, crypto asset exchange Bittrex Inc. and its co-founder and former CEO agreed to settle charges that they operated an unregistered national securities exchange, broker, and clearing agency, and agreed to make a total monetary payment of $24 million. In November 2023, three federal U.S. agencies—the U.S. Department of the Treasury, through the FinCEN and OFAC, the U.S. Department of Justice (DOJ), and the Commodity Futures Trading Commission (“CFTC”)—all announced enforcement actions against Binance. The actions announced require Binance to pay, in the aggregate, over $4.3 billion in criminal forfeiture, penalties, and fines, and also require Changpeng Zhao, the founder of Binance, to plead guilty to criminal money laundering charges.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these events, the crypto markets have experienced extreme price volatility, certain markets experienced issues with liquidity and several other entities in the crypto industry have been, and may continue to be, negatively affected, further undermining confidence in the crypto markets and in bitcoin. If the liquidity of the crypto markets continues to be negatively impacted by these events, crypto prices (including the price of bitcoin) may continue to experience significant volatility and confidence in the crypto markets may be further undermined. These events are continuing to develop and it is not possible to predict at this time all of the risks that they may pose to us, our service providers or on the crypto industry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reports that a significant amount of crypto trading volume on crypto platforms is fabricated and false in nature, with a specific focus on unregulated platforms located outside the United States. Such reports may indicate that the market for crypto platform activities is significantly smaller than otherwise understood. Negative perception, a lack of stability and standardized regulation in the crypto industry, and the closure or temporary shutdown of crypto platforms due to fraud, business failure, hackers or malware, or government mandated regulation, and associated losses suffered by customers may reduce confidence in the crypto economy and demand for crypto products and services, and result in greater volatility of the prices of crypto, including significant depreciation in value. Any of these events could reduce customer demand for our products and services and have an adverse impact on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There may be a general perception among regulators and others that crypto is used to facilitate illegal activity such as fraud, money laundering, tax evasion and scams. Because we provide the ability to transact in crypto, any negative perceptions associated with crypto could harm our reputation.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Crypto is perceived by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 crypto goods), bank fraud, child pornography, human trafficking, prohibited sales of alcoholic beverages or tobacco products, securities fraud, pyramid or ponzi schemes, or to facilitate other illegal activity. Because our platform allows certain customers of Bakkt Trust to deposit and withdraw crypto, and our platform allows customers to transact in crypto, this perception may harm our reputation because we could be viewed as facilitating, or could otherwise become associated with, these illegal activities. Any such negative perception of our reputation could harm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we use a B2B2C go-to-market strategy, our ability to attract customers (and in turn, transaction volume that generates revenue) depends on our ability to attract and enter into relationships with clients. To the extent that these clients perceive crypto as a risky sector, or one that these clients do not wish to associate with (or allow their customers to associate with through that client’s brand), that would have a material adverse effect on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banks may not provide banking services, or may cut off banking services, to businesses that provide crypto-related services, which could dampen liquidity in the market and damage the public perception of crypto generally or any one crypto asset in particular, which could decrease the trading volume of crypto.</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Crypto custodial solutions and related technology, including our systems and custodial arrangements, are subject to risks related to a loss of funds due to theft of crypto, employee or vendor sabotage, security and cybersecurity risks, system failures and other operational issues, the loss, destruction or other compromise of our private keys and a lack of sufficient insurance.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systems and custodial solutions involve the processing, storage and transmission of crypto and data. Contractual limits on our exposure in the event that crypto is stolen or misappropriated may not be sufficient to protect us from liability or other harm. The theft or misappropriation of crypto held in custody by us would likely result in financial loss, reputational damage, potential lack of trust from our customers, negative press coverage, and diversion of our management’s time and focus. The secure storage and transmission of crypto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Crypto transactions are generally irrevocable, and stolen or incorrectly transferred crypto may be irretrievable. Once a transaction has been verified and recorded in a block that is added to the distributed ledger, an incorrect transfer of a crypto generally will not be reversible, and we may not be able to obtain compensation for any such transfer or theft. It is possible that, through computer or human error, or through theft or criminal action, the crypto could be transferred in incorrect amounts or to unauthorized third parties, or to uncontrolled accounts. Such events would have a material adverse effect on our ability to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Crypto is controllable only by the possessor of private keys relating to the distributed ledger through which the crypto is held. While the distributed ledgers require a public key relating to a crypto asset to be published when used in a transaction, private keys must be safeguarded and kept private in order to prevent a third party from accessing the crypto asset. To the extent our private keys are lost, destroyed, or otherwise compromised and no backups of the private keys are accessible, we will be unable to access the crypto held through the distributed ledger. Any loss of private keys relating to, or hack or other compromise of, our crypto could adversely affect our consumers’ ability to access or sell their crypto and could harm consumers’ trust in us and our products. Additionally, any loss of private keys relating to, or hack or other compromise of, the distributed ledger through which third parties store crypto could have negative reputational effects on us and harm consumers’ trust in us and our products.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policies may not be adequate to reimburse us for losses caused by security breaches or incidents, and we may lose crypto valued in excess of the insurance policy without any recourse. Unlike bank accounts or accounts at some other financial institutions, in the event of loss or loss of utility value, there is no public insurer to offer recourse to us or to any consumer and the misappropriated crypto may not be easily traced to the bad actor.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when crypto custodial solutions or transfer venues, whether involving our systems or others, experience system failures or other operational issues, such events could result in a reduction in crypto prices or confidence and impact our success and have a material adverse effect on our ability to continue as a going concern.</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failure to safeguard and manage our customers’ crypto could adversely impact our business, operating results, and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Risks Related to Risk Management and Financial Reporting – Future changes in financial accounting standards may significantly change our reported results of operations.</w:t>
      </w:r>
      <w:r>
        <w:rPr>
          <w:color w:val="000000"/>
        </w:rPr>
        <w: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Crypto does not have extensive historical precedent and distributed ledger technology continues to rapidly evolve. The unique characteristics of crypto presents risks and challenges to us that could have a material adverse effect on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Crypto does not have extensive historical precedent and distributed ledger technology continues to rapidly evolve. Given the infancy of the development of crypto networks, parties may be unwilling to transact in crypto, which would dampen the growth, if any, of crypto networks. In our capacity as a crypto custodian, our platform holds crypto for individual and institutional customers, and buys, sells, sends and receives crypto to fulfill buy and sell orders of such consumers, which it then holds on behalf of the customers through Bakkt Trust. The rate of change of crypto networks can present technological challenges and require us to expend significant time and expenditures to adapt to new crypto network technologies. Acceptance of software patches or upgrades by a significant, but not overwhelming, percentage of the users and miners in a crypto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 networks are dependent upon the internet, a disruption of the internet or a crypto network, such as the Bitcoin Network, would affect the ability to transfer crypto, including bitcoin. The realization of one or more of the foregoing risks may have a material adverse effect on our crypto trading and custody business. Moreover, because crypto, including bitcoin, has been in existence for a short period of time and is continuing to develop and evolve, there may be additional risks in the future that are impossible to predict and which could have a material adverse effect on our crypto and custody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encounter technical issues in connection with the integration of supported crypto assets and changes and upgrades to their underlying networks, which could adversely affect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support any particular crypto asset, a variety of front and back-end technical and development work is required to integrate such supported crypto asset with our existing technical infrastructure. For certain crypto assets, a significant amount of development work is required and there is no guarantee that we will be able to integrate successfully with any existing or future crypto 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 assets, our customers’ assets may be frozen or lost, the security of our hot, warm, or cold wallets may be compromised, and our platform and technical infrastructure may be affected, all of which could adversely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The blockchains on which ownership of crypto is recorded are dependent on the efforts of third parties acting in their capacity as the blockchain transaction miners or validators, and if these third parties fail to successfully perform these functions, the operation of the blockchains that record ownership of crypto could be compromised.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Blockchain miners or validators maintain the record of ownership of crypto.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 asset is recorded and the valuation based may be jeopardized. Any such interruption could result in loss of crypto and/or its value.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over the past several years, crypto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crypto mining operations are not sufficiently high, crypto miners are more likely to immediately sell tokens earned by mining, resulting in an increase in liquid supply of that crypto, which would generally tend to reduce that crypto’s market price. </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Excessive redemptions or withdrawals, or a suspension of redemptions or withdrawals, of crypto assets could adversely impact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Regulation, Taxation and Laws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Bakkt Crypto is subject to reporting requirements, restrictions with respect to the investment of consumer funds, bonding requirements and inspection by state regulatory agencies.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Regulatory regimes governing blockchain technologies and crypto are evolving and uncertain, and new legislation, regulations, guidance and enforcement actions have in the past required, and may in the future require, us to alter our business practices.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 xml:space="preserve">In 2023, the SEC initiated lawsuits against certain crypto asset exchanges, including Bittrex, Coinbase, Binance, and Kraken alleging among other things that those entities operated as unregistered national securities exchanges,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unregistered broker-dealers and unregistered clearing agencies and alleging that certain crypto assets available on their platforms are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Commodity Futures Trading Commission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 July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On July 31, 2023, a different court in the Southern District of New York held that the SEC had asserted a plausible claim that certain inter-related crypto assets offered by Terraform Labs qualified as investment contracts.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U.S. Congress has expressed the need for both greater federal oversight of the crypto industry and comprehensive crypto asset legislation. In 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 commodity would depend, among other things, on how decentralized its underlying blockchain is. The bill would also require crypto asset intermediaries, such as certain of our subsidiaries, to register with and be regulated by the CFTC, the SEC or both.</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Each of Bakkt Marketplace and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 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FinCEN has released guidance regarding how it considers its regulations to interact with crypto businesses.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IRS released guidance treating crypto as property that is not currency for U.S. federal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 October 2023, the governor of California signed into law the Digital Financial Assets Law (“DFAL”), which establishes a required licensing 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pStyle w:val="TextBody"/>
        <w:bidi w:val="0"/>
        <w:spacing w:lineRule="auto" w:line="333"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See also “—Risks Related to Regulation, Taxation and Law—A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 crypto’s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 and its staff have taken the position that certain crypto assets fall within the definition of a “security” under the 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we remove any assets from trading on our platform, our decision may be unpopular with our customers and may reduce our ability to attract and retain customers, especially if such assets remain traded on unregulated exchanges, which includes many of our competitors. </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are subject to significant litigation risk and risk of regulatory liability and penalties. Any current or future litigation or regulatory proceedings against us could be costly and time-consuming to defend.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Bakkt Holdings, Inc. is a holding company, its only material asset is its interest in Opco, and it is accordingly dependent upon distributions made by its subsidiaries to pay taxes and expenses, make payments under the Tax Receivable Agreement and pay dividends.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Bakkt Holdings, Inc. is a holding company with no material assets other than our ownership of Opco Common Units and our managing member interest in Opco. As a result, it has no independent means of generating revenue 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flow. Its ability to pay taxes and operating expenses, make payments under the Tax Receivable Agreement (the “Tax Receivable Agreement”) and pay dividends (if any) will depend on the financial results and cash flows of Opco and its subsidiaries and the distributions it receives from Opco. Deterioration in the financial condition, earnings or cash flow of Opco and its subsidiaries for any reason could limit or impair Opco’s ability to pay such distributions. Additionally, to the extent it needs funds and Opco and/or any of its subsidiaries are restricted from making such distributions under applicable law or regulation or under the terms of any financing arrangements, or Opco is otherwise unable to provide such funds, it could materially adversely affect Bakkt Holdings’ liquidity and financial condition.</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sans-serif" w:hAnsi="Times New Roman;sans-serif"/>
          <w:b w:val="false"/>
          <w:i/>
          <w:color w:val="000000"/>
          <w:sz w:val="20"/>
        </w:rPr>
        <w:t>pro rata</w:t>
      </w:r>
      <w:r>
        <w:rPr>
          <w:rFonts w:ascii="Times New Roman;sans-serif" w:hAnsi="Times New Roman;sans-serif"/>
          <w:b w:val="false"/>
          <w:color w:val="000000"/>
          <w:sz w:val="20"/>
        </w:rPr>
        <w:t>, in aggregate amounts sufficient to cover all of our applicable income taxes, payments required to be made by us under the Tax Receivable Agreement and dividends, if any, declared by us. However,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the payments we will make under the Tax Receivable Agreement could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exceed the actual tax benefits we realize or such payments may be accelerated.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in excess of our actual income tax savings, which could materially impair our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have to constrain our business activities to avoid being deemed an investment company under the Investment Company Act.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 would be restricted, which would adversely affect our business, financial condition and results of operations. In addition, we may be forced to make changes to our management team if we are required to register as an investment company under the Investment Company Act.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Broker-dealers are subject to extensive state and federal government regulation in the United States, and our failure or inability to comply with these regulations or regulatory action against us could adversely affect our results of operations, financial condition, or business.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acquired Bumped, a broker-dealer registered with FINRA. Bumped is registered as a broker-dealer in 52 U.S. states and territories. As such, we are subject to regulation, examination, investigation, and disciplinary action by the SEC, FINRA, and state securities regulators, as well as other governmental authorities and self-regulatory organizations with which Bumped is registered or licensed or of which Bumped is a member. Our failure or inability to comply with any of these regulations or any regulatory action against us could adversely affect our results of operations, financial condition, or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are subject to anti-money laundering and counter terrorist financing laws and regulations, globally, including the USA PATRIOT Act, and failure to comply with such laws and regulations may subject us to liability. There can be no assurance that our employees or agents will not violate such laws and regulations.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 October 2021, FATF issued the Updated Guidance for Virtual Assets and Virtual Asset Service Providers (“FATF Guidance”) which provides additional details regarding expectations for crypto businesses, including those related to due diligence, transmission of transaction data and reporting.</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 that seeks to establish a unified federal regulatory regime for crypto. We are unable to predict the nature or extent of new and proposed legislation and regulation affecting the crypto industry, or the potential impact of the use of crypto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anti-bribery and anti-corruption laws and similar laws could subject us to penalties and other adverse consequences.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intermediaries will not take actions in violation of applicable law for which we may be ultimately held responsible. As we increase our international sales and business, our risks under these laws may increase.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certain changes to comply with the CFPB’s rule on prepaid accounts, which requires, among other things, the disclosure of fees and other information to the consumer prior to the creation of a prepaid account, some of which constitute substantial changes to the design of certain U.S. consumer accounts and their operability, which could lead to consumer dissatisfaction, require us to reallocate resources, and increase our costs, which could negatively affect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Complying with evolving privacy and other data related laws and requirements may be expensive and force us to make changes to our business, and failure to comply with such laws and requirements could result in substantial harm to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laws, rules, directives and regulations (“privacy laws”) relating to the collection, use, retention, security, transfer and other processing of personal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laws relating to privacy, data protection and cybersecurity,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California Consumer Privacy Act (“CCPA”), as amended by the California Privacy Rights (“CPRA”) provide California residents increased privacy rights and protections with respect to certain sensitive personal information, including the ability to opt out of sales of their personal information. The CPRA also creates a new state agency that will be vested with authority to implement and enforce the CCPA and the CPRA.</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Numerous other U.S. states are considering, and in certain cases have adopted, laws similar to the CCPA. For example, legislation similar to the CCPA has been adopted in Virginia, Colorado, Utah, Connecticut, Iowa, Indiana, Montana, Tennessee, Oregon, Florida, Delaware, Texas, and New Jersey. The U.S. federal government has also considered privacy legislation. These and other new and evolving laws could have potentially conflicting requirements that would make compliance challenging.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United States government is considering regulating artificial intelligence and machine learning.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certifications we maintain and the standards we comply with, including the Payment Card Industry Data Security Standard, among others, are becoming more stringent.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clients relating to their own compliance with applicable laws and regulations, and to establish and maintain internal policies, self-certifications and third-party certifications supporting our compliance programs. Our clients may delegate their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obligations or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processing, storage, and deletion of personal data obtained from their residents or by businesses operating within their jurisdiction. These laws and regulations often are more restrictive than those in the United States. As we expand our business activities into jurisdictions beyond the United States, including as a result of the Apex acquisition our practices, offerings, or platform could fail, or be alleged to fail to meet applicable requirements in the jurisdictions in which we operate. All of these impacts could have a material adverse effect on our business, financial condition and results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at times fail to comply with our privacy policies or other notices or statements we may make regarding the collection, use, disclosure and other processing of personal data,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local, state and federal action if they are found to be deceptive, unfair, or misrepresentative of our actual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be unable to sufficiently protect our proprietary rights and may encounter disputes from time to time relating to our use of the intellectual property of third parties.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Regulatory requirements upon a change of control of our regulated subsidiaries may require an investor to obtain prior approval or submit information to regulators upon acquiring a direct or indirect controlling interest in us.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distributions). If any of this were to occur, it could damage our reputation, limit our growth and materially and adversely affect our business, financial condition and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tax information reporting obligations with respect to transactions involving loyalty points or other incentives are subject to change.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current law, we do not believe that we are required to file any information returns with taxing authorities with respect to the issuance by our clients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customers.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whether the conversion to crypto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crypto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Infrastructure Investment and Jobs Act of 2021 (Pub. L. 117-58) (the “Infrastructure Act”), we may be treated as a “broker” with respect to crypto transactions we facilitate. As a result, we may be required to file certain information reports, including customer’s names and addresses, gross proceeds from sales, and any capital gains or losses to the IRS. In August 2023, the IRS published proposed regulations on tax reporting requirements for cryptocurrency brokers, which were intended to implement the changes in law enacted by the Infrastructure Act. Such changes in our tax information reporting obligations may have a negative effect on the experience of our customers and may significantly increase our compliance costs. As a result of the foregoing, our planned business model may be adversely affected or it may incur additional costs in connection therewith.</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Changes in tax laws or their judicial or administrative interpretations, or becoming subject to additional taxes that cannot be passed through to our loyalty customers, could negatively affect our business, financial condition and results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Because there is limited guidance for tax reporting or accounting of bitcoin and other crypto transactions, the determination that we have made for how to account for or report the tax treatment of crypto transactions may be subject to change and challenge by relevant tax authorities in various countries, including the United States. Failure to properly report activity related to crypto for tax or accounting purposes may have negative regulatory or legal outcomes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there has been limited guidance for the tax reporting or accounting of crypto and limited guidance has been provided by the IRS, it is unclear how crypto transactions or other actions related to crypto (such as forks, provision of staking rewards and other crypto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 address other significant aspects of the U.S. federal income tax treatment of crypto and related transactions. Furthermore, the accounting treatment for revenues from crypto transactions is currently under review and subject to change. Failure to properly account for and report the transactions and other items related to the crypto held by our consumers to relevant tax authorities, such as the IRS, could have negative outcomes for us and harm our reputation with consumers and others.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IRS or other foreign tax authority will not alter its existing positions with respect to crypto in the future or that a court would uphold the treatment set forth in the existing IRS guidance. It is also unclear what additional guidance may be issued in the future on the treatment of existing crypto transactions and future crypto innovations for purposes of U.S. federal income tax or other foreign tax regulations. Any such alteration of existing IRS and foreign tax authority positions or additional guidance regarding crypto products and transactions could result in adverse tax consequences for holders of crypto and could have an adverse effect on the value of crypto and the broader crypto markets. Future technological and operational developments that may arise with respect to crypto currencies may increase the uncertainty with respect to the treatment of crypto currencies for U.S. federal income and foreign tax purposes. The uncertainty regarding tax treatment of crypto transactions impacts our customers, and could impact our business, both domestically and abroad.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transactions, we may be exposed to significant penalties, which could adversely affect our financial position. We anticipate additional guidance from the IRS regarding tax reporting and withholding obligations with respect to customer crypto transactions that will likely require us to invest substantially in new compliance measures and may require significant retroactive compliance efforts, which could adversely affect our financial position. Similarly, it is likely that new rules for reporting crypto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 under U.S. or foreign tax law.</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2017 Tax Cuts and Jobs Act, or Tax Act, future tax losses may be utilized to offset no more than 80% of taxable income annually.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Based on state conformity or the lack thereof to the provisions in the Tax Act, as amended by the CARES Act, there is the potential that the Company may also be required to pay state income taxes despite generating a loss for state income tax purposes. For these reasons, we may not be able to realize a tax benefit from the use of any future NOLs we generate, whether or not we attain profitability.</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be subject to various governmental export control and trade sanctions laws and regulations that could impair our ability to compete in international markets or subject us to liability if we violate these controls.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Information Technology and Data</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Actual or perceived cyberattacks, security incidents or breaches could result in serious harm to our reputation, business and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collection, storage, processing and transmission of confidential information and customers’ personal data, including financial information and information about how customers interact with our platform. We have built our reputation on the premise that we offer customers a secure and convenient way to manage their crypto.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techniques used to obtain unauthorized, improper, or illegal access to systems and information (including customers’ personal data),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into disclosing customer names, passwords, payment card information, or other sensitive information, which may in turn be used to access our information technology systems, or to steal crypto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Russia-Ukraine war and Israel-Hamas war, and othe geopolitical tensions and military conflicts, may increase the risks we and our vendors face from cyberattacks. Numerous and evolving cybersecurity threats, including advanced and persistent cyberattacks, cyberextortion, ransomware, denial-of-service attacks, spear phishing and 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have prevented or will prevent breaches, security incidents or attacks, in particular, as the frequency and sophistication of cyberattacks increases.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and infrastructure and those of our vendors (including data center and cloud computing providers) may be vulnerable to cyberattacks, security incidents and breaches and third parties may be able to access our customers’ personal data and/or proprietary information, banking, crypto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causes. Actual or perceived breaches of our or our vendors’ security could, among other things: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interrupt our operations;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result in our systems or services being unavailable or degraded;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result in improper disclosure or other processing of information (including consumers’ personal data) and actual or perceived violations of applicable privacy and other laws;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materially harm our reputation;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result in significant liability claims, litigation, regulatory scrutiny, investigations and other proceedings, fines, penalties and other legal and financial exposure;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cause us to incur significant remediation costs;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lead to loss or theft of customer crypto or loyalty points and other harm to customers;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lead to loss or theft of intellectual property;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lead to loss of customer confidence in, or decreased use of, our products and services;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divert the attention of management from the operation of our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result in significant compensation or contractual penalties from us to our customers as a result of losses to them or claims by them;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adversely affect our business and results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expended and expect to continue to invest in resources to protect against privacy and security incidents and breaches and may be required to redress problems caused by privacy and security incidents or breaches. We have implemented remote and hybrid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using wireless networks that we do not control, or the ability to transmit or store information outside of our secured network.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Systems failures and resulting interruptions in the availability of our websites, applications, products or services could harm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Russia-Ukraine and Israel-Hamas wars), terrorist attacks, computer viruses, ransomware or other malware, or other events. We have experienced from time to time, and may experience in the future, disruptions in our systems. In addition, as a provider of payments solutions and crypto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under the caption “</w:t>
      </w:r>
      <w:r>
        <w:rPr>
          <w:rFonts w:ascii="Times New Roman;sans-serif" w:hAnsi="Times New Roman;sans-serif"/>
          <w:b w:val="false"/>
          <w:i/>
          <w:color w:val="000000"/>
          <w:sz w:val="20"/>
        </w:rPr>
        <w:t>Actual or perceived cyberattacks, security incidents, or breaches could result in serious harm to our reputation, business and financial condition</w:t>
      </w:r>
      <w:r>
        <w:rPr>
          <w:rFonts w:ascii="Times New Roman;sans-serif" w:hAnsi="Times New Roman;sans-serif"/>
          <w:b w:val="false"/>
          <w:color w:val="000000"/>
          <w:sz w:val="20"/>
        </w:rPr>
        <w:t>.” Further, frequent or persistent site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also rely on facilities, components, applications and services supplied by third parties, including data center facilities and cloud storage services, which subjects us to risks in the nature of those discussed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under the caption “</w:t>
      </w:r>
      <w:r>
        <w:rPr>
          <w:rFonts w:ascii="Times New Roman;sans-serif" w:hAnsi="Times New Roman;sans-serif"/>
          <w:b w:val="false"/>
          <w:i/>
          <w:color w:val="000000"/>
          <w:sz w:val="20"/>
        </w:rPr>
        <w:t xml:space="preserve">We face operational, legal and other risks related to our reliance on third party vendors,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i/>
          <w:color w:val="000000"/>
          <w:sz w:val="20"/>
        </w:rPr>
        <w:t>which we have no control.</w:t>
      </w:r>
      <w:r>
        <w:rPr>
          <w:color w:val="000000"/>
        </w:rPr>
        <w:t xml:space="preserve">” </w:t>
      </w:r>
      <w:r>
        <w:rPr>
          <w:rFonts w:ascii="Times New Roman;sans-serif" w:hAnsi="Times New Roman;sans-serif"/>
          <w:b w:val="false"/>
          <w:color w:val="000000"/>
          <w:sz w:val="20"/>
        </w:rPr>
        <w:t>From time to time, such third parties may 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Our business interruption insurance coverage may be insufficient to compensate us for all losses that may result from interruptions in our service as a result of systems failures and similar events.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use open source software inconsistent with our policies and procedures or the license terms applicable to such software, we could be subject to legal expenses, damages, or costly remediation or disruption to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Risk Management and Financial Reporting</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Real or perceived inaccuracies in our key operating metrics may harm our reputation and negatively affect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track certain key operating metrics with internal systems and tools that are not independently verified by any third party. While the metrics presented in this Annual Report on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and maintain effective internal controls over financial reporting, we may not be able to produce timely and accurate financial statements, which could have a material adverse effect on our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has excluded Bakkt Crypto. There is no assurance that we will not identify control deficiencies or material weaknesses when our assessment include Bakkt Crypto in future periods.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procedures or internal control over financial reporting could have an adverse effect on our business and operating results, and cause a decline in the price of our securities.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Annual Report on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management has limited experience in operating a public company.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executive officers and directors, including our incoming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members or former members of our management engage in business activities of the types conducted by us, we may be materially adversely affected.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are not effective in preventing these parties from engaging in business activities that are competitive with us, it could have a material adverse effect on our business, financial condition, results of operations or prospects and our ability to make distributions to our equity holders.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have incurred and continue to incur increased costs as a public company, and our management is required to devote substantial time to compliance matters.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have incurred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 with compliance with the rules and regulations of the SEC, the listing requirements of NYSE, and various other costs of a public company. The expenses generally incurred by public companies for reporting and corporate governance purposes have been increasing.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are unable to satisfy our obligations as a public company, we could be subject to delisting of our securities, fines, sanctions and other regulatory action and potentially civil litigation.</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not being required to have an independent registered public accounting firm audit our internal control over financial reporting under Section 404 of the Sarbanes-Oxley Act;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reduced disclosure obligations regarding executive compensation in our periodic reports and annual report on Form 10-K;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exemptions from the requirements of holding non-binding advisory votes on executive compensation and stockholder approval of any golden parachute payments not previously approved.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our stockholders may not have access to certain information that they may deem important. Our status as an emerging growth company will end as soon as any of the following takes place: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last day of the fiscal year in which we had at least $1.235 billion in annual revenue;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date we qualify as a “large accelerated filer,” with at least $700.0 million of equity securities held by non-affiliates;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date on which we have issued, in any three-year period, more than $1.0 billion in non-convertible debt securities; or</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December 31, 2025.</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securities less attractive because we rely on any of these exemptions, there may be a less active trading market for such securities and the market price of such securities may be more volatile and may decline.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Future changes in financial accounting standards may significantly change our reported results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 transactions is under review and subject to change. To the extent we account for revenue from crypto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Material weaknesses or control deficiencies could occur that could adversely affect our ability to report our results of operations and financial condition accurately and in a timely manner.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 give no assurance that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Securities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Class A Common Stock. Any such exercise increases the number of shares outstanding and eligible for future resale in the public market and results in dilution to our stockholders.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warrants to purchase an aggregate of 7,140,814 shares of Class A Common Stock are exercisable in accordance with the terms of the warrant agreement. In addition, we have outstanding warrants to purchase up to an aggregate of 48,898,110 additional shares Class A Common Stock at an exercise price $1.02 per share and pre-funded warrants to purchase up to 11,218,570 additional shares of Class A Common Stock at an exercise price of $0.0001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lineRule="auto" w:line="333"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The valuation of our warrants could increase the volatility in our net income (loss)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issue additional shares of common stock or other equity securities , which would dilute stockholders’ ownership interest in us and may reduce the market price of our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shares of our Class A Common Stock or other equity securities in the future in connection with, among other things, future acquisitions, repayment of outstanding indebtedness, the exercise of warrants issued pursuant to the Concurrent Offerings (as defined below), or grants under the 2021 Omnibus Incentive Plan, as amended (the “Equity Incentive Plan”), without stockholder approval in a number of circumstances. We may also issue, subject to obtaining stockholder approval, to ICE 8,772,016 shares of Class A Common Stock and warrants to purchase up to 8,772,016 shares of Class A Common Stock pursuant to a securities purchase agreement. The issuance of additional Class A Common Stock or other equity securities could have, among other things, one or more of the following effects: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existing stockholders’ proportionate ownership interest will decrease;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amount of cash available per share, including for payment of dividends in the future, may decrease;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relative voting strength of each previously outstanding share of our common stock may be diminished;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market price of our Class A Common Stock and/or Warrants may decline.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may not receive any additional funds upon the exercise of the Pre-Funded Warrants or Warrants.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Pre-Funded Warrant and Warrant (each as defined below) may be exercised by way of a cashless exercise, meaning that the holder may not pay a cash purchase price upon exercise, but instead would receive upon such exercise the net number of shares of the Class A Common Stock as determined according to the formulas set forth in the Pre-Funded Warrant or Warrant. In addition, upon the occurrence of certain events, the Class 2 Warrants (as defined below)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the Pre-Funded Warrants or Warrants.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securities and industry analysts do not publish research or publish inaccurate or unfavorable research about our business, the prices and trading volumes of our securities could decline.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classified Board with three-year staggered terms, which could delay the ability of stockholders to change the membership of a majority of the Board;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limitation of the liability of, and the indemnification of, our directors and officers;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right of the Board to elect a director to fill a vacancy created by the expansion of the Board or the resignation, death or removal of a director, which prevents stockholders from being able to fill vacancies on the Board;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 and upon the affirmative vote of the holders of at least 66 2/3% of the total voting power of then outstanding Class A Common Stock;</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controlling the procedures for the conduct and scheduling of the Board and stockholder meetings;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ability of the Board to amend the By-Laws, which may allow the Board to take additional actions to prevent an unsolicited takeover and inhibit the ability of an acquirer to amend the By-Laws to facilitate an unsolicited takeover attempt;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the Board or management.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our dual class structure may have on the stock price of our Class A Common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may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does not limit the ability of ICE to compete with us.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ICE will not be liable to us, our stockholders any of our affiliates for breach of any fiduciary duty solely by reason of the fact that they engage or have engaged in any such activities.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ICE may exert significant influence over us and its interests may conflict with yours or those of other stockholders in the future.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The price of our securities may be volatile.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has in the past been and could in the future be impacted by market volatility. The price of our securities may fluctuate due to a variety of factors, including: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the industries in which we operate, including, in particular, the crypto industry;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developments involving our competitors or other companies in our industries;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variations in our operating performance and the performance of our competitors in general;</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publication of research reports by securities analysts about us or our competitors or our industry;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actions by stockholders;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exercise of warrants to purchase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the combined companies;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debt;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volume of our Class A Common Stock available for public sale;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acts of war or terrorism, such as the war in the Middle East and ongoing geopolitical tensions related to Russia’s actions in Ukraine, resulting sanctions imposed by the U.S. and other countries, and retaliatory actions taken by Russia in response to such sanctions.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market and industry factors may materially reduce the market price of our securities regardless of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the Class A Common Stock for the foreseeable future, you may not receive any return on investment unless you sell your Class A Common Stock at a price greater than what you paid for it.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Our securities may be delisted from the New York Stock Exchange if we cannot regain compliance with the NYSE’s continued listing requirements.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2024, we were notified by the NYSE that we were not in compliance with Section 802.01C of the NYSE Listed Company Manual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the Company’s Class A Common Stock will continue to be listed on the NYSE. There can be no assurances that we will be able to regain compliance with the Listing Rule or any other NYSE continued listing requirements during such period, or at all.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regain compliance with the Listing Rule within six months of receipt of the NYSE notification, our securities may be delisted. 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reduced liquidity for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incurrence of additional costs under state blue sky laws in connection with any sales of our securities;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limited amount of news and analyst coverage;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loss or theft; fraud; extortion; harm to employees or customers; potential litigation, regulatory investigations or other proceedings, and other legal risks; and reputational risks. We have implemented cybersecurity processes, technologies, and controls to aid in our efforts to assess, identify, and manage such material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for the availability of critical data and systems, address regulatory compliance requirements, manage our material risks from cybersecurity threats, and to protect against, detect, and respond to cybersecurity incidents, we undertake these activities: </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undertake an annual review of our policies and statements related to cybersecurity;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conduct cybersecurity awareness training for all employees annually;</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conduct privileged access and incident training for employees involved in our systems and processes that handle sensitive data;</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conduct regular phishing email simulations for all employees and all contractors with access to corporate email systems to enhance awareness and responsiveness to such possible threats;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through policy, practice and contract (as applicable), require employees, as well as applicable third parties who provide services on our behalf, to treat customer information and data with care;</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conduct tabletop exercises to simulate a response to a cybersecurity incident and use the findings to improve our processes and technologies;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leverage the National Institute of Standards and Technology incident handling framework as the foundation of our incident response plan to help us identify, protect, detect, respond, and recover when there is an actual or potential cybersecurity incident;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carry information security risk insurance that provides protection against the certain potential losses arising from a cybersecurity incident.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incident response plan coordinates the activities we take in our efforts to prepare for, detect, respond to and recover from cybersecurity incidents, which include processes designed to triage, assess severity, escalate, contain, investigate, and remediate the incident, as well as to comply with potentially applicable legal obligations and mitigate brand and reputational damage. We regularly engage with independent third parties to review our cybersecurity program and assess the effectiveness of our controls. These third parties include our Internal Audit department as well as external reputable and well-known firms, all of which review various aspects of our cybersecurity program, processes, and controls throughout the year.</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processes to address cybersecurity threat risks associated with our use of third-party service providers, including those who have access to our systems or data or facilities that house such systems and data. Cybersecurity considerations affect the selection and oversight of these third-party service providers. We perform diligence on these third parties and monitor cybersecurity threat risks identified through such diligence. Additionally, we generally require those third parties that we believe could introduce significant cybersecurity risk to us to agree by contract to manage their cybersecurity risks in specified ways, and be subject to certain obligations related to their cybersecurity practices.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technology companies, we have faced cybersecurity incidents in the past. As of the date of this Annual Report on Form 10-K, however, we have not assessed any risks from prior cybersecurity incidents as having materially affected or being reasonably likely to materially affect us. We face risks from cybersecurity threats, including those associated with cyberattacks and security breaches and incidents, in the future. For additional information regarding whether and how risks from identified cybersecurity threats, including as a result of any previous cybersecurity incidents, have materially affected or are reasonably likely to materially affect us, including our business strategy,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or financial condition in “Item 1A. Risk Factors” and “Item 7. Management’s Discussion and Analysis of Financial Condition and Results of Operations” of this Annual Report on Form 10-K, which disclosures are incorporated by reference herein. </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Cybersecurity is an important part of our risk management processes and an area of focus for our Board and management. Our Board’s Audit and Risk Committee is responsible for the oversight of risks from cybersecurity threats. At least</w:t>
      </w:r>
      <w:r>
        <w:rPr>
          <w:color w:val="000000"/>
        </w:rPr>
        <w:t xml:space="preserve"> </w:t>
      </w:r>
      <w:r>
        <w:rPr>
          <w:rFonts w:ascii="Times New Roman;sans-serif" w:hAnsi="Times New Roman;sans-serif"/>
          <w:b w:val="false"/>
          <w:color w:val="000000"/>
          <w:sz w:val="20"/>
        </w:rPr>
        <w:t>quarterly, the entire Board receives an overview from management of our cybersecurity program and strategy processes covering topics such as data security posture, results from third-party assessments, progress towards pre-determined risk-mitigation-related goals, our incident response plan, and certain cybersecurity threat risks or incidents and developments, as well as the steps management has taken to respond to such risks. The Board discusses such matters with our Chief Risk Officer (CRO) and Chief Information Security Officer (CISO). Members of the Board are also encouraged to regularly engage in ad hoc conversations with management on cybersecurity-related news events and discuss any updates to our cybersecurity risk management and strategy programs.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Our enterprise risk management and strategy processes are led by our CRO. Cybersecurity program management and strategy processes are led by our CISO. Such individuals have collectively</w:t>
      </w:r>
      <w:r>
        <w:rPr>
          <w:color w:val="000000"/>
        </w:rPr>
        <w:t xml:space="preserve"> </w:t>
      </w:r>
      <w:r>
        <w:rPr>
          <w:rFonts w:ascii="Times New Roman;sans-serif" w:hAnsi="Times New Roman;sans-serif"/>
          <w:b w:val="false"/>
          <w:color w:val="000000"/>
          <w:sz w:val="20"/>
        </w:rPr>
        <w:t>over 40 years of prior work experience in various roles involving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 Information Systems Security Professional. The CRO and CISO provide regular updates to the executive management team. The executive management team monitors the prevention, mitigation, detection, and remediation of cybersecurity incidents through their participation in the cybersecurity risk management and strategy processes described above, including the operation of our incident response plan. As discussed above, the CRO and CISO report to the entire Board about cybersecurity threat risks, among other cybersecurity related matters, at least quarterly.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lease facilities under operating leases in Alpharetta, Georgia, one for our corporate headquarters</w:t>
      </w:r>
      <w:r>
        <w:rPr>
          <w:color w:val="000000"/>
          <w:shd w:fill="FFFFFF" w:val="clear"/>
        </w:rPr>
        <w:t xml:space="preserve"> </w:t>
      </w:r>
      <w:r>
        <w:rPr>
          <w:rFonts w:ascii="Times New Roman;sans-serif" w:hAnsi="Times New Roman;sans-serif"/>
          <w:b w:val="false"/>
          <w:color w:val="000000"/>
          <w:sz w:val="20"/>
          <w:shd w:fill="FFFFFF" w:val="clear"/>
        </w:rPr>
        <w:t>with an expiration date in October 2032, and another for a call center with an expiration date in April 2026</w:t>
      </w:r>
      <w:r>
        <w:rPr>
          <w:rFonts w:ascii="Times New Roman;sans-serif" w:hAnsi="Times New Roman;sans-serif"/>
          <w:b w:val="false"/>
          <w:color w:val="000000"/>
          <w:sz w:val="20"/>
        </w:rPr>
        <w:t>, in Scottsdale, Arizona, our principa</w:t>
      </w:r>
      <w:r>
        <w:rPr>
          <w:rFonts w:ascii="Times New Roman;sans-serif" w:hAnsi="Times New Roman;sans-serif"/>
          <w:b w:val="false"/>
          <w:color w:val="000000"/>
          <w:sz w:val="20"/>
          <w:shd w:fill="FFFFFF" w:val="clear"/>
        </w:rPr>
        <w:t>l customer service center with an expiration date in September 2030, and in New York, New York, our satellite corporate office with an expiration date in March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000000"/>
          <w:sz w:val="20"/>
        </w:rPr>
        <w:t>resources, and other factors. For additional information on our ongoing legal proceedings, refer to Note 14</w:t>
      </w:r>
      <w:r>
        <w:rPr>
          <w:color w:val="000000"/>
        </w:rPr>
        <w:t xml:space="preserve"> </w:t>
      </w:r>
      <w:r>
        <w:rPr>
          <w:rFonts w:ascii="Times New Roman;sans-serif" w:hAnsi="Times New Roman;sans-serif"/>
          <w:b w:val="false"/>
          <w:color w:val="000000"/>
          <w:sz w:val="20"/>
        </w:rPr>
        <w:t>in our audited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 and Holders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Public Warrants trade on NYSE under the trading symbols “BKKT” and “BKKT WS,”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18, 2024, we had 141,798,069 shares of Class A Common Stock issued and outstanding held of record by 171 holders, 179,883,479 shares of Class V Common Stock issued and outstanding held of record by 3 holders, and 7,140,808 Public Warrants issued and outstanding, each exercisable for one share of Class A Common Stock, held of record by 1 holder. There is no public market for our Class V Common Stock.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231F20"/>
          <w:sz w:val="20"/>
        </w:rPr>
      </w:pPr>
      <w:r>
        <w:rPr>
          <w:rFonts w:ascii="Times New Roman;sans-serif" w:hAnsi="Times New Roman;sans-serif"/>
          <w:b w:val="false"/>
          <w:i/>
          <w:color w:val="231F20"/>
          <w:sz w:val="20"/>
        </w:rPr>
        <w:t>The following discussion and analysis of financial condition and results of operations should be read together with our audited consolidated financial statements and the related notes included under Item 8 of this Annual Report on Form 10-K (the “audited consolidated financial statements”). References in this section to “we,” “us,” “our,” “Bakkt” or the “Company” and like terms refer to Bakkt Holdings, Inc. and its subsidiaries for the years ended December 31, 2023 and December 31, 2022, unless the context otherwise requires. Some of the information contained in this discussion and analysis or set forth elsewhere in this Annual Report on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bidi w:val="0"/>
        <w:spacing w:lineRule="auto" w:line="333" w:before="240" w:after="283"/>
        <w:ind w:left="0" w:right="0" w:firstLine="720"/>
        <w:jc w:val="both"/>
        <w:rPr/>
      </w:pPr>
      <w:r>
        <w:rPr>
          <w:rFonts w:ascii="Times New Roman;sans-serif" w:hAnsi="Times New Roman;sans-serif"/>
          <w:b w:val="false"/>
          <w:color w:val="151515"/>
          <w:sz w:val="20"/>
        </w:rPr>
        <w:t xml:space="preserve">Founded in 2018, Bakkt builds technology that connects the digital economy by offering one ecosystem for crypto and loyalty points. We enable our clients to deliver new opportunities to their customers through </w:t>
      </w:r>
      <w:r>
        <w:rPr>
          <w:rFonts w:ascii="Times New Roman;sans-serif" w:hAnsi="Times New Roman;sans-serif"/>
          <w:b w:val="false"/>
          <w:color w:val="0C0C0C"/>
          <w:sz w:val="20"/>
        </w:rPr>
        <w:t>software as a service (“SaaS”)</w:t>
      </w:r>
      <w:r>
        <w:rPr>
          <w:color w:val="151515"/>
        </w:rPr>
        <w:t xml:space="preserve"> </w:t>
      </w:r>
      <w:r>
        <w:rPr>
          <w:rFonts w:ascii="Times New Roman;sans-serif" w:hAnsi="Times New Roman;sans-serif"/>
          <w:b w:val="false"/>
          <w:color w:val="151515"/>
          <w:sz w:val="20"/>
        </w:rPr>
        <w:t xml:space="preserve">and API solutions that unlock crypto and drive loyalty, powering engagement and performance. The global market for crypto, while nascent, is rapidly evolving and expanding. We believe we are well-positioned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151515"/>
          <w:sz w:val="20"/>
        </w:rPr>
      </w:pPr>
      <w:r>
        <w:rPr>
          <w:rFonts w:ascii="Times New Roman;sans-serif" w:hAnsi="Times New Roman;sans-serif"/>
          <w:b w:val="false"/>
          <w:color w:val="151515"/>
          <w:sz w:val="20"/>
        </w:rPr>
        <w:t xml:space="preserve">innovative, multi-faceted product solutions and grow with this evolving market. Our platform is uniquely positioned to power commerce by enabling consumers, brands, and financial institutions to better manage, transact with and monetize crypto in exciting new ways. </w:t>
      </w:r>
    </w:p>
    <w:p>
      <w:pPr>
        <w:pStyle w:val="TextBody"/>
        <w:bidi w:val="0"/>
        <w:spacing w:lineRule="auto" w:line="333" w:before="240" w:after="283"/>
        <w:ind w:left="0" w:right="0" w:firstLine="720"/>
        <w:jc w:val="both"/>
        <w:rPr/>
      </w:pPr>
      <w:r>
        <w:rPr>
          <w:rFonts w:ascii="Times New Roman;sans-serif" w:hAnsi="Times New Roman;sans-serif"/>
          <w:b w:val="false"/>
          <w:color w:val="151515"/>
          <w:sz w:val="20"/>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Arial;sans-serif" w:hAnsi="Arial;sans-serif"/>
          <w:b w:val="false"/>
          <w:color w:val="000000"/>
          <w:sz w:val="24"/>
        </w:rPr>
        <w:t>.</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Crypto Market Developments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color w:val="000000"/>
        </w:rPr>
        <w:t>—</w:t>
      </w:r>
      <w:r>
        <w:rPr>
          <w:rFonts w:ascii="Times New Roman;sans-serif" w:hAnsi="Times New Roman;sans-serif"/>
          <w:b w:val="false"/>
          <w:i/>
          <w:color w:val="000000"/>
          <w:sz w:val="20"/>
        </w:rPr>
        <w:t>Regulation—Regulation of Our Virtual Currency Business</w:t>
      </w:r>
      <w:r>
        <w:rPr>
          <w:rFonts w:ascii="Times New Roman;sans-serif" w:hAnsi="Times New Roman;sans-serif"/>
          <w:b w:val="false"/>
          <w:color w:val="000000"/>
          <w:sz w:val="20"/>
        </w:rPr>
        <w:t>,” below.</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February 2024 Concurrent Registered Direct Offerings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34,917,532 shares of our Class A Common Stock, Class 1 Warrants (“Class 1 Warrants”) to purchase an aggregate of 23,068,051 shares of Class A Common Stock, Class 2 Warrants (“Class 2 Warrants”) to purchase an aggregate of 23,068,051 shares of Class A Common Stock and Pre-Funded Warrants (“Pre-Funded Warrants”) to purchase an aggregate of 11,218,570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$0.8670 and the purchase price of each Pre-Funded Warrant and accompanying Warrant was $0.8669.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 concurrent registered direct offering (the “ICE Offering” and, together with the Third-Party Offering, the “Concurrent Offerings”), we entered into a securities purchase agreement (the “ICE Purchase Agreement” and, together with the Third-Party Purchase Agreement, the “Purchase Agreements”) with ICE, pursuant to which we agreed to sell to ICE up to 11,534,024 shares of Class A Common Stock, Class 1 Warrants to purchase up to 5,767,012 shares of Class A Common Stock, and Class 2 Warrants to purchase up to 5,767,012 shares of Class A Common Stock. The purchase price of each share of Class A Common Stock and accompanying Warrant in the ICE Offering is $0.8670.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ICE Offering, we closed the sale and issuance to ICE of 2,762,009 shares of Class A Common Stock, Class 1 Warrants to purchase up to 1,381,004 shares of Class A Common Stock and Class 2 Warrants to purchase up to 1,381,004 shares of Class A Common Stock, concurrently with the Third-Party Closing (the “Initial ICE Closing”). The closing of the issuance and sale of the remaining 8,772,016 shares of Class A Common Stock, Class 1 Warrants to purchase up to 4,386,008 shares of Class A Common Stock and Class 2 Warrants to purchase up to 4,386,008 shares of Class A Common Stock in the ICE Offering is conditioned on us obtaining stockholder approval for such issuances under the rules and regulations of the NYSE and other customary closing conditions.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See “</w:t>
      </w:r>
      <w:r>
        <w:rPr>
          <w:rFonts w:ascii="Times New Roman;sans-serif" w:hAnsi="Times New Roman;sans-serif"/>
          <w:b w:val="false"/>
          <w:color w:val="231F20"/>
          <w:sz w:val="20"/>
        </w:rPr>
        <w:t>Liquidity and Capital Resources” below for management’s assertions on the impact of the Concurrent Offerings on our going concern considerations.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Apex Crypto Acquisition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2023, we completed the acquisition of 100% of the ownership interests of Apex Crypto LLC (“Apex Crypto”) and subsequently changed the name of the legal entity to Bakkt Crypto Solutions, LLC (“Bakkt Crypto”). We are leveraging Bakkt Crypto’s proprietary trading platform and existing relationships with liquidity providers to provide a wider range of assets and competitive pricing to our customers. Our acquisition of Bakkt Crypto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Bakkt Crypto is in the process of developing, subject to applicable regulatory approvals, functionalities enabling transfers of supported crypto assets between registered customers, and conversion of certain loyalty and rewards points into supported crypto assets. Bakkt Crypto is also in the process of enhancing capabilities on its trading platform, including support for larger orders and recurring buys, and extending the platform to support institutional execution.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following discussion with our clients we have elected to suspend the development of our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our acquisition of Bakkt Crypto closed, Bakkt Crypto had agreements with more than 30 fintech clients pursuant to which the clients made Bakkt Crypto’s crypto asset trading service available to their customer base. Our acquisition of Bakkt Crypto resulted in us obtaining access to such partners. The majority of these fintech clients are also part of Apex Fintech Solutions’ client network.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with these fintech clients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Following the closing of the acquisition of Bakkt Crypto and in light of recent regulatory developments, we reviewed all crypto assets then available on the Bakkt Crypto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Times New Roman;sans-serif" w:hAnsi="Times New Roman;sans-serif"/>
          <w:b w:val="false"/>
          <w:color w:val="231F20"/>
          <w:sz w:val="20"/>
        </w:rPr>
        <w:t>.</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Bumped Acquisition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2023, we acquired 100% of the units of Bumped Financial, LLC, which we subsequently renamed Bakkt Brokerage, LLC ("Bakkt Brokerage"), a broker-dealer registered with the SEC and the Financial Industry Regulatory Authority, Inc., for cash consideration of $0.6 million. Bakkt Brokerage is not engaged in any business activities at this time and we have no current plans for it to engage in future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Key Factors Affecting Our Performance</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Growing Our Client Base</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 </w:t>
      </w:r>
      <w:r>
        <w:rPr>
          <w:rFonts w:ascii="Times New Roman;sans-serif" w:hAnsi="Times New Roman;sans-serif"/>
          <w:b w:val="false"/>
          <w:i/>
          <w:color w:val="231F20"/>
          <w:sz w:val="20"/>
        </w:rPr>
        <w:t>See “Apex Crypto Acquisition” above.</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Product Expansion and Innovation</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crypto marketplace is rapidly evolving. We believe our ability to continue innovating our platform will increase the attractiveness of our platform to clients. Our ability to meet the capability demands of our clients will allow us to continue to grow revenue. </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Competition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crypto marketplace is highly competitive with numerous participants competing for the same clients. We believe we are well positioned with our ability to provide capabilities around emerging crypto assets alongside loyalty points on a single, highly secure, institutional-grade technology platform. </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General Economic and Market Conditions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sans-serif" w:hAnsi="Times New Roman;sans-serif"/>
          <w:b w:val="false"/>
          <w:i/>
          <w:color w:val="231F20"/>
          <w:sz w:val="20"/>
        </w:rPr>
        <w:t>See “Crypto Market Developments”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Regulations in US &amp; International Markets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We are seeking to bring trust and transparency to </w:t>
      </w:r>
      <w:r>
        <w:rPr>
          <w:rFonts w:ascii="Times New Roman;sans-serif" w:hAnsi="Times New Roman;sans-serif"/>
          <w:b w:val="false"/>
          <w:color w:val="000000"/>
          <w:sz w:val="20"/>
        </w:rPr>
        <w:t>crypto</w:t>
      </w:r>
      <w:r>
        <w:rPr>
          <w:rFonts w:ascii="Times New Roman;sans-serif" w:hAnsi="Times New Roman;sans-serif"/>
          <w:b w:val="false"/>
          <w:color w:val="231F20"/>
          <w:sz w:val="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We continue to work with regulators to address the emerging global landscape for </w:t>
      </w:r>
      <w:r>
        <w:rPr>
          <w:rFonts w:ascii="Times New Roman;sans-serif" w:hAnsi="Times New Roman;sans-serif"/>
          <w:b w:val="false"/>
          <w:color w:val="000000"/>
          <w:sz w:val="20"/>
        </w:rPr>
        <w:t>crypto</w:t>
      </w:r>
      <w:r>
        <w:rPr>
          <w:rFonts w:ascii="Times New Roman;sans-serif" w:hAnsi="Times New Roman;sans-serif"/>
          <w:b w:val="false"/>
          <w:color w:val="231F20"/>
          <w:sz w:val="20"/>
        </w:rPr>
        <w:t>. As investment continues, the intersection of technology and finance will require ongoing engagement as new applications emerge. C</w:t>
      </w:r>
      <w:r>
        <w:rPr>
          <w:rFonts w:ascii="Times New Roman;sans-serif" w:hAnsi="Times New Roman;sans-serif"/>
          <w:b w:val="false"/>
          <w:color w:val="000000"/>
          <w:sz w:val="20"/>
        </w:rPr>
        <w:t>rypto asset</w:t>
      </w:r>
      <w:r>
        <w:rPr>
          <w:color w:val="231F20"/>
        </w:rPr>
        <w:t xml:space="preserve"> </w:t>
      </w:r>
      <w:r>
        <w:rPr>
          <w:rFonts w:ascii="Times New Roman;sans-serif" w:hAnsi="Times New Roman;sans-serif"/>
          <w:b w:val="false"/>
          <w:color w:val="231F20"/>
          <w:sz w:val="20"/>
        </w:rPr>
        <w:t xml:space="preserve">and distributed ledger technology have significant, positive potential with proper collaboration between industry and regulators. </w:t>
      </w:r>
      <w:r>
        <w:rPr>
          <w:rFonts w:ascii="Times New Roman;sans-serif" w:hAnsi="Times New Roman;sans-serif"/>
          <w:b w:val="false"/>
          <w:color w:val="0C0C0C"/>
          <w:sz w:val="20"/>
        </w:rPr>
        <w:t xml:space="preserve">For more information around regulations, please see </w:t>
      </w:r>
      <w:r>
        <w:rPr>
          <w:color w:val="0C0C0C"/>
        </w:rPr>
        <w:t>“</w:t>
      </w:r>
      <w:r>
        <w:rPr>
          <w:rFonts w:ascii="Times New Roman;sans-serif" w:hAnsi="Times New Roman;sans-serif"/>
          <w:b w:val="false"/>
          <w:i/>
          <w:color w:val="0C0C0C"/>
          <w:sz w:val="20"/>
        </w:rPr>
        <w:t>Item 1. Business”.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Safeguarding Obligation Liability and Safeguarding Asset Related to Crypto Held for Other Parties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detailed in Note 18 to our audited consolidated financial statements included in this Annual Report on Form 10-K, upon the adoption of Staff Accounting Bulletin 121 (“SAB 121”), we recorded a safeguarding obligation liability and a corresponding safeguarding asset related to the crypto held for other parties. As of December 31, 2023, the safeguarding obligation liability related to crypto held for other parties was $701.6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color w:val="0C0C0C"/>
          <w:sz w:val="20"/>
        </w:rPr>
      </w:pPr>
      <w:r>
        <w:rPr>
          <w:rFonts w:ascii="Times New Roman;sans-serif" w:hAnsi="Times New Roman;sans-serif"/>
          <w:b/>
          <w:color w:val="0C0C0C"/>
          <w:sz w:val="20"/>
        </w:rPr>
        <w:t>Key Performance Indicators</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 xml:space="preserve">We use four key performance indicators (“KPIs”) that are key to understanding our business performance, as they reflect the different ways we enable clients to engage with our platform. </w:t>
      </w:r>
    </w:p>
    <w:p>
      <w:pPr>
        <w:pStyle w:val="TextBody"/>
        <w:bidi w:val="0"/>
        <w:spacing w:lineRule="auto" w:line="288" w:before="240" w:after="283"/>
        <w:ind w:left="0" w:right="0" w:hanging="360"/>
        <w:jc w:val="both"/>
        <w:rPr/>
      </w:pPr>
      <w:r>
        <w:rPr>
          <w:color w:val="0C0C0C"/>
        </w:rPr>
        <w:t>•</w:t>
      </w:r>
      <w:r>
        <w:rPr>
          <w:rFonts w:ascii="Times New Roman;sans-serif" w:hAnsi="Times New Roman;sans-serif"/>
          <w:b/>
          <w:i/>
          <w:color w:val="0C0C0C"/>
          <w:sz w:val="20"/>
        </w:rPr>
        <w:t>Crypto-enabled accounts.</w:t>
      </w:r>
      <w:r>
        <w:rPr>
          <w:color w:val="0C0C0C"/>
        </w:rPr>
        <w:t xml:space="preserve"> </w:t>
      </w:r>
      <w:r>
        <w:rPr>
          <w:rFonts w:ascii="Times New Roman;sans-serif" w:hAnsi="Times New Roman;sans-serif"/>
          <w:b w:val="false"/>
          <w:color w:val="0C0C0C"/>
          <w:sz w:val="20"/>
        </w:rPr>
        <w:t xml:space="preserve">We define crypto-enabled accounts as the total crypto accounts open on our platform. There were 6.2 million and less than 0.1 million crypto-enabled accounts </w:t>
      </w:r>
      <w:r>
        <w:rPr>
          <w:rFonts w:ascii="Times New Roman;sans-serif" w:hAnsi="Times New Roman;sans-serif"/>
          <w:b w:val="false"/>
          <w:color w:val="000000"/>
          <w:sz w:val="20"/>
        </w:rPr>
        <w:t>as of December 31, 2023 and December 31, 2022, respectively</w:t>
      </w:r>
      <w:r>
        <w:rPr>
          <w:rFonts w:ascii="Times New Roman;sans-serif" w:hAnsi="Times New Roman;sans-serif"/>
          <w:b w:val="false"/>
          <w:color w:val="0C0C0C"/>
          <w:sz w:val="20"/>
        </w:rPr>
        <w:t xml:space="preserve">. </w:t>
      </w:r>
    </w:p>
    <w:p>
      <w:pPr>
        <w:pStyle w:val="TextBody"/>
        <w:bidi w:val="0"/>
        <w:spacing w:lineRule="auto" w:line="333" w:before="240" w:after="283"/>
        <w:ind w:left="0" w:right="0" w:hanging="360"/>
        <w:jc w:val="both"/>
        <w:rPr/>
      </w:pPr>
      <w:r>
        <w:rPr>
          <w:color w:val="000000"/>
        </w:rPr>
        <w:t>•</w:t>
      </w:r>
      <w:r>
        <w:rPr>
          <w:rFonts w:ascii="Times New Roman;sans-serif" w:hAnsi="Times New Roman;sans-serif"/>
          <w:b/>
          <w:i/>
          <w:color w:val="0C0C0C"/>
          <w:sz w:val="20"/>
        </w:rPr>
        <w:t>Transacting accounts.</w:t>
      </w:r>
      <w:r>
        <w:rPr>
          <w:color w:val="0C0C0C"/>
        </w:rPr>
        <w:t xml:space="preserve"> </w:t>
      </w:r>
      <w:r>
        <w:rPr>
          <w:rFonts w:ascii="Times New Roman;sans-serif" w:hAnsi="Times New Roman;sans-serif"/>
          <w:b w:val="false"/>
          <w:color w:val="0C0C0C"/>
          <w:sz w:val="20"/>
        </w:rPr>
        <w:t>We define transacting accounts as unique accounts that perform transactions on our platform each month. We use transacting accounts to reflect how users across our platform use the variety of services we offer, such as buying and selling crypto to facilitate everyday purchases, redeeming loyalty points for travel or merchandise, or converting loyalty points to cash or gift cards. There were 3.8 million and 3.0 million unique monthly transacting accounts during the years ended December 31, 2023 and December 31, 2022, respectively.</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00000"/>
          <w:sz w:val="20"/>
        </w:rPr>
        <w:t>Notional traded volume.</w:t>
      </w:r>
      <w:r>
        <w:rPr>
          <w:color w:val="000000"/>
        </w:rPr>
        <w:t xml:space="preserve"> </w:t>
      </w:r>
      <w:r>
        <w:rPr>
          <w:rFonts w:ascii="Times New Roman;sans-serif" w:hAnsi="Times New Roman;sans-serif"/>
          <w:b w:val="false"/>
          <w:color w:val="0C0C0C"/>
          <w:sz w:val="20"/>
        </w:rPr>
        <w:t>We define notional traded volume as the total notional volume of transactions across crypto and loyalty platforms. The figures we use represent gross values recorded as of the order date. Notional traded volumes were $1,531.7 million and $832.3 million during the years ended December 31, 2023 and December 31, 2022, respectively.</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Assets under custody.</w:t>
      </w:r>
      <w:r>
        <w:rPr>
          <w:color w:val="0C0C0C"/>
        </w:rPr>
        <w:t xml:space="preserve"> </w:t>
      </w:r>
      <w:r>
        <w:rPr>
          <w:rFonts w:ascii="Times New Roman;sans-serif" w:hAnsi="Times New Roman;sans-serif"/>
          <w:b w:val="false"/>
          <w:color w:val="0C0C0C"/>
          <w:sz w:val="20"/>
        </w:rPr>
        <w:t xml:space="preserve">We define assets under custody as the sum of coin quantities held by customers multiplied by the final quote for each coin on the last day of the period. Assets under custody were $701.6 million and $15.8 million </w:t>
      </w:r>
      <w:r>
        <w:rPr>
          <w:rFonts w:ascii="Times New Roman;sans-serif" w:hAnsi="Times New Roman;sans-serif"/>
          <w:b w:val="false"/>
          <w:color w:val="000000"/>
          <w:sz w:val="20"/>
        </w:rPr>
        <w:t>as of December 31,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The following table is our consolidated statements of operations for the years ended </w:t>
      </w:r>
      <w:r>
        <w:rPr>
          <w:rFonts w:ascii="Times New Roman;sans-serif" w:hAnsi="Times New Roman;sans-serif"/>
          <w:b w:val="false"/>
          <w:color w:val="0C0C0C"/>
          <w:sz w:val="20"/>
        </w:rPr>
        <w:t xml:space="preserve">December 31, 2023 and December 31, 2022, respectively </w:t>
      </w:r>
      <w:r>
        <w:rPr>
          <w:rFonts w:ascii="Times New Roman;sans-serif" w:hAnsi="Times New Roman;sans-serif"/>
          <w:b w:val="false"/>
          <w:color w:val="231F20"/>
          <w:sz w:val="20"/>
        </w:rPr>
        <w:t xml:space="preserve">(in thousands): </w:t>
      </w:r>
    </w:p>
    <w:tbl>
      <w:tblPr>
        <w:tblW w:w="10075" w:type="dxa"/>
        <w:jc w:val="left"/>
        <w:tblInd w:w="0" w:type="dxa"/>
        <w:tblLayout w:type="fixed"/>
        <w:tblCellMar>
          <w:top w:w="28" w:type="dxa"/>
          <w:left w:w="28" w:type="dxa"/>
          <w:bottom w:w="28" w:type="dxa"/>
          <w:right w:w="28" w:type="dxa"/>
        </w:tblCellMar>
      </w:tblPr>
      <w:tblGrid>
        <w:gridCol w:w="1692"/>
        <w:gridCol w:w="1481"/>
        <w:gridCol w:w="1491"/>
        <w:gridCol w:w="474"/>
        <w:gridCol w:w="1782"/>
        <w:gridCol w:w="263"/>
        <w:gridCol w:w="109"/>
        <w:gridCol w:w="109"/>
        <w:gridCol w:w="109"/>
        <w:gridCol w:w="433"/>
        <w:gridCol w:w="1792"/>
        <w:gridCol w:w="340"/>
      </w:tblGrid>
      <w:tr>
        <w:trPr/>
        <w:tc>
          <w:tcPr>
            <w:tcW w:w="169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services</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Loyalty services, net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54,479 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780,136 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56,224 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Crypto costs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Execution, clearing and brokerage fees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impairments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1,822,089 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1,008,026 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2,075,137 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(227,890)</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(2,018,913)</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2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from change in fair value of warrant liability</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(225,368)</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(2,001,254)</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(225,812)</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(1,989,934)</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(150,958)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(1,411,829)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(74,854)</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(578,105)</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Class A common stockholders:</w:t>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Year Ended December 31, 2023 Compared to Year Ended December 31, 2022</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Financial Summary</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The year ended </w:t>
      </w:r>
      <w:r>
        <w:rPr>
          <w:rFonts w:ascii="Times New Roman;sans-serif" w:hAnsi="Times New Roman;sans-serif"/>
          <w:b/>
          <w:i/>
          <w:color w:val="231F20"/>
          <w:sz w:val="20"/>
        </w:rPr>
        <w:t>December 31, 2023</w:t>
      </w:r>
      <w:r>
        <w:rPr>
          <w:color w:val="231F20"/>
        </w:rPr>
        <w:t xml:space="preserve"> </w:t>
      </w:r>
      <w:r>
        <w:rPr>
          <w:rFonts w:ascii="Times New Roman;sans-serif" w:hAnsi="Times New Roman;sans-serif"/>
          <w:b w:val="false"/>
          <w:color w:val="231F20"/>
          <w:sz w:val="20"/>
        </w:rPr>
        <w:t xml:space="preserve">included the following notable items relative to the year ended </w:t>
      </w:r>
      <w:r>
        <w:rPr>
          <w:rFonts w:ascii="Times New Roman;sans-serif" w:hAnsi="Times New Roman;sans-serif"/>
          <w:b/>
          <w:i/>
          <w:color w:val="231F20"/>
          <w:sz w:val="20"/>
        </w:rPr>
        <w:t>December 31, 2022</w:t>
      </w:r>
      <w:r>
        <w:rPr>
          <w:rFonts w:ascii="Times New Roman;sans-serif" w:hAnsi="Times New Roman;sans-serif"/>
          <w:b w:val="false"/>
          <w:color w:val="231F20"/>
          <w:sz w:val="20"/>
        </w:rPr>
        <w:t>:</w:t>
      </w:r>
    </w:p>
    <w:p>
      <w:pPr>
        <w:pStyle w:val="TextBody"/>
        <w:bidi w:val="0"/>
        <w:spacing w:lineRule="auto" w:line="333" w:before="120" w:after="283"/>
        <w:ind w:left="0" w:right="0" w:hanging="360"/>
        <w:jc w:val="both"/>
        <w:rPr/>
      </w:pPr>
      <w:r>
        <w:rPr>
          <w:color w:val="231F20"/>
        </w:rPr>
        <w:t>•</w:t>
      </w:r>
      <w:r>
        <w:rPr>
          <w:rFonts w:ascii="Times New Roman;sans-serif" w:hAnsi="Times New Roman;sans-serif"/>
          <w:b w:val="false"/>
          <w:color w:val="231F20"/>
          <w:sz w:val="20"/>
        </w:rPr>
        <w:t xml:space="preserve">Revenue increased </w:t>
      </w:r>
      <w:r>
        <w:rPr>
          <w:rFonts w:ascii="Times New Roman;sans-serif" w:hAnsi="Times New Roman;sans-serif"/>
          <w:b w:val="false"/>
          <w:color w:val="000000"/>
          <w:sz w:val="20"/>
        </w:rPr>
        <w:t>$723.9 million</w:t>
      </w:r>
      <w:r>
        <w:rPr>
          <w:color w:val="231F20"/>
        </w:rPr>
        <w:t xml:space="preserve"> </w:t>
      </w:r>
      <w:r>
        <w:rPr>
          <w:rFonts w:ascii="Times New Roman;sans-serif" w:hAnsi="Times New Roman;sans-serif"/>
          <w:b w:val="false"/>
          <w:color w:val="231F20"/>
          <w:sz w:val="20"/>
        </w:rPr>
        <w:t>primarily driven by a significant increase in crypto services revenue due to our acquisition of Bakkt Crypto;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231F20"/>
          <w:sz w:val="20"/>
        </w:rPr>
        <w:t>Operating expenses decreased $1,067.1 million primarily driven by goodwill and intangible asset impairments recorded in the prior year, partially offset by increased crypto trading costs in connection with our acquisition of Bakkt Crypto</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consist of crypto and loyalty revenue. We earn revenue when consumers use our services to buy, sell, and store crypto and redeem loyalty points. We generate revenue across our platform in the following key areas: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Subscription and service revenue. We receive a recurring subscription revenue stream from client platform fees as well as service revenue from software development fees and call center support.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loyalty revenue has seasonality and is typically higher in the fourth quarter, driven by holiday spending and the booking of travel. Revenue generated from our crypto services had been immaterial prior to our acquisition of Bakkt Crypto; however, revenue from crypto services is now a significant driver of our business, and we expect crypto revenue to increase as we grow our client base and our customers. As a result of our acquisition of Bakkt Crypto, we expect loyalty revenue, which prior to the Bakkt Crypto acquisition was the source of substantially all of our revenue, to be a smaller percentage of overall revenue in the future as the revenue from our crypto product and service offerings grows.</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Crypto Services Revenue</w:t>
      </w:r>
    </w:p>
    <w:tbl>
      <w:tblPr>
        <w:tblW w:w="9642" w:type="dxa"/>
        <w:jc w:val="left"/>
        <w:tblInd w:w="0" w:type="dxa"/>
        <w:tblLayout w:type="fixed"/>
        <w:tblCellMar>
          <w:top w:w="28" w:type="dxa"/>
          <w:left w:w="28" w:type="dxa"/>
          <w:bottom w:w="28" w:type="dxa"/>
          <w:right w:w="28" w:type="dxa"/>
        </w:tblCellMar>
      </w:tblPr>
      <w:tblGrid>
        <w:gridCol w:w="521"/>
        <w:gridCol w:w="458"/>
        <w:gridCol w:w="460"/>
        <w:gridCol w:w="464"/>
        <w:gridCol w:w="1817"/>
        <w:gridCol w:w="239"/>
        <w:gridCol w:w="109"/>
        <w:gridCol w:w="109"/>
        <w:gridCol w:w="109"/>
        <w:gridCol w:w="568"/>
        <w:gridCol w:w="1659"/>
        <w:gridCol w:w="293"/>
        <w:gridCol w:w="109"/>
        <w:gridCol w:w="109"/>
        <w:gridCol w:w="109"/>
        <w:gridCol w:w="211"/>
        <w:gridCol w:w="826"/>
        <w:gridCol w:w="109"/>
        <w:gridCol w:w="109"/>
        <w:gridCol w:w="109"/>
        <w:gridCol w:w="109"/>
        <w:gridCol w:w="303"/>
        <w:gridCol w:w="303"/>
        <w:gridCol w:w="430"/>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Crypto services</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726,988 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Crypto services revenue increased by </w:t>
      </w:r>
      <w:r>
        <w:rPr>
          <w:rFonts w:ascii="Times New Roman;sans-serif" w:hAnsi="Times New Roman;sans-serif"/>
          <w:b w:val="false"/>
          <w:color w:val="000000"/>
          <w:sz w:val="20"/>
        </w:rPr>
        <w:t>$725.2 million</w:t>
      </w:r>
      <w:r>
        <w:rPr>
          <w:color w:val="231F20"/>
        </w:rPr>
        <w:t xml:space="preserve"> </w:t>
      </w:r>
      <w:r>
        <w:rPr>
          <w:rFonts w:ascii="Times New Roman;sans-serif" w:hAnsi="Times New Roman;sans-serif"/>
          <w:b w:val="false"/>
          <w:color w:val="231F20"/>
          <w:sz w:val="20"/>
        </w:rPr>
        <w:t xml:space="preserve">for the year ended December 31, 2023 compared to the year ended December 31, 2022. The increase was primarily driven by increased crypto trading volume due to our acquisition of Bakkt Crypto. </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Loyalty Services Revenue</w:t>
      </w:r>
    </w:p>
    <w:tbl>
      <w:tblPr>
        <w:tblW w:w="9910" w:type="dxa"/>
        <w:jc w:val="left"/>
        <w:tblInd w:w="0" w:type="dxa"/>
        <w:tblLayout w:type="fixed"/>
        <w:tblCellMar>
          <w:top w:w="28" w:type="dxa"/>
          <w:left w:w="28" w:type="dxa"/>
          <w:bottom w:w="28" w:type="dxa"/>
          <w:right w:w="28" w:type="dxa"/>
        </w:tblCellMar>
      </w:tblPr>
      <w:tblGrid>
        <w:gridCol w:w="652"/>
        <w:gridCol w:w="573"/>
        <w:gridCol w:w="575"/>
        <w:gridCol w:w="510"/>
        <w:gridCol w:w="1746"/>
        <w:gridCol w:w="263"/>
        <w:gridCol w:w="109"/>
        <w:gridCol w:w="109"/>
        <w:gridCol w:w="109"/>
        <w:gridCol w:w="510"/>
        <w:gridCol w:w="1746"/>
        <w:gridCol w:w="263"/>
        <w:gridCol w:w="109"/>
        <w:gridCol w:w="109"/>
        <w:gridCol w:w="109"/>
        <w:gridCol w:w="211"/>
        <w:gridCol w:w="691"/>
        <w:gridCol w:w="109"/>
        <w:gridCol w:w="109"/>
        <w:gridCol w:w="109"/>
        <w:gridCol w:w="109"/>
        <w:gridCol w:w="233"/>
        <w:gridCol w:w="233"/>
        <w:gridCol w:w="6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Loyalty services, net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Loyalty services revenue decreased by $1.3 million, or 2.4%, for the year ended December 31, 2023 compared to the year ended December 31, 2022. The decrease was primarily related to reduced volume-based service revenue, partially offset by increased transaction volume.</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Operating Expenses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Crypto Costs</w:t>
      </w:r>
    </w:p>
    <w:tbl>
      <w:tblPr>
        <w:tblW w:w="9642" w:type="dxa"/>
        <w:jc w:val="left"/>
        <w:tblInd w:w="0" w:type="dxa"/>
        <w:tblLayout w:type="fixed"/>
        <w:tblCellMar>
          <w:top w:w="28" w:type="dxa"/>
          <w:left w:w="28" w:type="dxa"/>
          <w:bottom w:w="28" w:type="dxa"/>
          <w:right w:w="28" w:type="dxa"/>
        </w:tblCellMar>
      </w:tblPr>
      <w:tblGrid>
        <w:gridCol w:w="521"/>
        <w:gridCol w:w="458"/>
        <w:gridCol w:w="460"/>
        <w:gridCol w:w="464"/>
        <w:gridCol w:w="1817"/>
        <w:gridCol w:w="239"/>
        <w:gridCol w:w="109"/>
        <w:gridCol w:w="109"/>
        <w:gridCol w:w="109"/>
        <w:gridCol w:w="568"/>
        <w:gridCol w:w="1659"/>
        <w:gridCol w:w="293"/>
        <w:gridCol w:w="109"/>
        <w:gridCol w:w="109"/>
        <w:gridCol w:w="109"/>
        <w:gridCol w:w="211"/>
        <w:gridCol w:w="826"/>
        <w:gridCol w:w="109"/>
        <w:gridCol w:w="109"/>
        <w:gridCol w:w="109"/>
        <w:gridCol w:w="109"/>
        <w:gridCol w:w="303"/>
        <w:gridCol w:w="303"/>
        <w:gridCol w:w="430"/>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 costs</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718,511 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Crypto costs represent the gross value of crypto sold by our customers on our platform. These costs are measured at the executed price at the time of the trade. Crypto costs increased by $716.9 million for the year ended December 31, 2023 compared to the year ended December 31, 2022, which reflects increased volume driven by our acquisition of Bakkt Crypto.</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Execution, Clearing and Brokerage Fees</w:t>
      </w:r>
    </w:p>
    <w:tbl>
      <w:tblPr>
        <w:tblW w:w="10205" w:type="dxa"/>
        <w:jc w:val="left"/>
        <w:tblInd w:w="0" w:type="dxa"/>
        <w:tblLayout w:type="fixed"/>
        <w:tblCellMar>
          <w:top w:w="28" w:type="dxa"/>
          <w:left w:w="28" w:type="dxa"/>
          <w:bottom w:w="28" w:type="dxa"/>
          <w:right w:w="28" w:type="dxa"/>
        </w:tblCellMar>
      </w:tblPr>
      <w:tblGrid>
        <w:gridCol w:w="1031"/>
        <w:gridCol w:w="899"/>
        <w:gridCol w:w="902"/>
        <w:gridCol w:w="499"/>
        <w:gridCol w:w="1458"/>
        <w:gridCol w:w="257"/>
        <w:gridCol w:w="109"/>
        <w:gridCol w:w="109"/>
        <w:gridCol w:w="109"/>
        <w:gridCol w:w="639"/>
        <w:gridCol w:w="1231"/>
        <w:gridCol w:w="331"/>
        <w:gridCol w:w="109"/>
        <w:gridCol w:w="109"/>
        <w:gridCol w:w="109"/>
        <w:gridCol w:w="211"/>
        <w:gridCol w:w="616"/>
        <w:gridCol w:w="109"/>
        <w:gridCol w:w="109"/>
        <w:gridCol w:w="109"/>
        <w:gridCol w:w="109"/>
        <w:gridCol w:w="303"/>
        <w:gridCol w:w="303"/>
        <w:gridCol w:w="435"/>
      </w:tblGrid>
      <w:tr>
        <w:trPr/>
        <w:tc>
          <w:tcPr>
            <w:tcW w:w="103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Execution, clearing and brokerage fees</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Execution, clearing and brokerage fees primarily represent payments to clients in exchange for driving order flow to our platform. Execution, clearing and brokerage fees were $3.8 million during the year ended December 31, 2023</w:t>
      </w:r>
      <w:r>
        <w:rPr>
          <w:rFonts w:ascii="Times New Roman;sans-serif" w:hAnsi="Times New Roman;sans-serif"/>
          <w:b w:val="false"/>
          <w:color w:val="231F20"/>
          <w:sz w:val="20"/>
          <w:shd w:fill="FFFFFF" w:val="clear"/>
        </w:rPr>
        <w:t>.</w:t>
      </w:r>
      <w:r>
        <w:rPr>
          <w:color w:val="231F20"/>
        </w:rPr>
        <w:t xml:space="preserve"> </w:t>
      </w:r>
      <w:r>
        <w:rPr>
          <w:rFonts w:ascii="Times New Roman;sans-serif" w:hAnsi="Times New Roman;sans-serif"/>
          <w:b w:val="false"/>
          <w:color w:val="231F20"/>
          <w:sz w:val="20"/>
        </w:rPr>
        <w:t>The increase reflects increased volume driven by our acquisition of Bakkt Crypto.</w:t>
      </w:r>
    </w:p>
    <w:p>
      <w:pPr>
        <w:pStyle w:val="TextBody"/>
        <w:bidi w:val="0"/>
        <w:spacing w:lineRule="auto" w:line="288"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Compensation and Benefits</w:t>
      </w:r>
    </w:p>
    <w:tbl>
      <w:tblPr>
        <w:tblW w:w="10205" w:type="dxa"/>
        <w:jc w:val="left"/>
        <w:tblInd w:w="0" w:type="dxa"/>
        <w:tblLayout w:type="fixed"/>
        <w:tblCellMar>
          <w:top w:w="28" w:type="dxa"/>
          <w:left w:w="28" w:type="dxa"/>
          <w:bottom w:w="28" w:type="dxa"/>
          <w:right w:w="28" w:type="dxa"/>
        </w:tblCellMar>
      </w:tblPr>
      <w:tblGrid>
        <w:gridCol w:w="808"/>
        <w:gridCol w:w="710"/>
        <w:gridCol w:w="697"/>
        <w:gridCol w:w="433"/>
        <w:gridCol w:w="1699"/>
        <w:gridCol w:w="223"/>
        <w:gridCol w:w="109"/>
        <w:gridCol w:w="109"/>
        <w:gridCol w:w="109"/>
        <w:gridCol w:w="433"/>
        <w:gridCol w:w="1699"/>
        <w:gridCol w:w="223"/>
        <w:gridCol w:w="109"/>
        <w:gridCol w:w="109"/>
        <w:gridCol w:w="109"/>
        <w:gridCol w:w="211"/>
        <w:gridCol w:w="788"/>
        <w:gridCol w:w="109"/>
        <w:gridCol w:w="109"/>
        <w:gridCol w:w="109"/>
        <w:gridCol w:w="109"/>
        <w:gridCol w:w="285"/>
        <w:gridCol w:w="286"/>
        <w:gridCol w:w="620"/>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Compensation and benefits expense include all salaries and benefits, compensation for contract labor, incentive programs for employees, payroll taxes, share-based and unit-based compensation and other employee related costs.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headcount decreased year over year as we undertook restructuring actions and right sized our expense base to meet current market demand. We expect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$37.0 million, or 26.6%, for the year ended December 31, 2023 compared to the year ended December 31, 2022. The decrease was primarily due to decreases of $21.9 million in non-cash compensation and incentive bonuses, $10.2 million in contract labor, net of capitalized software development and $2.6 million in recruiting fees, as well as $1.8 million of non-recurring severance payments made during the year ended December 31, 2022 that were not related to the restructuring actions.</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Professional Services</w:t>
      </w:r>
    </w:p>
    <w:tbl>
      <w:tblPr>
        <w:tblW w:w="9910" w:type="dxa"/>
        <w:jc w:val="left"/>
        <w:tblInd w:w="0" w:type="dxa"/>
        <w:tblLayout w:type="fixed"/>
        <w:tblCellMar>
          <w:top w:w="28" w:type="dxa"/>
          <w:left w:w="28" w:type="dxa"/>
          <w:bottom w:w="28" w:type="dxa"/>
          <w:right w:w="28" w:type="dxa"/>
        </w:tblCellMar>
      </w:tblPr>
      <w:tblGrid>
        <w:gridCol w:w="652"/>
        <w:gridCol w:w="573"/>
        <w:gridCol w:w="575"/>
        <w:gridCol w:w="510"/>
        <w:gridCol w:w="1746"/>
        <w:gridCol w:w="263"/>
        <w:gridCol w:w="109"/>
        <w:gridCol w:w="109"/>
        <w:gridCol w:w="109"/>
        <w:gridCol w:w="510"/>
        <w:gridCol w:w="1746"/>
        <w:gridCol w:w="263"/>
        <w:gridCol w:w="109"/>
        <w:gridCol w:w="109"/>
        <w:gridCol w:w="109"/>
        <w:gridCol w:w="211"/>
        <w:gridCol w:w="691"/>
        <w:gridCol w:w="109"/>
        <w:gridCol w:w="109"/>
        <w:gridCol w:w="109"/>
        <w:gridCol w:w="109"/>
        <w:gridCol w:w="233"/>
        <w:gridCol w:w="233"/>
        <w:gridCol w:w="61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Professional services expense includes fees for accounting, legal and regulatory fees. Professional services decreased by $1.1 million, or 9.6%, for the year ended December 31, 2023 compared to the year ended December 31, 2022. The decrease was primarily due to decreases of $0.9 million in audit and tax fees and $1.3 million in other professional fees, which was partially offset by an increase in legal fees of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Technology and Communication</w:t>
      </w:r>
    </w:p>
    <w:tbl>
      <w:tblPr>
        <w:tblW w:w="10205" w:type="dxa"/>
        <w:jc w:val="left"/>
        <w:tblInd w:w="0" w:type="dxa"/>
        <w:tblLayout w:type="fixed"/>
        <w:tblCellMar>
          <w:top w:w="28" w:type="dxa"/>
          <w:left w:w="28" w:type="dxa"/>
          <w:bottom w:w="28" w:type="dxa"/>
          <w:right w:w="28" w:type="dxa"/>
        </w:tblCellMar>
      </w:tblPr>
      <w:tblGrid>
        <w:gridCol w:w="932"/>
        <w:gridCol w:w="819"/>
        <w:gridCol w:w="816"/>
        <w:gridCol w:w="465"/>
        <w:gridCol w:w="1592"/>
        <w:gridCol w:w="239"/>
        <w:gridCol w:w="109"/>
        <w:gridCol w:w="109"/>
        <w:gridCol w:w="109"/>
        <w:gridCol w:w="465"/>
        <w:gridCol w:w="1592"/>
        <w:gridCol w:w="239"/>
        <w:gridCol w:w="109"/>
        <w:gridCol w:w="109"/>
        <w:gridCol w:w="109"/>
        <w:gridCol w:w="211"/>
        <w:gridCol w:w="616"/>
        <w:gridCol w:w="109"/>
        <w:gridCol w:w="109"/>
        <w:gridCol w:w="109"/>
        <w:gridCol w:w="109"/>
        <w:gridCol w:w="255"/>
        <w:gridCol w:w="256"/>
        <w:gridCol w:w="618"/>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$3.8 million, or 22.0%, for the year ended December 31, 2023 compared to the year ended December 31, 2022. The increase was primarily due to an increase in software license fees.</w:t>
      </w:r>
    </w:p>
    <w:p>
      <w:pPr>
        <w:pStyle w:val="TextBody"/>
        <w:bidi w:val="0"/>
        <w:spacing w:lineRule="auto" w:line="288"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969"/>
        <w:gridCol w:w="851"/>
        <w:gridCol w:w="827"/>
        <w:gridCol w:w="455"/>
        <w:gridCol w:w="1557"/>
        <w:gridCol w:w="234"/>
        <w:gridCol w:w="109"/>
        <w:gridCol w:w="109"/>
        <w:gridCol w:w="109"/>
        <w:gridCol w:w="455"/>
        <w:gridCol w:w="1557"/>
        <w:gridCol w:w="234"/>
        <w:gridCol w:w="109"/>
        <w:gridCol w:w="109"/>
        <w:gridCol w:w="109"/>
        <w:gridCol w:w="211"/>
        <w:gridCol w:w="679"/>
        <w:gridCol w:w="109"/>
        <w:gridCol w:w="109"/>
        <w:gridCol w:w="109"/>
        <w:gridCol w:w="109"/>
        <w:gridCol w:w="233"/>
        <w:gridCol w:w="233"/>
        <w:gridCol w:w="620"/>
      </w:tblGrid>
      <w:tr>
        <w:trPr/>
        <w:tc>
          <w:tcPr>
            <w:tcW w:w="96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w:t>
      </w:r>
      <w:r>
        <w:rPr>
          <w:color w:val="000000"/>
        </w:rPr>
        <w:t xml:space="preserve"> </w:t>
      </w:r>
      <w:r>
        <w:rPr>
          <w:rFonts w:ascii="Times New Roman;sans-serif" w:hAnsi="Times New Roman;sans-serif"/>
          <w:b w:val="false"/>
          <w:color w:val="231F20"/>
          <w:sz w:val="20"/>
        </w:rPr>
        <w:t xml:space="preserve">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 </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Selling, general and administrative costs decreased by $2.0 million, or 5.7%, for the year ended December 31, 2023 compared to the year ended December 31, 2022. The decrease was primarily due to a $4.3 million reduction in marketing expenses and decreased travel and entertainment expenses of $0.3 million, partially offset by increases of $1.2 million in occupancy costs, $1.0 million in dues and subscriptions and $0.3 million in regulatory filing fees. In 2022, the majority of marketing expenses were web-based promotional campaigns associated with our direct to consumer app, which we retired in the first quarter of 2023. We expect marketing efforts going forward to reflect our B2B2C focus and we will scale investments up or down depending on market conditions and opportunities.</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Acquisition-related Expenses</w:t>
      </w:r>
    </w:p>
    <w:tbl>
      <w:tblPr>
        <w:tblW w:w="10205" w:type="dxa"/>
        <w:jc w:val="left"/>
        <w:tblInd w:w="0" w:type="dxa"/>
        <w:tblLayout w:type="fixed"/>
        <w:tblCellMar>
          <w:top w:w="28" w:type="dxa"/>
          <w:left w:w="28" w:type="dxa"/>
          <w:bottom w:w="28" w:type="dxa"/>
          <w:right w:w="28" w:type="dxa"/>
        </w:tblCellMar>
      </w:tblPr>
      <w:tblGrid>
        <w:gridCol w:w="861"/>
        <w:gridCol w:w="757"/>
        <w:gridCol w:w="760"/>
        <w:gridCol w:w="524"/>
        <w:gridCol w:w="1532"/>
        <w:gridCol w:w="270"/>
        <w:gridCol w:w="109"/>
        <w:gridCol w:w="109"/>
        <w:gridCol w:w="109"/>
        <w:gridCol w:w="524"/>
        <w:gridCol w:w="1532"/>
        <w:gridCol w:w="270"/>
        <w:gridCol w:w="109"/>
        <w:gridCol w:w="109"/>
        <w:gridCol w:w="109"/>
        <w:gridCol w:w="211"/>
        <w:gridCol w:w="683"/>
        <w:gridCol w:w="109"/>
        <w:gridCol w:w="109"/>
        <w:gridCol w:w="109"/>
        <w:gridCol w:w="109"/>
        <w:gridCol w:w="285"/>
        <w:gridCol w:w="286"/>
        <w:gridCol w:w="620"/>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Acquisition-related expenses increased by $1.4 million, or 24.2%, for the year ended December 31, 2023 compared to the year ended December 31, 2022. Acquisition-related expenses for the year ended December 31, 2023 primarily consisted of </w:t>
      </w:r>
      <w:r>
        <w:rPr>
          <w:rFonts w:ascii="Times New Roman;sans-serif" w:hAnsi="Times New Roman;sans-serif"/>
          <w:b w:val="false"/>
          <w:color w:val="000000"/>
          <w:sz w:val="20"/>
        </w:rPr>
        <w:t xml:space="preserve">fees for investment banking advisors, lawyers, accountants, tax advisors and public relations firms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000000"/>
          <w:sz w:val="20"/>
        </w:rPr>
        <w:t xml:space="preserve">related to the </w:t>
      </w:r>
      <w:r>
        <w:rPr>
          <w:rFonts w:ascii="Times New Roman;sans-serif" w:hAnsi="Times New Roman;sans-serif"/>
          <w:b w:val="false"/>
          <w:color w:val="231F20"/>
          <w:sz w:val="20"/>
        </w:rPr>
        <w:t>acquisitions of Bakkt Crypto and Bakkt Brokerage. Acquisition-related expenses for the year ended December 31, 2022 consisted of fees for investment banking advisors, lawyers, accountants, tax advisors and public relations firms directly related to the acquisition of Bakkt Crypto and Bakkt Brokerage. The amount and timing of acquisition-related expenses is expected to vary across periods based on potential transaction activities.</w:t>
      </w:r>
    </w:p>
    <w:p>
      <w:pPr>
        <w:pStyle w:val="TextBody"/>
        <w:bidi w:val="0"/>
        <w:spacing w:lineRule="auto" w:line="288"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872"/>
        <w:gridCol w:w="748"/>
        <w:gridCol w:w="745"/>
        <w:gridCol w:w="462"/>
        <w:gridCol w:w="1582"/>
        <w:gridCol w:w="238"/>
        <w:gridCol w:w="109"/>
        <w:gridCol w:w="109"/>
        <w:gridCol w:w="109"/>
        <w:gridCol w:w="462"/>
        <w:gridCol w:w="1582"/>
        <w:gridCol w:w="238"/>
        <w:gridCol w:w="109"/>
        <w:gridCol w:w="109"/>
        <w:gridCol w:w="109"/>
        <w:gridCol w:w="211"/>
        <w:gridCol w:w="786"/>
        <w:gridCol w:w="109"/>
        <w:gridCol w:w="109"/>
        <w:gridCol w:w="109"/>
        <w:gridCol w:w="109"/>
        <w:gridCol w:w="285"/>
        <w:gridCol w:w="286"/>
        <w:gridCol w:w="618"/>
      </w:tblGrid>
      <w:tr>
        <w:trPr/>
        <w:tc>
          <w:tcPr>
            <w:tcW w:w="87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Depreciation and amortization decreased by $11.4 million, or 45.0%, for the year ended December 31, 2023 compared to the year ended December 31, 2022. The decrease was primarily due to lower net book values of intangible assets after impairments were recognized in 2022 and 2023.</w:t>
      </w:r>
    </w:p>
    <w:p>
      <w:pPr>
        <w:pStyle w:val="TextBody"/>
        <w:bidi w:val="0"/>
        <w:spacing w:lineRule="auto" w:line="333" w:before="240" w:after="240"/>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Related Party Expenses</w:t>
      </w:r>
    </w:p>
    <w:tbl>
      <w:tblPr>
        <w:tblW w:w="10182" w:type="dxa"/>
        <w:jc w:val="left"/>
        <w:tblInd w:w="0" w:type="dxa"/>
        <w:tblLayout w:type="fixed"/>
        <w:tblCellMar>
          <w:top w:w="28" w:type="dxa"/>
          <w:left w:w="28" w:type="dxa"/>
          <w:bottom w:w="28" w:type="dxa"/>
          <w:right w:w="28" w:type="dxa"/>
        </w:tblCellMar>
      </w:tblPr>
      <w:tblGrid>
        <w:gridCol w:w="722"/>
        <w:gridCol w:w="635"/>
        <w:gridCol w:w="638"/>
        <w:gridCol w:w="568"/>
        <w:gridCol w:w="1659"/>
        <w:gridCol w:w="293"/>
        <w:gridCol w:w="109"/>
        <w:gridCol w:w="109"/>
        <w:gridCol w:w="109"/>
        <w:gridCol w:w="568"/>
        <w:gridCol w:w="1659"/>
        <w:gridCol w:w="293"/>
        <w:gridCol w:w="109"/>
        <w:gridCol w:w="109"/>
        <w:gridCol w:w="109"/>
        <w:gridCol w:w="211"/>
        <w:gridCol w:w="616"/>
        <w:gridCol w:w="109"/>
        <w:gridCol w:w="109"/>
        <w:gridCol w:w="109"/>
        <w:gridCol w:w="109"/>
        <w:gridCol w:w="308"/>
        <w:gridCol w:w="308"/>
        <w:gridCol w:w="61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Related party expenses consist of fees for transition services agreements. Related party expenses increased by $2.7 million, or 234.1%, for the year ended December 31, 2023 compared to the year ended December 31, 2022. The increase was due to fees associated with Bakkt Crypto's transition services agreement, as well as higher fees associated with ICE's transition services agreement.</w:t>
      </w:r>
    </w:p>
    <w:p>
      <w:pPr>
        <w:pStyle w:val="TextBody"/>
        <w:bidi w:val="0"/>
        <w:spacing w:lineRule="auto" w:line="333"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Goodwill and Intangible Assets Impairments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8"/>
        <w:gridCol w:w="860"/>
        <w:gridCol w:w="865"/>
        <w:gridCol w:w="403"/>
        <w:gridCol w:w="1380"/>
        <w:gridCol w:w="208"/>
        <w:gridCol w:w="109"/>
        <w:gridCol w:w="109"/>
        <w:gridCol w:w="109"/>
        <w:gridCol w:w="338"/>
        <w:gridCol w:w="1568"/>
        <w:gridCol w:w="175"/>
        <w:gridCol w:w="109"/>
        <w:gridCol w:w="109"/>
        <w:gridCol w:w="109"/>
        <w:gridCol w:w="211"/>
        <w:gridCol w:w="1029"/>
        <w:gridCol w:w="109"/>
        <w:gridCol w:w="109"/>
        <w:gridCol w:w="109"/>
        <w:gridCol w:w="109"/>
        <w:gridCol w:w="303"/>
        <w:gridCol w:w="303"/>
        <w:gridCol w:w="434"/>
      </w:tblGrid>
      <w:tr>
        <w:trPr/>
        <w:tc>
          <w:tcPr>
            <w:tcW w:w="10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impairments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recorded intangible asset impairments of $60.5 million during the year ended December 31, 2023. We recorded impairments of goodwill and other intangible assets of $1,822.1 million during the year ended </w:t>
      </w:r>
      <w:r>
        <w:rPr>
          <w:rFonts w:ascii="Times New Roman;sans-serif" w:hAnsi="Times New Roman;sans-serif"/>
          <w:b w:val="false"/>
          <w:color w:val="231F20"/>
          <w:sz w:val="20"/>
        </w:rPr>
        <w:t>December 31, 2022</w:t>
      </w:r>
      <w:r>
        <w:rPr>
          <w:rFonts w:ascii="Times New Roman;sans-serif" w:hAnsi="Times New Roman;sans-serif"/>
          <w:b w:val="false"/>
          <w:color w:val="000000"/>
          <w:sz w:val="20"/>
        </w:rPr>
        <w:t>. Refer to Note 5 in audited our consolidated financial statements included in this Annual Report on Form 10-K for further information. Impairment of our remaining goodwill or intangible assets may occur in the future.</w:t>
      </w:r>
    </w:p>
    <w:p>
      <w:pPr>
        <w:pStyle w:val="TextBody"/>
        <w:bidi w:val="0"/>
        <w:spacing w:lineRule="auto" w:line="288"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Impairment of long-lived assets</w:t>
      </w:r>
    </w:p>
    <w:tbl>
      <w:tblPr>
        <w:tblW w:w="10205" w:type="dxa"/>
        <w:jc w:val="left"/>
        <w:tblInd w:w="0" w:type="dxa"/>
        <w:tblLayout w:type="fixed"/>
        <w:tblCellMar>
          <w:top w:w="28" w:type="dxa"/>
          <w:left w:w="28" w:type="dxa"/>
          <w:bottom w:w="28" w:type="dxa"/>
          <w:right w:w="28" w:type="dxa"/>
        </w:tblCellMar>
      </w:tblPr>
      <w:tblGrid>
        <w:gridCol w:w="879"/>
        <w:gridCol w:w="760"/>
        <w:gridCol w:w="762"/>
        <w:gridCol w:w="460"/>
        <w:gridCol w:w="1576"/>
        <w:gridCol w:w="237"/>
        <w:gridCol w:w="109"/>
        <w:gridCol w:w="109"/>
        <w:gridCol w:w="109"/>
        <w:gridCol w:w="460"/>
        <w:gridCol w:w="1576"/>
        <w:gridCol w:w="237"/>
        <w:gridCol w:w="109"/>
        <w:gridCol w:w="109"/>
        <w:gridCol w:w="109"/>
        <w:gridCol w:w="211"/>
        <w:gridCol w:w="721"/>
        <w:gridCol w:w="109"/>
        <w:gridCol w:w="109"/>
        <w:gridCol w:w="109"/>
        <w:gridCol w:w="109"/>
        <w:gridCol w:w="308"/>
        <w:gridCol w:w="308"/>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Impairment of long-lived assets expense increased by $18.8 million, or 163.3%, for the year ended December 31, 2023 compared to the </w:t>
      </w:r>
      <w:r>
        <w:rPr>
          <w:rFonts w:ascii="Times New Roman;sans-serif" w:hAnsi="Times New Roman;sans-serif"/>
          <w:b w:val="false"/>
          <w:color w:val="000000"/>
          <w:sz w:val="20"/>
        </w:rPr>
        <w:t xml:space="preserve">year ended </w:t>
      </w:r>
      <w:r>
        <w:rPr>
          <w:rFonts w:ascii="Times New Roman;sans-serif" w:hAnsi="Times New Roman;sans-serif"/>
          <w:b w:val="false"/>
          <w:color w:val="231F20"/>
          <w:sz w:val="20"/>
        </w:rPr>
        <w:t xml:space="preserve">December 31, 2022. During the year ended December 31, 2023, we recorded impairment charges of $12.9 million related to certain fixed assets, $8.9 million related to our right of use assets, $7.5 million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231F20"/>
          <w:sz w:val="20"/>
        </w:rPr>
        <w:t xml:space="preserve">certain internally developed software assets and $0.8 million related to other assets. During the year ended December 31, 2022, we recorded impairment charges of $8.7 million related to certain internally developed software assets pursuant to our fourth quarter impairment described in Note 5 to the consolidated financial statements included in this Annual Report on Form 10-K and $2.8 million in unrelated charges for another software product that was cancelled prior to being placed in service. </w:t>
      </w:r>
      <w:r>
        <w:rPr>
          <w:rFonts w:ascii="Times New Roman;sans-serif" w:hAnsi="Times New Roman;sans-serif"/>
          <w:b w:val="false"/>
          <w:color w:val="000000"/>
          <w:sz w:val="20"/>
        </w:rPr>
        <w:t>Impairment of our remaining long-lived assets may occur in the future.</w:t>
      </w:r>
    </w:p>
    <w:p>
      <w:pPr>
        <w:pStyle w:val="TextBody"/>
        <w:bidi w:val="0"/>
        <w:spacing w:lineRule="auto" w:line="333" w:before="240" w:after="283"/>
        <w:ind w:left="0" w:right="0" w:firstLine="720"/>
        <w:jc w:val="left"/>
        <w:rPr>
          <w:rFonts w:ascii="Times New Roman;sans-serif" w:hAnsi="Times New Roman;sans-serif"/>
          <w:b/>
          <w:i/>
          <w:color w:val="231F20"/>
          <w:sz w:val="20"/>
        </w:rPr>
      </w:pPr>
      <w:r>
        <w:rPr>
          <w:rFonts w:ascii="Times New Roman;sans-serif" w:hAnsi="Times New Roman;sans-serif"/>
          <w:b/>
          <w:i/>
          <w:color w:val="231F20"/>
          <w:sz w:val="20"/>
        </w:rPr>
        <w:t>Restructuring expenses</w:t>
      </w:r>
    </w:p>
    <w:tbl>
      <w:tblPr>
        <w:tblW w:w="10092" w:type="dxa"/>
        <w:jc w:val="left"/>
        <w:tblInd w:w="0" w:type="dxa"/>
        <w:tblLayout w:type="fixed"/>
        <w:tblCellMar>
          <w:top w:w="28" w:type="dxa"/>
          <w:left w:w="28" w:type="dxa"/>
          <w:bottom w:w="28" w:type="dxa"/>
          <w:right w:w="28" w:type="dxa"/>
        </w:tblCellMar>
      </w:tblPr>
      <w:tblGrid>
        <w:gridCol w:w="728"/>
        <w:gridCol w:w="640"/>
        <w:gridCol w:w="642"/>
        <w:gridCol w:w="568"/>
        <w:gridCol w:w="1659"/>
        <w:gridCol w:w="293"/>
        <w:gridCol w:w="109"/>
        <w:gridCol w:w="109"/>
        <w:gridCol w:w="109"/>
        <w:gridCol w:w="568"/>
        <w:gridCol w:w="1659"/>
        <w:gridCol w:w="293"/>
        <w:gridCol w:w="109"/>
        <w:gridCol w:w="109"/>
        <w:gridCol w:w="109"/>
        <w:gridCol w:w="211"/>
        <w:gridCol w:w="616"/>
        <w:gridCol w:w="109"/>
        <w:gridCol w:w="109"/>
        <w:gridCol w:w="109"/>
        <w:gridCol w:w="109"/>
        <w:gridCol w:w="255"/>
        <w:gridCol w:w="256"/>
        <w:gridCol w:w="61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Restructuring expenses of $4.6 million for the year ended December 31, 2023 consist of severance costs as part of our business simplification initiatives to focus on capabilities with strong product market fit and scalability. Restructuring expenses of $2.3 million for the year ended December 31, 2022 consist of severance costs as part of our business simplification initiatives to focus on capabilities with strong product market fit and scalability.</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(Loss) Gain from Change in Fair Value of Warrant Liability</w:t>
      </w:r>
    </w:p>
    <w:tbl>
      <w:tblPr>
        <w:tblW w:w="10205" w:type="dxa"/>
        <w:jc w:val="left"/>
        <w:tblInd w:w="0" w:type="dxa"/>
        <w:tblLayout w:type="fixed"/>
        <w:tblCellMar>
          <w:top w:w="28" w:type="dxa"/>
          <w:left w:w="28" w:type="dxa"/>
          <w:bottom w:w="28" w:type="dxa"/>
          <w:right w:w="28" w:type="dxa"/>
        </w:tblCellMar>
      </w:tblPr>
      <w:tblGrid>
        <w:gridCol w:w="1119"/>
        <w:gridCol w:w="984"/>
        <w:gridCol w:w="988"/>
        <w:gridCol w:w="392"/>
        <w:gridCol w:w="1261"/>
        <w:gridCol w:w="202"/>
        <w:gridCol w:w="109"/>
        <w:gridCol w:w="109"/>
        <w:gridCol w:w="109"/>
        <w:gridCol w:w="383"/>
        <w:gridCol w:w="1313"/>
        <w:gridCol w:w="197"/>
        <w:gridCol w:w="109"/>
        <w:gridCol w:w="109"/>
        <w:gridCol w:w="109"/>
        <w:gridCol w:w="211"/>
        <w:gridCol w:w="770"/>
        <w:gridCol w:w="109"/>
        <w:gridCol w:w="109"/>
        <w:gridCol w:w="109"/>
        <w:gridCol w:w="109"/>
        <w:gridCol w:w="338"/>
        <w:gridCol w:w="338"/>
        <w:gridCol w:w="619"/>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gain from change in fair value of warrant liability</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recorded a loss of $1.6 million during the year ended December 31, 2023 for the change in fair value on the revaluation of our warrant liability associated with our public warrants. We recorded a gain of $16.6 million during the year ended December 31, 2022 for the change in fair value on the revaluation of our warrant liability associated with our public warrants. This is a non-cash charge and is driven by fluctuations in the market price of our warrants.</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Other Expense, net</w:t>
      </w:r>
    </w:p>
    <w:tbl>
      <w:tblPr>
        <w:tblW w:w="9726" w:type="dxa"/>
        <w:jc w:val="left"/>
        <w:tblInd w:w="0" w:type="dxa"/>
        <w:tblLayout w:type="fixed"/>
        <w:tblCellMar>
          <w:top w:w="28" w:type="dxa"/>
          <w:left w:w="28" w:type="dxa"/>
          <w:bottom w:w="28" w:type="dxa"/>
          <w:right w:w="28" w:type="dxa"/>
        </w:tblCellMar>
      </w:tblPr>
      <w:tblGrid>
        <w:gridCol w:w="586"/>
        <w:gridCol w:w="515"/>
        <w:gridCol w:w="518"/>
        <w:gridCol w:w="649"/>
        <w:gridCol w:w="1534"/>
        <w:gridCol w:w="337"/>
        <w:gridCol w:w="109"/>
        <w:gridCol w:w="109"/>
        <w:gridCol w:w="109"/>
        <w:gridCol w:w="649"/>
        <w:gridCol w:w="1534"/>
        <w:gridCol w:w="337"/>
        <w:gridCol w:w="109"/>
        <w:gridCol w:w="109"/>
        <w:gridCol w:w="109"/>
        <w:gridCol w:w="241"/>
        <w:gridCol w:w="534"/>
        <w:gridCol w:w="126"/>
        <w:gridCol w:w="109"/>
        <w:gridCol w:w="109"/>
        <w:gridCol w:w="109"/>
        <w:gridCol w:w="285"/>
        <w:gridCol w:w="286"/>
        <w:gridCol w:w="61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Other expense, net primarily consists of non-operating gains and losses. During the year ended December 31, 2023, we recorded expense of $0.4 million related to foreign currency transaction loss. During the year ended December 31, 2022, we recorded expense of $1.2 million for the loss on sale of assets, partially offset by $0.3 million of foreign currency transaction gains.</w:t>
      </w:r>
    </w:p>
    <w:p>
      <w:pPr>
        <w:pStyle w:val="TextBody"/>
        <w:bidi w:val="0"/>
        <w:spacing w:lineRule="auto" w:line="288" w:before="240" w:after="283"/>
        <w:ind w:left="0" w:right="0" w:firstLine="720"/>
        <w:jc w:val="both"/>
        <w:rPr>
          <w:rFonts w:ascii="Times New Roman;sans-serif" w:hAnsi="Times New Roman;sans-serif"/>
          <w:b/>
          <w:i/>
          <w:color w:val="231F20"/>
          <w:sz w:val="20"/>
        </w:rPr>
      </w:pPr>
      <w:r>
        <w:rPr>
          <w:rFonts w:ascii="Times New Roman;sans-serif" w:hAnsi="Times New Roman;sans-serif"/>
          <w:b/>
          <w:i/>
          <w:color w:val="231F20"/>
          <w:sz w:val="20"/>
        </w:rPr>
        <w:t>Income Tax (Expense) Benefit</w:t>
      </w:r>
    </w:p>
    <w:tbl>
      <w:tblPr>
        <w:tblW w:w="10205" w:type="dxa"/>
        <w:jc w:val="left"/>
        <w:tblInd w:w="0" w:type="dxa"/>
        <w:tblLayout w:type="fixed"/>
        <w:tblCellMar>
          <w:top w:w="28" w:type="dxa"/>
          <w:left w:w="28" w:type="dxa"/>
          <w:bottom w:w="28" w:type="dxa"/>
          <w:right w:w="28" w:type="dxa"/>
        </w:tblCellMar>
      </w:tblPr>
      <w:tblGrid>
        <w:gridCol w:w="812"/>
        <w:gridCol w:w="713"/>
        <w:gridCol w:w="716"/>
        <w:gridCol w:w="587"/>
        <w:gridCol w:w="1387"/>
        <w:gridCol w:w="305"/>
        <w:gridCol w:w="109"/>
        <w:gridCol w:w="109"/>
        <w:gridCol w:w="109"/>
        <w:gridCol w:w="466"/>
        <w:gridCol w:w="1597"/>
        <w:gridCol w:w="240"/>
        <w:gridCol w:w="109"/>
        <w:gridCol w:w="109"/>
        <w:gridCol w:w="109"/>
        <w:gridCol w:w="211"/>
        <w:gridCol w:w="787"/>
        <w:gridCol w:w="109"/>
        <w:gridCol w:w="109"/>
        <w:gridCol w:w="109"/>
        <w:gridCol w:w="109"/>
        <w:gridCol w:w="338"/>
        <w:gridCol w:w="338"/>
        <w:gridCol w:w="618"/>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Income tax expense in the year ended December 31, 2023 primarily consists of current state tax expense related to certain state jurisdictions wherein we are required to file income tax returns. Income tax expense in the year ended December 31, 2022 primarily consists of $11.6 million of deferred tax benefit resulting from book-tax differences stemming from investments in Opco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As of December 31, 2023, we had $52.9 million and $31.8 million of cash and cash equivalents and restricted cash, respectively. Additionally, as of December 31, 2023, we had $17.4 million of available-for-sale debt securities that mature over the next four months. Cash and cash equivalents consist of cash deposits at banks and money market funds. Restricted cash is held to satisfy certain minimum capital requirements pursuant to regulatory requirements, or as collateral for insurance contracts. Restricted cash increased during 2023 primarily due to insurance collateral requirements.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As discussed above, we consummated the initial closings related to Concurrent Offerings in March 2024. As of February 29, 2024, we had $38.1 million and $36.9 million of cash and cash equivalents and restricted cash, respectively. </w:t>
      </w:r>
      <w:r>
        <w:rPr>
          <w:rFonts w:ascii="Times New Roman;sans-serif" w:hAnsi="Times New Roman;sans-serif"/>
          <w:b w:val="false"/>
          <w:color w:val="231F20"/>
          <w:sz w:val="20"/>
        </w:rPr>
        <w:t>Additionally, as of February 29, 2024, we did not have any available-for-sale debt securities.</w:t>
      </w:r>
      <w:r>
        <w:rPr>
          <w:color w:val="000000"/>
        </w:rPr>
        <w:t xml:space="preserve"> </w:t>
      </w:r>
      <w:r>
        <w:rPr>
          <w:rFonts w:ascii="Times New Roman;sans-serif" w:hAnsi="Times New Roman;sans-serif"/>
          <w:b w:val="false"/>
          <w:color w:val="000000"/>
          <w:sz w:val="20"/>
        </w:rPr>
        <w:t xml:space="preserve">As of March 18, 2024, we have raised net proceeds from the Concurrent Offerings of approximately $40.0 million, after deducting the placement agent’s fees and estimated offering expenses payable by us, and may raise an additional $7.6 million in gross proceeds from the ICE Offering, assuming all securities are issued in the ICE Offering. Approximately $2.4 millions of proceeds from the ICE Offering were received concurrently with the closing of the Third-Party Offering. </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intend to use our unrestricted cash, inclusive of the net proceeds from the Concurrent Offerings, and proceeds from maturity of available-for-sale debt securities to (i) fund our day-to-day operations, including, but not limited to funding our regulatory capital requirements, compensating balance arrangements and other similar commitments, each of which is subject to change, (ii) activate new crypto clients, (iii) maintain our product development efforts, and (iv) optimize our technology infrastructure and operational support. We expect to leverage the team we have built to date as well as our Bakkt Crypto acquisition to execute our growth strategy. We are undertaking further strategic analysis of our headcount and expense base and will take further action to right-size both in 2024. We expect that we will be able to reduce the amount of cash that is restricted associated with regulatory capital and insurance requirements through the integration of Bakkt Crypto. Excluding the cash purchase price to acquire Bakkt Crypto, we expect our operating cash usage in 2024 (exclusive of potential acquisitions or other strategic initiatives) to decline from 2023 levels driven by the combined impact of increased revenue and expense reductions related to the completion of large-dollar investments in 2023 and benefits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Our future cash requirements will depend on many factors, including our revenue growth rate, the timing and extent of overhead, sales and marketing expenditures to support projected growth, and our ability to limit our software development investments to features and functionality with a clear line of sight to revenue generation. We made substantial investments in our platforms in 2022 and 2023, which we expect will enable us to simplify our organization and focus on the core capabilities that are critical to our strategy.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losses and projected cash needs, combined with our liquidity level, raised substantial doubt about our ability to continue as a going concern. Management believes the expected impact on our liquidity and cash flows resulting from the Concurrent Offerings, entity integration and operational initiatives outlined above are probable of occurring, sufficient to enable us to meet our obligations for at least twelve months from the date the audited financial statements in this Annual Report on Form 10-K are issued and alleviate the conditions that raised substantial doubt about our ability to continue as a going concern. However, there are certain risks associated with this determination. Please see “Risk Factors - Risks Related to Our Business, Finance and Operations - We might not be able to continue as a going concern.”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summarizes our cash flows for the periods presented:</w:t>
      </w:r>
    </w:p>
    <w:tbl>
      <w:tblPr>
        <w:tblW w:w="10182" w:type="dxa"/>
        <w:jc w:val="left"/>
        <w:tblInd w:w="0" w:type="dxa"/>
        <w:tblLayout w:type="fixed"/>
        <w:tblCellMar>
          <w:top w:w="28" w:type="dxa"/>
          <w:left w:w="28" w:type="dxa"/>
          <w:bottom w:w="28" w:type="dxa"/>
          <w:right w:w="28" w:type="dxa"/>
        </w:tblCellMar>
      </w:tblPr>
      <w:tblGrid>
        <w:gridCol w:w="1537"/>
        <w:gridCol w:w="1352"/>
        <w:gridCol w:w="1371"/>
        <w:gridCol w:w="524"/>
        <w:gridCol w:w="1980"/>
        <w:gridCol w:w="271"/>
        <w:gridCol w:w="109"/>
        <w:gridCol w:w="109"/>
        <w:gridCol w:w="109"/>
        <w:gridCol w:w="470"/>
        <w:gridCol w:w="2007"/>
        <w:gridCol w:w="343"/>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53" w:after="283"/>
              <w:ind w:left="0" w:right="0" w:firstLine="289"/>
              <w:jc w:val="both"/>
              <w:rPr/>
            </w:pPr>
            <w:r>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(117,597)</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5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(171,961)</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Net cash used in operating activities of $60.7 million for the year ended December 31, 2023 was primarily related to our net loss of $225.8 million, offset by non-cash charges of $123.2 million and changes in our operating assets and liabilities of $41.9 million. The non-cash charges for the year ended December 31, 2023 primarily consisted of intangible and long-lived asset impairments of $90.8 million, share-based compensation of $15.5 million, depreciation and amortization of $13.9 million, non-cash lease expense of </w:t>
      </w:r>
      <w:r>
        <w:rPr>
          <w:rFonts w:ascii="Times New Roman;sans-serif" w:hAnsi="Times New Roman;sans-serif"/>
          <w:b w:val="false"/>
          <w:color w:val="000000"/>
          <w:sz w:val="20"/>
        </w:rPr>
        <w:t>$3.1 million</w:t>
      </w:r>
      <w:r>
        <w:rPr>
          <w:color w:val="231F20"/>
        </w:rPr>
        <w:t xml:space="preserve"> </w:t>
      </w:r>
      <w:r>
        <w:rPr>
          <w:rFonts w:ascii="Times New Roman;sans-serif" w:hAnsi="Times New Roman;sans-serif"/>
          <w:b w:val="false"/>
          <w:color w:val="231F20"/>
          <w:sz w:val="20"/>
        </w:rPr>
        <w:t xml:space="preserve">and the loss from the change in fair value of our warrant liability of $1.6 million, partially offset by the change in fair value of the contingent consideration of </w:t>
      </w:r>
      <w:r>
        <w:rPr>
          <w:rFonts w:ascii="Times New Roman;sans-serif" w:hAnsi="Times New Roman;sans-serif"/>
          <w:b w:val="false"/>
          <w:color w:val="000000"/>
          <w:sz w:val="20"/>
        </w:rPr>
        <w:t>$3.0 million</w:t>
      </w:r>
      <w:r>
        <w:rPr>
          <w:rFonts w:ascii="Times New Roman;sans-serif" w:hAnsi="Times New Roman;sans-serif"/>
          <w:b w:val="false"/>
          <w:color w:val="231F20"/>
          <w:sz w:val="20"/>
        </w:rPr>
        <w:t>. Net cash inflows from changes in our operating assets and liabilities for the year ended December 31, 2023 resulted primarily from a $32.3 million increase in customer funds, a non-recurring return of a $15.2 million deposit with ICE Clear US, Inc., a decrease in prepaid insurance of $9.8 million, and an increase in amounts due to related parties of $2.1 million, which were partially offset by an increase in accounts payable and accrued liabilities of $8.0 million, an increase in operating lease liabilities of $3.0 million, and an increase in accounts receivable of $10.0 million.</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used in operating activities of $117.6 million for the year ended December 31, 2022 was primarily related to our net loss of $1,989.9 million, offset by non-cash charges of $1,869.4 million and changes in our operating assets and liabilities of $2.9 million. The non-cash charges for the year ended December 31, 2022 primarily consisted of goodwill and intangible assets impairments of $1,822.1 million, share-based compensation of $31.6 million, depreciation and amortization of $25.4 million and impairment of long-lived assets of $11.5 million, partially offset by the gain from the change in fair value of our warrant liability of $16.6 million and deferred tax expense of $11.6 million. Net cash inflows from changes in our operating assets and liabilities for the year ended December 31, 2022 resulted primarily from a decrease in prepaid insurance of $9.4 million, an increase in operating lease liabilities of $4.2 million, and an increase in accounts payable and accrued liabilities of $0.7 million, which were partially offset by an increase in accounts receivable of $7.2 million, an increase in other assets and liabilities of $2.4 million and an decrease in deferred revenue of $2.4 million.</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provided by investing activities of $66.0 million for the year ended December 31, 2023 primarily consisted of the receipt of $185.8 million of proceeds from the sale of available-for-sale securities, partially offset by the purchase of $61.8 million of available-for-sale debt securities, $47.9 million net cash used to acquire Bakkt Crypto, $0.6 million cash used to acquire Bakkt Brokerage and $9.4 million of capitalized costs of internally developed software for our technology platforms.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investing activities of $172.0 million for the year ended December 31, 2022 primarily consisted of $306.6 million related to the purchase of available for sale debt securities and $30.5 million of capitalized costs of internally developed software for our technology platforms, partially offset by the receipt of $165.2 million of proceeds from the sale of available-for-sale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Net cash flows used in financing activities of $2.6 million for the year ended December 31, 2023 resulted from proceeds from the repurchase and retirement of Class A Common Stock of $2.6 million.</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Net cash flows used in financing activities of $2.6 million for the year ended December 31, 2022 resulted from proceeds from the repurchase and retirement of Class A Common Stock of $2.6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Tax Receivable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completion of the VIH Business Combination, we entered into a Tax Receivable Agreement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December 31, 2023, 25,952,197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Contractual Obligations and Commitments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is a summary of our significant contractual obligations and commitments as of December 31, 2023 (in thousands):</w:t>
      </w:r>
    </w:p>
    <w:tbl>
      <w:tblPr>
        <w:tblW w:w="10205" w:type="dxa"/>
        <w:jc w:val="left"/>
        <w:tblInd w:w="0" w:type="dxa"/>
        <w:tblLayout w:type="fixed"/>
        <w:tblCellMar>
          <w:top w:w="28" w:type="dxa"/>
          <w:left w:w="28" w:type="dxa"/>
          <w:bottom w:w="28" w:type="dxa"/>
          <w:right w:w="28" w:type="dxa"/>
        </w:tblCellMar>
      </w:tblPr>
      <w:tblGrid>
        <w:gridCol w:w="1124"/>
        <w:gridCol w:w="988"/>
        <w:gridCol w:w="999"/>
        <w:gridCol w:w="304"/>
        <w:gridCol w:w="891"/>
        <w:gridCol w:w="157"/>
        <w:gridCol w:w="109"/>
        <w:gridCol w:w="109"/>
        <w:gridCol w:w="109"/>
        <w:gridCol w:w="211"/>
        <w:gridCol w:w="721"/>
        <w:gridCol w:w="109"/>
        <w:gridCol w:w="109"/>
        <w:gridCol w:w="109"/>
        <w:gridCol w:w="109"/>
        <w:gridCol w:w="246"/>
        <w:gridCol w:w="473"/>
        <w:gridCol w:w="127"/>
        <w:gridCol w:w="109"/>
        <w:gridCol w:w="109"/>
        <w:gridCol w:w="109"/>
        <w:gridCol w:w="440"/>
        <w:gridCol w:w="800"/>
        <w:gridCol w:w="214"/>
        <w:gridCol w:w="109"/>
        <w:gridCol w:w="109"/>
        <w:gridCol w:w="109"/>
        <w:gridCol w:w="211"/>
        <w:gridCol w:w="721"/>
        <w:gridCol w:w="161"/>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70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3111" w:type="dxa"/>
            <w:gridSpan w:val="3"/>
            <w:tcBorders/>
            <w:tcMar>
              <w:top w:w="0" w:type="dxa"/>
              <w:left w:w="0" w:type="dxa"/>
              <w:bottom w:w="0" w:type="dxa"/>
              <w:right w:w="0" w:type="dxa"/>
            </w:tcMar>
            <w:vAlign w:val="center"/>
          </w:tcPr>
          <w:p>
            <w:pPr>
              <w:pStyle w:val="TableContents"/>
              <w:bidi w:val="0"/>
              <w:spacing w:before="240" w:after="283"/>
              <w:ind w:left="0" w:right="0" w:firstLine="720"/>
              <w:jc w:val="center"/>
              <w:rPr/>
            </w:pPr>
            <w:r>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obligations</w:t>
            </w:r>
            <w:r>
              <w:rPr>
                <w:rFonts w:ascii="Times New Roman;sans-serif" w:hAnsi="Times New Roman;sans-serif"/>
                <w:b w:val="false"/>
                <w:color w:val="000000"/>
                <w:sz w:val="13"/>
              </w:rPr>
              <w:t>(1)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minimum operating lease payments</w:t>
            </w:r>
            <w:r>
              <w:rPr>
                <w:rFonts w:ascii="Times New Roman;sans-serif" w:hAnsi="Times New Roman;sans-serif"/>
                <w:b w:val="false"/>
                <w:color w:val="000000"/>
                <w:sz w:val="13"/>
              </w:rPr>
              <w:t>(2)</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minimum commitment payments under a four-year cloud computing arrangement and a separate five-year marketing partnership. In December 2023, we agreed to amend the cloud computing arrangement and extended the payment period for an additional year.</w:t>
      </w:r>
    </w:p>
    <w:p>
      <w:pPr>
        <w:pStyle w:val="TextBody"/>
        <w:bidi w:val="0"/>
        <w:spacing w:lineRule="auto" w:line="333" w:before="0" w:after="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rental payments under operating leases with remaining non-cancellable terms in excess of one year.</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Additionally, 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Times New Roman;sans-serif" w:hAnsi="Times New Roman;sans-serif"/>
          <w:b w:val="false"/>
          <w:color w:val="000000"/>
          <w:sz w:val="20"/>
        </w:rPr>
        <w:t>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Bank of America reduced our credit line associated with the purchasing card facility from $35.0 million to $15.0 million, increased the payment frequency and required us to pledge as collateral the amounts which were previously required to be maintained in the concentration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Non-GAAP Financial Measures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Adjusted EBITDA</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Adjusted EBITDA as a non-GAAP financial measure.</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sans-serif" w:hAnsi="Times New Roman;sans-serif"/>
          <w:b w:val="false"/>
          <w:color w:val="000000"/>
          <w:sz w:val="20"/>
        </w:rPr>
        <w:t>, acquisition-related expenses, share-based and unit-based compensation expense, goodwill and intangible assets impairments, restructuring charges, changes in the fair value of our warrant liability</w:t>
      </w:r>
      <w:r>
        <w:rPr>
          <w:color w:val="231F20"/>
        </w:rPr>
        <w:t xml:space="preserve"> </w:t>
      </w:r>
      <w:r>
        <w:rPr>
          <w:rFonts w:ascii="Times New Roman;sans-serif" w:hAnsi="Times New Roman;sans-serif"/>
          <w:b w:val="false"/>
          <w:color w:val="231F20"/>
          <w:sz w:val="20"/>
        </w:rPr>
        <w:t>and certain other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231F20"/>
          <w:sz w:val="20"/>
        </w:rPr>
        <w:t>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r>
        <w:rPr>
          <w:color w:val="000000"/>
        </w:rPr>
        <w:t xml:space="preserve"> </w:t>
      </w:r>
      <w:r>
        <w:rPr>
          <w:rFonts w:ascii="Times New Roman;sans-serif" w:hAnsi="Times New Roman;sans-serif"/>
          <w:b w:val="false"/>
          <w:color w:val="231F20"/>
          <w:sz w:val="20"/>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the most directly comparable GAAP operating performance measure, to our Adjusted EBITDA for each of the periods indicated (in thousands):</w:t>
      </w:r>
    </w:p>
    <w:tbl>
      <w:tblPr>
        <w:tblW w:w="10205" w:type="dxa"/>
        <w:jc w:val="left"/>
        <w:tblInd w:w="0" w:type="dxa"/>
        <w:tblLayout w:type="fixed"/>
        <w:tblCellMar>
          <w:top w:w="28" w:type="dxa"/>
          <w:left w:w="28" w:type="dxa"/>
          <w:bottom w:w="28" w:type="dxa"/>
          <w:right w:w="28" w:type="dxa"/>
        </w:tblCellMar>
      </w:tblPr>
      <w:tblGrid>
        <w:gridCol w:w="1627"/>
        <w:gridCol w:w="1403"/>
        <w:gridCol w:w="1439"/>
        <w:gridCol w:w="462"/>
        <w:gridCol w:w="1975"/>
        <w:gridCol w:w="238"/>
        <w:gridCol w:w="109"/>
        <w:gridCol w:w="109"/>
        <w:gridCol w:w="109"/>
        <w:gridCol w:w="407"/>
        <w:gridCol w:w="2026"/>
        <w:gridCol w:w="301"/>
      </w:tblGrid>
      <w:tr>
        <w:trPr/>
        <w:tc>
          <w:tcPr>
            <w:tcW w:w="162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53" w:after="283"/>
              <w:ind w:left="0" w:right="0" w:firstLine="289"/>
              <w:jc w:val="both"/>
              <w:rPr/>
            </w:pPr>
            <w:r>
              <w:rPr/>
            </w:r>
          </w:p>
        </w:tc>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(215,774)</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(1,977,781)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and unit-based compensation expense</w:t>
            </w:r>
          </w:p>
        </w:tc>
        <w:tc>
          <w:tcPr>
            <w:tcW w:w="2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common units</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 change in fair value of warrant liability</w:t>
            </w:r>
          </w:p>
        </w:tc>
        <w:tc>
          <w:tcPr>
            <w:tcW w:w="2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impairments</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1,822,089 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2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2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expense</w:t>
            </w:r>
          </w:p>
        </w:tc>
        <w:tc>
          <w:tcPr>
            <w:tcW w:w="2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loss</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(93,882)</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(119,728)</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Adjusted EBITDA loss for the year ended December 31, 2023 decreased by $25.8 million, or 21.6%, as compared to the year ended December 31, 2022. The decrease was primarily due to a $15.6 million decrease in compensation and benefits expense, a $4.3 million reduction of marketing expenses and a $1.3 million reduction in professional services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lineRule="auto" w:line="333" w:before="24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pStyle w:val="TextBody"/>
        <w:bidi w:val="0"/>
        <w:spacing w:lineRule="auto" w:line="333" w:before="240" w:after="283"/>
        <w:jc w:val="both"/>
        <w:rPr>
          <w:rFonts w:ascii="Times New Roman;sans-serif" w:hAnsi="Times New Roman;sans-serif"/>
          <w:b/>
          <w:i/>
          <w:color w:val="231F20"/>
          <w:sz w:val="20"/>
        </w:rPr>
      </w:pPr>
      <w:r>
        <w:rPr>
          <w:rFonts w:ascii="Times New Roman;sans-serif" w:hAnsi="Times New Roman;sans-serif"/>
          <w:b/>
          <w:i/>
          <w:color w:val="231F20"/>
          <w:sz w:val="20"/>
        </w:rPr>
        <w:t>Going Concern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evaluation can only include management’s plans that have been fully implemented as of the issuance date. Operating forecasts for new products/markets cannot be considered in the initial evaluation as those product/market launches have not been fully implemented.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Business Combinations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acquisition-related costs, other than the costs to issue debt or equity securities, are accounted for as expenses in the period in which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Goodwill and Other Intangible Assets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Goodwill and intangible assets that have indefinite useful lives are accounted for in accordance with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xml:space="preserve">.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recorded impairment of goodwill and other intangible assets of $60.5 million and $1,822.1 million during the years ended December 31, 2023 and </w:t>
      </w:r>
      <w:r>
        <w:rPr>
          <w:rFonts w:ascii="Times New Roman;sans-serif" w:hAnsi="Times New Roman;sans-serif"/>
          <w:b w:val="false"/>
          <w:color w:val="231F20"/>
          <w:sz w:val="20"/>
        </w:rPr>
        <w:t>December 31, 2022, respectively</w:t>
      </w:r>
      <w:r>
        <w:rPr>
          <w:rFonts w:ascii="Times New Roman;sans-serif" w:hAnsi="Times New Roman;sans-serif"/>
          <w:b w:val="false"/>
          <w:color w:val="000000"/>
          <w:sz w:val="20"/>
        </w:rPr>
        <w:t>. See Note 5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Therefore if there are further delays in our ability to execute on our strategy, negative deviations from the budgets utilized in these analyses or further declines in our market capitalization further impairment of our assets is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Crypto Revenue Recognition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carry a single performance obligation which is execution of the trade. We consider the sale of customer crypto associated with delisted crypto to be revenue in the context of our contracts with customers. We own the crypto during the period of time between the customer transaction and the liquidity provider settlement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 ended December 31, 2023.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are presented gross in our consolidated statement of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Loyalty Redemption Platform Revenue Recognition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client). Our contracts related to our loyalty redemption platform consist of two performance obligations: (1) access to our SaaS-based redemption platform and customer support services and (2) facilitation of order fulfillment services. We are the principal related to providing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our redemption platform. We are acting as the agent to facilitate order fulfillment services on behalf of the loyalty program sponsor. Revenues generated from our loyalty redemption platform include the following:</w:t>
      </w:r>
    </w:p>
    <w:p>
      <w:pPr>
        <w:pStyle w:val="TextBody"/>
        <w:bidi w:val="0"/>
        <w:spacing w:lineRule="auto" w:line="333" w:before="240" w:after="283"/>
        <w:ind w:left="0" w:right="0" w:hanging="360"/>
        <w:jc w:val="both"/>
        <w:rPr/>
      </w:pPr>
      <w:r>
        <w:rPr>
          <w:color w:val="000000"/>
        </w:rPr>
        <w:t>•</w:t>
      </w:r>
      <w:r>
        <w:rPr>
          <w:rFonts w:ascii="Times New Roman;sans-serif" w:hAnsi="Times New Roman;sans-serif"/>
          <w:b/>
          <w:color w:val="000000"/>
          <w:sz w:val="20"/>
        </w:rPr>
        <w:t>Platform subscription fees:</w:t>
      </w:r>
      <w:r>
        <w:rPr>
          <w:color w:val="000000"/>
        </w:rPr>
        <w:t xml:space="preserve"> </w:t>
      </w:r>
      <w:r>
        <w:rPr>
          <w:rFonts w:ascii="Times New Roman;sans-serif" w:hAnsi="Times New Roman;sans-serif"/>
          <w:b w:val="false"/>
          <w:color w:val="000000"/>
          <w:sz w:val="20"/>
        </w:rPr>
        <w:t>Monthly fixed fee charged to clients to access the redemption platform and receive customer support services. We recognize revenue for these fees on a straight-line basis over the related contract term as the client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color w:val="000000"/>
          <w:sz w:val="20"/>
        </w:rPr>
        <w:t>Transaction fees:</w:t>
      </w:r>
      <w:r>
        <w:rPr>
          <w:color w:val="000000"/>
        </w:rPr>
        <w:t xml:space="preserve"> </w:t>
      </w:r>
      <w:r>
        <w:rPr>
          <w:rFonts w:ascii="Times New Roman;sans-serif" w:hAnsi="Times New Roman;sans-serif"/>
          <w:b w:val="false"/>
          <w:color w:val="000000"/>
          <w:sz w:val="20"/>
        </w:rPr>
        <w:t>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color w:val="000000"/>
          <w:sz w:val="20"/>
        </w:rPr>
        <w:t>Revenue share fees:</w:t>
      </w:r>
      <w:r>
        <w:rPr>
          <w:color w:val="000000"/>
        </w:rPr>
        <w:t xml:space="preserve"> </w:t>
      </w:r>
      <w:r>
        <w:rPr>
          <w:rFonts w:ascii="Times New Roman;sans-serif" w:hAnsi="Times New Roman;sans-serif"/>
          <w:b w:val="false"/>
          <w:color w:val="000000"/>
          <w:sz w:val="20"/>
        </w:rPr>
        <w:t>We are entitled to revenue share fees in the form of rebates from third-party commerce 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pStyle w:val="TextBody"/>
        <w:bidi w:val="0"/>
        <w:spacing w:lineRule="auto" w:line="333" w:before="240" w:after="283"/>
        <w:ind w:left="0" w:right="0" w:hanging="360"/>
        <w:jc w:val="both"/>
        <w:rPr/>
      </w:pPr>
      <w:r>
        <w:rPr>
          <w:color w:val="000000"/>
        </w:rPr>
        <w:t>•</w:t>
      </w:r>
      <w:r>
        <w:rPr>
          <w:rFonts w:ascii="Times New Roman;sans-serif" w:hAnsi="Times New Roman;sans-serif"/>
          <w:b/>
          <w:color w:val="000000"/>
          <w:sz w:val="20"/>
        </w:rPr>
        <w:t>Service fees:</w:t>
      </w:r>
      <w:r>
        <w:rPr>
          <w:color w:val="000000"/>
        </w:rPr>
        <w:t xml:space="preserve"> </w:t>
      </w:r>
      <w:r>
        <w:rPr>
          <w:rFonts w:ascii="Times New Roman;sans-serif" w:hAnsi="Times New Roman;sans-serif"/>
          <w:b w:val="false"/>
          <w:color w:val="000000"/>
          <w:sz w:val="20"/>
        </w:rPr>
        <w:t>We earn fees for certain software development activities associated with the implementation of new clients on our loyalty redemption platform and other development activities if a client requests that we customize certain features and functionalities for their loyalty program. We also earn fees from providing call center services to clients. We recognize service fees as revenue on a straight-line basis, beginning when the internally developed software resulting from such implementation or other development activities are operational in our platform over the longer of the remaining anticipated client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Deferred 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Warrants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account for our ordinary share warrants in accordance with applicable accounting guidance provided in ASC Topic 815, </w:t>
      </w:r>
      <w:r>
        <w:rPr>
          <w:rFonts w:ascii="Times New Roman;sans-serif" w:hAnsi="Times New Roman;sans-serif"/>
          <w:b w:val="false"/>
          <w:i/>
          <w:color w:val="000000"/>
          <w:sz w:val="20"/>
        </w:rPr>
        <w:t>Derivatives and Hedging—Contracts in Entity’s Own Equity</w:t>
      </w:r>
      <w:r>
        <w:rPr>
          <w:color w:val="000000"/>
        </w:rPr>
        <w:t xml:space="preserve"> </w:t>
      </w:r>
      <w:r>
        <w:rPr>
          <w:rFonts w:ascii="Times New Roman;sans-serif" w:hAnsi="Times New Roman;sans-serif"/>
          <w:b w:val="false"/>
          <w:color w:val="000000"/>
          <w:sz w:val="20"/>
        </w:rPr>
        <w:t xml:space="preserve">(“ASC Topic 815”),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(physical settlement or net-share settlement). All public and private placement warrants issued by us were deemed to qualify for liability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Impairment of Long-Lived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recorded impairment of goodwill and other intangible assets of $30.3 million and $11.5 million during the years ended December 31, 2023 and </w:t>
      </w:r>
      <w:r>
        <w:rPr>
          <w:rFonts w:ascii="Times New Roman;sans-serif" w:hAnsi="Times New Roman;sans-serif"/>
          <w:b w:val="false"/>
          <w:color w:val="231F20"/>
          <w:sz w:val="20"/>
        </w:rPr>
        <w:t>December 31, 2022, respectively</w:t>
      </w:r>
      <w:r>
        <w:rPr>
          <w:rFonts w:ascii="Times New Roman;sans-serif" w:hAnsi="Times New Roman;sans-serif"/>
          <w:b w:val="false"/>
          <w:color w:val="000000"/>
          <w:sz w:val="20"/>
        </w:rPr>
        <w:t>. See Notes 5 and 6 to our audited consolidated financial statements for additional disclosures related to impairment of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Unit-Based Compensation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Use of Estimates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231F20"/>
          <w:sz w:val="20"/>
        </w:rPr>
      </w:pPr>
      <w:r>
        <w:rPr>
          <w:rFonts w:ascii="Times New Roman;sans-serif" w:hAnsi="Times New Roman;sans-serif"/>
          <w:b/>
          <w:color w:val="231F20"/>
          <w:sz w:val="20"/>
        </w:rPr>
        <w:t>Recently Issued and Adopted Accounting Pronouncements</w:t>
      </w:r>
    </w:p>
    <w:p>
      <w:pPr>
        <w:pStyle w:val="TextBody"/>
        <w:bidi w:val="0"/>
        <w:spacing w:lineRule="auto" w:line="333" w:before="240" w:after="283"/>
        <w:ind w:left="0" w:right="0" w:firstLine="720"/>
        <w:jc w:val="both"/>
        <w:rPr/>
      </w:pPr>
      <w:r>
        <w:rPr>
          <w:rFonts w:ascii="Times New Roman;sans-serif" w:hAnsi="Times New Roman;sans-serif"/>
          <w:b w:val="false"/>
          <w:color w:val="231F20"/>
          <w:sz w:val="20"/>
        </w:rPr>
        <w:t>Recently issued and adopted accounting pronouncements are described in Note 2 to</w:t>
      </w:r>
      <w:r>
        <w:rPr>
          <w:color w:val="000000"/>
        </w:rPr>
        <w:t xml:space="preserve"> </w:t>
      </w:r>
      <w:r>
        <w:rPr>
          <w:rFonts w:ascii="Times New Roman;sans-serif" w:hAnsi="Times New Roman;sans-serif"/>
          <w:b w:val="false"/>
          <w:color w:val="000000"/>
          <w:sz w:val="20"/>
        </w:rPr>
        <w:t>our audited consolidated financial statements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Qualitative And Quantitative Disclosures About Market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Index to Consolidated Financial Statements</w:t>
      </w:r>
    </w:p>
    <w:tbl>
      <w:tblPr>
        <w:tblW w:w="6811" w:type="dxa"/>
        <w:jc w:val="center"/>
        <w:tblInd w:w="0" w:type="dxa"/>
        <w:tblLayout w:type="fixed"/>
        <w:tblCellMar>
          <w:top w:w="28" w:type="dxa"/>
          <w:left w:w="28" w:type="dxa"/>
          <w:bottom w:w="28" w:type="dxa"/>
          <w:right w:w="28" w:type="dxa"/>
        </w:tblCellMar>
      </w:tblPr>
      <w:tblGrid>
        <w:gridCol w:w="2259"/>
        <w:gridCol w:w="1985"/>
        <w:gridCol w:w="1996"/>
        <w:gridCol w:w="167"/>
        <w:gridCol w:w="167"/>
        <w:gridCol w:w="237"/>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06">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0c1d6967fefb49029fa8a5436fef37d9_106">
              <w:r>
                <w:rPr>
                  <w:rStyle w:val="InternetLink"/>
                  <w:rFonts w:ascii="Times New Roman;sans-serif" w:hAnsi="Times New Roman;sans-serif"/>
                  <w:b w:val="false"/>
                  <w:color w:val="0000FF"/>
                  <w:sz w:val="20"/>
                  <w:u w:val="single"/>
                </w:rPr>
                <w:t>98</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09">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09">
              <w:r>
                <w:rPr>
                  <w:rStyle w:val="InternetLink"/>
                  <w:rFonts w:ascii="Times New Roman;sans-serif" w:hAnsi="Times New Roman;sans-serif"/>
                  <w:b w:val="false"/>
                  <w:color w:val="0000FF"/>
                  <w:sz w:val="20"/>
                  <w:u w:val="single"/>
                </w:rPr>
                <w:t>100</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12">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12">
              <w:r>
                <w:rPr>
                  <w:rStyle w:val="InternetLink"/>
                  <w:rFonts w:ascii="Times New Roman;sans-serif" w:hAnsi="Times New Roman;sans-serif"/>
                  <w:b w:val="false"/>
                  <w:color w:val="0000FF"/>
                  <w:sz w:val="20"/>
                  <w:u w:val="single"/>
                </w:rPr>
                <w:t>101</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15">
              <w:r>
                <w:rPr>
                  <w:rStyle w:val="InternetLink"/>
                  <w:rFonts w:ascii="Times New Roman;sans-serif" w:hAnsi="Times New Roman;sans-serif"/>
                  <w:b w:val="false"/>
                  <w:color w:val="0000FF"/>
                  <w:sz w:val="20"/>
                  <w:u w:val="single"/>
                </w:rPr>
                <w:t>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15">
              <w:r>
                <w:rPr>
                  <w:rStyle w:val="InternetLink"/>
                  <w:rFonts w:ascii="Times New Roman;sans-serif" w:hAnsi="Times New Roman;sans-serif"/>
                  <w:b w:val="false"/>
                  <w:color w:val="0000FF"/>
                  <w:sz w:val="20"/>
                  <w:u w:val="single"/>
                </w:rPr>
                <w:t>102</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18">
              <w:r>
                <w:rPr>
                  <w:rStyle w:val="InternetLink"/>
                  <w:rFonts w:ascii="Times New Roman;sans-serif" w:hAnsi="Times New Roman;sans-serif"/>
                  <w:b w:val="false"/>
                  <w:color w:val="0000FF"/>
                  <w:sz w:val="20"/>
                  <w:u w:val="singl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18">
              <w:r>
                <w:rPr>
                  <w:rStyle w:val="InternetLink"/>
                  <w:rFonts w:ascii="Times New Roman;sans-serif" w:hAnsi="Times New Roman;sans-serif"/>
                  <w:b w:val="false"/>
                  <w:color w:val="0000FF"/>
                  <w:sz w:val="20"/>
                  <w:u w:val="single"/>
                </w:rPr>
                <w:t>103</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24">
              <w:r>
                <w:rPr>
                  <w:rStyle w:val="InternetLink"/>
                  <w:rFonts w:ascii="Times New Roman;sans-serif" w:hAnsi="Times New Roman;sans-serif"/>
                  <w:b w:val="false"/>
                  <w:color w:val="0000FF"/>
                  <w:sz w:val="20"/>
                  <w:u w:val="single"/>
                </w:rPr>
                <w:t>Consolidated Statements of Cash Flows</w:t>
              </w:r>
            </w:hyperlink>
            <w:r>
              <w:rPr>
                <w:color w:val="000000"/>
              </w:rPr>
              <w:t xml:space="preserv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24">
              <w:r>
                <w:rPr>
                  <w:rStyle w:val="InternetLink"/>
                  <w:rFonts w:ascii="Times New Roman;sans-serif" w:hAnsi="Times New Roman;sans-serif"/>
                  <w:b w:val="false"/>
                  <w:color w:val="0000FF"/>
                  <w:sz w:val="20"/>
                  <w:u w:val="single"/>
                </w:rPr>
                <w:t>104</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127">
              <w:r>
                <w:rPr>
                  <w:rStyle w:val="InternetLink"/>
                  <w:rFonts w:ascii="Times New Roman;sans-serif" w:hAnsi="Times New Roman;sans-serif"/>
                  <w:b w:val="false"/>
                  <w:color w:val="0000FF"/>
                  <w:sz w:val="20"/>
                  <w:u w:val="single"/>
                </w:rPr>
                <w:t>Notes to the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c1d6967fefb49029fa8a5436fef37d9_127">
              <w:r>
                <w:rPr>
                  <w:rStyle w:val="InternetLink"/>
                  <w:rFonts w:ascii="Times New Roman;sans-serif" w:hAnsi="Times New Roman;sans-serif"/>
                  <w:b w:val="false"/>
                  <w:color w:val="0000FF"/>
                  <w:sz w:val="20"/>
                  <w:u w:val="single"/>
                </w:rPr>
                <w:t>105</w:t>
              </w:r>
            </w:hyperlink>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Bakkt Holdings,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Bakkt Holdings, Inc. (the Company) as of December 31, 2023 and 2022, and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color w:val="231F20"/>
        </w:rPr>
        <w:t xml:space="preserve"> </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/s/ Ernst &amp; Young LLP</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served as the Company’s auditor since 2018. </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Atlanta, GA</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March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15" w:after="283"/>
        <w:jc w:val="center"/>
        <w:rPr>
          <w:rFonts w:ascii="Times New Roman;sans-serif" w:hAnsi="Times New Roman;sans-serif"/>
          <w:b/>
          <w:color w:val="231F20"/>
          <w:sz w:val="20"/>
        </w:rPr>
      </w:pPr>
      <w:r>
        <w:rPr>
          <w:rFonts w:ascii="Times New Roman;sans-serif" w:hAnsi="Times New Roman;sans-serif"/>
          <w:b/>
          <w:color w:val="231F20"/>
          <w:sz w:val="20"/>
        </w:rPr>
        <w:t>Consolidated Balance Sheets</w:t>
      </w:r>
    </w:p>
    <w:p>
      <w:pPr>
        <w:pStyle w:val="TextBody"/>
        <w:bidi w:val="0"/>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465"/>
        <w:gridCol w:w="2151"/>
        <w:gridCol w:w="2161"/>
        <w:gridCol w:w="285"/>
        <w:gridCol w:w="1079"/>
        <w:gridCol w:w="161"/>
        <w:gridCol w:w="109"/>
        <w:gridCol w:w="109"/>
        <w:gridCol w:w="109"/>
        <w:gridCol w:w="283"/>
        <w:gridCol w:w="1065"/>
        <w:gridCol w:w="228"/>
      </w:tblGrid>
      <w:tr>
        <w:trPr/>
        <w:tc>
          <w:tcPr>
            <w:tcW w:w="2465"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141,062 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insurance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Safeguarding asset for crypto</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326,465 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with clearinghouse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455,502 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5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current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to related party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Safeguarding obligation for crypto</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831,153 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119,428 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($0.0001 par value, 750,000,000 shares authorized, 94,845,942 shares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issued and outstanding as of December 31, 2023 and 80,926,843 shares issued and outstanding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2022)</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V common stock ($0.0001 par value, 250,000,000 shares authorized, 180,001,606 shares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issued and outstanding as of December 31, 2023 and 183,482,777 shares issued and outstanding </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2022)</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799,656 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772,973 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(751,301)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(676,447)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96,263 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135,714 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336,074 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966,867 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455,502 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Consolidated Statements of Operations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per share data)</w:t>
      </w:r>
    </w:p>
    <w:tbl>
      <w:tblPr>
        <w:tblW w:w="10075" w:type="dxa"/>
        <w:jc w:val="left"/>
        <w:tblInd w:w="0" w:type="dxa"/>
        <w:tblLayout w:type="fixed"/>
        <w:tblCellMar>
          <w:top w:w="28" w:type="dxa"/>
          <w:left w:w="28" w:type="dxa"/>
          <w:bottom w:w="28" w:type="dxa"/>
          <w:right w:w="28" w:type="dxa"/>
        </w:tblCellMar>
      </w:tblPr>
      <w:tblGrid>
        <w:gridCol w:w="1692"/>
        <w:gridCol w:w="1481"/>
        <w:gridCol w:w="1491"/>
        <w:gridCol w:w="474"/>
        <w:gridCol w:w="1782"/>
        <w:gridCol w:w="263"/>
        <w:gridCol w:w="109"/>
        <w:gridCol w:w="109"/>
        <w:gridCol w:w="109"/>
        <w:gridCol w:w="433"/>
        <w:gridCol w:w="1792"/>
        <w:gridCol w:w="340"/>
      </w:tblGrid>
      <w:tr>
        <w:trPr/>
        <w:tc>
          <w:tcPr>
            <w:tcW w:w="169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services</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726,988 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Loyalty services, net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53,148 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54,479 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780,136 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56,224 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 costs (See Note 2)</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Execution, clearing and brokerage fees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139,049 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11,483 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communication</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impairments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1,822,089 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1,008,026 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2,075,137 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(227,890)</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(2,018,913)</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2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from change in fair value of warrant liability</w:t>
            </w:r>
          </w:p>
        </w:tc>
        <w:tc>
          <w:tcPr>
            <w:tcW w:w="2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(225,368)</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(2,001,254)</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(225,812)</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(1,989,934)</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attributable to noncontrolling interest</w:t>
            </w:r>
          </w:p>
        </w:tc>
        <w:tc>
          <w:tcPr>
            <w:tcW w:w="2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(150,958)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(1,411,829)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Bakkt Holdings, Inc.</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(74,854)</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(578,105)</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Class A common stockholders:</w:t>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Consolidated Statements of Comprehensive Loss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tbl>
      <w:tblPr>
        <w:tblW w:w="9656" w:type="dxa"/>
        <w:jc w:val="left"/>
        <w:tblInd w:w="0" w:type="dxa"/>
        <w:tblLayout w:type="fixed"/>
        <w:tblCellMar>
          <w:top w:w="28" w:type="dxa"/>
          <w:left w:w="28" w:type="dxa"/>
          <w:bottom w:w="28" w:type="dxa"/>
          <w:right w:w="28" w:type="dxa"/>
        </w:tblCellMar>
      </w:tblPr>
      <w:tblGrid>
        <w:gridCol w:w="1536"/>
        <w:gridCol w:w="1344"/>
        <w:gridCol w:w="1364"/>
        <w:gridCol w:w="442"/>
        <w:gridCol w:w="1832"/>
        <w:gridCol w:w="246"/>
        <w:gridCol w:w="109"/>
        <w:gridCol w:w="109"/>
        <w:gridCol w:w="109"/>
        <w:gridCol w:w="388"/>
        <w:gridCol w:w="1873"/>
        <w:gridCol w:w="304"/>
      </w:tblGrid>
      <w:tr>
        <w:trPr/>
        <w:tc>
          <w:tcPr>
            <w:tcW w:w="15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(225,812)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(1,989,934)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net of tax</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on available-for-sale securities, net of tax</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(225,262)</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(1,990,725)</w:t>
            </w:r>
          </w:p>
        </w:tc>
        <w:tc>
          <w:tcPr>
            <w:tcW w:w="3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noncontrolling interest</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(150,597)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(1,412,385)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Bakkt Holdings, Inc.</w:t>
            </w:r>
          </w:p>
        </w:tc>
        <w:tc>
          <w:tcPr>
            <w:tcW w:w="44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32"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(74,665)</w:t>
            </w:r>
          </w:p>
        </w:tc>
        <w:tc>
          <w:tcPr>
            <w:tcW w:w="24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7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(578,340)</w:t>
            </w:r>
          </w:p>
        </w:tc>
        <w:tc>
          <w:tcPr>
            <w:tcW w:w="30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Changes in Stockholders’ Equity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share data)</w:t>
      </w:r>
    </w:p>
    <w:tbl>
      <w:tblPr>
        <w:tblW w:w="11880" w:type="dxa"/>
        <w:jc w:val="center"/>
        <w:tblInd w:w="0" w:type="dxa"/>
        <w:tblLayout w:type="fixed"/>
        <w:tblCellMar>
          <w:top w:w="28" w:type="dxa"/>
          <w:left w:w="28" w:type="dxa"/>
          <w:bottom w:w="28" w:type="dxa"/>
          <w:right w:w="28" w:type="dxa"/>
        </w:tblCellMar>
      </w:tblPr>
      <w:tblGrid>
        <w:gridCol w:w="594"/>
        <w:gridCol w:w="205"/>
        <w:gridCol w:w="207"/>
        <w:gridCol w:w="338"/>
        <w:gridCol w:w="338"/>
        <w:gridCol w:w="151"/>
        <w:gridCol w:w="109"/>
        <w:gridCol w:w="109"/>
        <w:gridCol w:w="109"/>
        <w:gridCol w:w="186"/>
        <w:gridCol w:w="220"/>
        <w:gridCol w:w="109"/>
        <w:gridCol w:w="109"/>
        <w:gridCol w:w="109"/>
        <w:gridCol w:w="109"/>
        <w:gridCol w:w="368"/>
        <w:gridCol w:w="368"/>
        <w:gridCol w:w="151"/>
        <w:gridCol w:w="109"/>
        <w:gridCol w:w="109"/>
        <w:gridCol w:w="109"/>
        <w:gridCol w:w="166"/>
        <w:gridCol w:w="256"/>
        <w:gridCol w:w="109"/>
        <w:gridCol w:w="109"/>
        <w:gridCol w:w="109"/>
        <w:gridCol w:w="109"/>
        <w:gridCol w:w="166"/>
        <w:gridCol w:w="526"/>
        <w:gridCol w:w="109"/>
        <w:gridCol w:w="109"/>
        <w:gridCol w:w="109"/>
        <w:gridCol w:w="109"/>
        <w:gridCol w:w="166"/>
        <w:gridCol w:w="541"/>
        <w:gridCol w:w="109"/>
        <w:gridCol w:w="109"/>
        <w:gridCol w:w="109"/>
        <w:gridCol w:w="109"/>
        <w:gridCol w:w="250"/>
        <w:gridCol w:w="500"/>
        <w:gridCol w:w="166"/>
        <w:gridCol w:w="109"/>
        <w:gridCol w:w="109"/>
        <w:gridCol w:w="109"/>
        <w:gridCol w:w="168"/>
        <w:gridCol w:w="532"/>
        <w:gridCol w:w="111"/>
        <w:gridCol w:w="109"/>
        <w:gridCol w:w="109"/>
        <w:gridCol w:w="109"/>
        <w:gridCol w:w="166"/>
        <w:gridCol w:w="616"/>
        <w:gridCol w:w="109"/>
        <w:gridCol w:w="109"/>
        <w:gridCol w:w="109"/>
        <w:gridCol w:w="109"/>
        <w:gridCol w:w="166"/>
        <w:gridCol w:w="616"/>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A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V </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Total </w:t>
              <w:br/>
              <w:t>Stockholders’</w:t>
              <w:br/>
              <w:t>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Noncontrolling </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Total </w:t>
              <w:br/>
              <w:t>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December 31, 2021</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57,164,388 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206,271,792 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2,294,171 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31,557 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Forfeiture and cancellation of common units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(313,144)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warrants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1,286,363 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22,475,871 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(22,475,871)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177,241 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(177,241)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Increase in deferred tax liability from step-up tax basis related to exchanges of Opco common units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gains on available-for-sale securities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(578,105)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(1,411,829)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(1,989,934)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December 31, 2022</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80,926,843 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183,482,777 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772,973 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(676,447)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96,263 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336,074 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Share-based compensation</w:t>
            </w:r>
          </w:p>
        </w:tc>
        <w:tc>
          <w:tcPr>
            <w:tcW w:w="6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15,452 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Unit-based compensation</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Forfeiture and cancellation of common units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share-based awards, net of tax withholding</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4,190,368 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upon vesting of participation units, net of tax withholding</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111,794 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Shares issued in connection with Apex acquisition</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6,140,611 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V shares for Class A shares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3,476,326 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(3,476,326)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Currency translation adjustment, net of tax</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Unrealized gains on available-for-sale securities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loss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(74,854)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as of December 31, 2023</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94,845,942 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180,001,606 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799,656 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(751,301)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48,282 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135,714 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120" w:after="283"/>
        <w:jc w:val="center"/>
        <w:rPr>
          <w:rFonts w:ascii="Times New Roman;sans-serif" w:hAnsi="Times New Roman;sans-serif"/>
          <w:b/>
          <w:color w:val="231F20"/>
          <w:sz w:val="20"/>
        </w:rPr>
      </w:pPr>
      <w:r>
        <w:rPr>
          <w:rFonts w:ascii="Times New Roman;sans-serif" w:hAnsi="Times New Roman;sans-serif"/>
          <w:b/>
          <w:color w:val="231F20"/>
          <w:sz w:val="20"/>
        </w:rPr>
        <w:t>Bakkt Holdings,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tbl>
      <w:tblPr>
        <w:tblW w:w="10205" w:type="dxa"/>
        <w:jc w:val="left"/>
        <w:tblInd w:w="0" w:type="dxa"/>
        <w:tblLayout w:type="fixed"/>
        <w:tblCellMar>
          <w:top w:w="28" w:type="dxa"/>
          <w:left w:w="28" w:type="dxa"/>
          <w:bottom w:w="28" w:type="dxa"/>
          <w:right w:w="28" w:type="dxa"/>
        </w:tblCellMar>
      </w:tblPr>
      <w:tblGrid>
        <w:gridCol w:w="2370"/>
        <w:gridCol w:w="2006"/>
        <w:gridCol w:w="2015"/>
        <w:gridCol w:w="321"/>
        <w:gridCol w:w="1192"/>
        <w:gridCol w:w="193"/>
        <w:gridCol w:w="109"/>
        <w:gridCol w:w="109"/>
        <w:gridCol w:w="109"/>
        <w:gridCol w:w="289"/>
        <w:gridCol w:w="1241"/>
        <w:gridCol w:w="251"/>
      </w:tblGrid>
      <w:tr>
        <w:trPr/>
        <w:tc>
          <w:tcPr>
            <w:tcW w:w="237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2022</w:t>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(225,812)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(1,989,934)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used in operating activities</w:t>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contingent consideration liability</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Unit-based compensation expense</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Forfeiture and cancellation of common units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of long-lived assets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 and intangible assets impairments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60,499 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1,822,089 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disposal of assets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(gain) from change in fair value of warrant liability</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(16,638)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insurance</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Deposits with clearinghouse</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and accrued liabilities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Due to related party</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revenue</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funds payable</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and liabilities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operating activities</w:t>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(60,697)</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(117,597)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development costs and other capital expenditures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(30,543)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available-for-sale securities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(306,593)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maturity of available-for-sale securities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185,765 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Bumped Financial, LLC</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Apex Crypto LLC, net of cash acquired</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(47,902)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investing activities:</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65,970 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(171,961)</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Class A common stock</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exercise of warrants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(2,634)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(2,584)</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 changes</w:t>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cash, cash equivalents, deposits, restricted cash and customer funds</w:t>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(292,992)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deposits, restricted cash and customer funds at the beginning of the period</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408,415 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cash equivalents, deposits, restricted cash and customer funds at the end of the period</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118,498 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115,423 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cash flow information:</w:t>
            </w:r>
          </w:p>
        </w:tc>
        <w:tc>
          <w:tcPr>
            <w:tcW w:w="1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right-of-use asset acquired</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 of non-cash investing and financing activity:</w:t>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internal-use software development costs and other capital expenditures included in accounts payable and accrued liabilities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Reconciliation of cash, cash equivalents, deposits, restricted cash and customer funds to consolidated balance sheets:</w:t>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52,882 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98,332 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31,838 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Customer funds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Deposits (See Note 6)</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Total cash, cash equivalents, deposits, restricted cash and customer funds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118,498 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Times New Roman;sans-serif" w:hAnsi="Times New Roman;sans-serif"/>
          <w:b w:val="false"/>
          <w:i/>
          <w:color w:val="231F20"/>
          <w:sz w:val="20"/>
        </w:rPr>
        <w:t>The accompanying notes are an integral part of these consolidated financial statements</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231F20"/>
          <w:sz w:val="20"/>
        </w:rPr>
      </w:pPr>
      <w:r>
        <w:rPr>
          <w:rFonts w:ascii="Times New Roman;sans-serif" w:hAnsi="Times New Roman;sans-serif"/>
          <w:b/>
          <w:color w:val="231F20"/>
          <w:sz w:val="20"/>
        </w:rPr>
        <w:t>Notes to the Consolidated Financial Statements</w:t>
      </w: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1.Organization and Description of Business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provides, “we,” “us,” “our,” “Bakkt”, the “Company” and like terms refer to Bakkt Holdings, Inc. and its subsidiaries, including Opco.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On April 1, 2023 we completed the acquisition of 100% of the ownership interests of Apex Crypto LLC ("Apex Crypto") and subsequently changed the name of the legal entity to Bakkt Crypto Solutions, LLC ("Bakkt Crypto"), effective June 12, 2023.</w:t>
      </w:r>
      <w:r>
        <w:rPr>
          <w:color w:val="000000"/>
        </w:rPr>
        <w:t xml:space="preserve"> </w:t>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Description of Business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or are working to provide, simplified solutions focused in the following areas:</w:t>
      </w:r>
    </w:p>
    <w:p>
      <w:pPr>
        <w:pStyle w:val="TextBody"/>
        <w:bidi w:val="0"/>
        <w:spacing w:lineRule="auto" w:line="333"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Crypto</w:t>
      </w:r>
    </w:p>
    <w:p>
      <w:pPr>
        <w:pStyle w:val="TextBody"/>
        <w:bidi w:val="0"/>
        <w:spacing w:lineRule="auto" w:line="333" w:before="240" w:after="283"/>
        <w:ind w:left="0" w:right="0" w:hanging="360"/>
        <w:jc w:val="both"/>
        <w:rPr/>
      </w:pPr>
      <w:r>
        <w:rPr>
          <w:color w:val="0C0C0C"/>
        </w:rPr>
        <w:t>•</w:t>
      </w:r>
      <w:r>
        <w:rPr>
          <w:rFonts w:ascii="Times New Roman;sans-serif" w:hAnsi="Times New Roman;sans-serif"/>
          <w:b/>
          <w:i/>
          <w:color w:val="0C0C0C"/>
          <w:sz w:val="20"/>
        </w:rPr>
        <w:t>Custody.</w:t>
      </w:r>
      <w:r>
        <w:rPr>
          <w:color w:val="0C0C0C"/>
        </w:rPr>
        <w:t xml:space="preserve"> </w:t>
      </w:r>
      <w:r>
        <w:rPr>
          <w:rFonts w:ascii="Times New Roman;sans-serif" w:hAnsi="Times New Roman;sans-serif"/>
          <w:b w:val="false"/>
          <w:color w:val="0C0C0C"/>
          <w:sz w:val="20"/>
        </w:rPr>
        <w:t xml:space="preserve">Our institutional-grade qualified custody solution is primarily provided by our subsidiary, Bakkt Trust Company LLC (“Bakkt Trust”), a limited purpose trust company that is supervised by the New York State Department of Financial Services (“NYDFS”) and governed by an independent Board of Managers.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 </w:t>
      </w:r>
    </w:p>
    <w:p>
      <w:pPr>
        <w:pStyle w:val="TextBody"/>
        <w:bidi w:val="0"/>
        <w:spacing w:lineRule="auto" w:line="333" w:before="240" w:after="283"/>
        <w:ind w:left="0" w:right="0" w:hanging="360"/>
        <w:jc w:val="both"/>
        <w:rPr/>
      </w:pPr>
      <w:r>
        <w:rPr>
          <w:color w:val="000000"/>
          <w:shd w:fill="FFFFFF" w:val="clear"/>
        </w:rPr>
        <w:t>•</w:t>
      </w:r>
      <w:r>
        <w:rPr>
          <w:rFonts w:ascii="Times New Roman;sans-serif" w:hAnsi="Times New Roman;sans-serif"/>
          <w:b/>
          <w:i/>
          <w:color w:val="0C0C0C"/>
          <w:sz w:val="20"/>
        </w:rPr>
        <w:t>Trading</w:t>
      </w:r>
      <w:r>
        <w:rPr>
          <w:rFonts w:ascii="Times New Roman;sans-serif" w:hAnsi="Times New Roman;sans-serif"/>
          <w:b/>
          <w:color w:val="0C0C0C"/>
          <w:sz w:val="20"/>
        </w:rPr>
        <w:t xml:space="preserve">. </w:t>
      </w:r>
      <w:r>
        <w:rPr>
          <w:rFonts w:ascii="Times New Roman;sans-serif" w:hAnsi="Times New Roman;sans-serif"/>
          <w:b w:val="false"/>
          <w:color w:val="0C0C0C"/>
          <w:sz w:val="20"/>
        </w:rPr>
        <w:t xml:space="preserve">Our platform provides customers with the ability to buy, sell and store crypto via application programming interfaces or embedded web experience. We enable clients in various industries to provide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0C0C0C"/>
          <w:sz w:val="20"/>
        </w:rPr>
        <w:t>customers with the ability to transact in crypto directly in their trusted environments. W</w:t>
      </w:r>
      <w:r>
        <w:rPr>
          <w:rFonts w:ascii="Times New Roman;sans-serif" w:hAnsi="Times New Roman;sans-serif"/>
          <w:b w:val="false"/>
          <w:color w:val="000000"/>
          <w:sz w:val="20"/>
        </w:rPr>
        <w:t>e currently facilitate transactions in the crypto assets listed in the table below.</w:t>
      </w:r>
    </w:p>
    <w:tbl>
      <w:tblPr>
        <w:tblW w:w="2311" w:type="dxa"/>
        <w:jc w:val="center"/>
        <w:tblInd w:w="0" w:type="dxa"/>
        <w:tblLayout w:type="fixed"/>
        <w:tblCellMar>
          <w:top w:w="28" w:type="dxa"/>
          <w:left w:w="28" w:type="dxa"/>
          <w:bottom w:w="28" w:type="dxa"/>
          <w:right w:w="28" w:type="dxa"/>
        </w:tblCellMar>
      </w:tblPr>
      <w:tblGrid>
        <w:gridCol w:w="554"/>
        <w:gridCol w:w="487"/>
        <w:gridCol w:w="489"/>
        <w:gridCol w:w="228"/>
        <w:gridCol w:w="228"/>
        <w:gridCol w:w="32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op w:val="single" w:sz="8" w:space="0" w:color="000000"/>
              <w:left w:val="single" w:sz="8" w:space="0" w:color="000000"/>
            </w:tcBorders>
            <w:shd w:fill="EEECE1" w:val="clear"/>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 Asset</w:t>
            </w:r>
          </w:p>
        </w:tc>
        <w:tc>
          <w:tcPr>
            <w:tcW w:w="781" w:type="dxa"/>
            <w:gridSpan w:val="3"/>
            <w:tcBorders>
              <w:top w:val="single" w:sz="8" w:space="0" w:color="000000"/>
              <w:left w:val="single" w:sz="8" w:space="0" w:color="000000"/>
              <w:right w:val="single" w:sz="8" w:space="0" w:color="000000"/>
            </w:tcBorders>
            <w:shd w:fill="EEECE1"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Symbol</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BTC</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 Cash</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BCH</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Ethereum Classic</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ETC</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LTC</w:t>
            </w:r>
          </w:p>
        </w:tc>
      </w:tr>
      <w:tr>
        <w:trPr/>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78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w:t>
            </w:r>
          </w:p>
        </w:tc>
      </w:tr>
      <w:tr>
        <w:trPr/>
        <w:tc>
          <w:tcPr>
            <w:tcW w:w="1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 Coin</w:t>
            </w:r>
          </w:p>
        </w:tc>
        <w:tc>
          <w:tcPr>
            <w:tcW w:w="78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USDC</w:t>
            </w:r>
          </w:p>
        </w:tc>
      </w:tr>
    </w:tbl>
    <w:p>
      <w:pPr>
        <w:pStyle w:val="TextBody"/>
        <w:bidi w:val="0"/>
        <w:spacing w:lineRule="auto" w:line="333" w:before="240" w:after="283"/>
        <w:ind w:left="0" w:right="0" w:firstLine="720"/>
        <w:jc w:val="both"/>
        <w:rPr/>
      </w:pPr>
      <w:r>
        <w:rPr>
          <w:rFonts w:ascii="Times New Roman;sans-serif" w:hAnsi="Times New Roman;sans-serif"/>
          <w:b w:val="false"/>
          <w:color w:val="231F20"/>
          <w:sz w:val="20"/>
        </w:rPr>
        <w:t xml:space="preserve">Bakkt Trust’s custody solution provides support to Bakkt Marketplace with respect to all crypto assets supported by the Company. Additionally, until October 2, 2023, Bakkt Trust operated, in conjunction with Intercontinental Exchange, Inc. ("ICE"), regulated infrastructure for trading, clearing, and custody services for physically-delivered bitcoin futures (See Note 8 "Related Parties" below for a description of a recent delisting of certain Bakkt Bitcoin futures and option contracts by </w:t>
      </w:r>
      <w:r>
        <w:rPr>
          <w:rFonts w:ascii="Times New Roman;sans-serif" w:hAnsi="Times New Roman;sans-serif"/>
          <w:b w:val="false"/>
          <w:color w:val="000000"/>
          <w:sz w:val="20"/>
        </w:rPr>
        <w:t>ICE Futures U.S., Inc. ("IFUS")</w:t>
      </w:r>
      <w:r>
        <w:rPr>
          <w:rFonts w:ascii="Times New Roman;sans-serif" w:hAnsi="Times New Roman;sans-serif"/>
          <w:b w:val="false"/>
          <w:color w:val="231F20"/>
          <w:sz w:val="20"/>
        </w:rPr>
        <w:t>). Bakkt Marketplace and Bakkt Crypto each hold a New York State virtual currency license (commonly referred to as a "BitLicense"), and money transmitter licenses from all states throughout the U.S. where such licenses are required for the operation of their business, and both are registered as a money services business with the Financial Crimes Enforcement Network of the United States Department of the Treasury.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offer crypto services in the U.S., Latin America and Europe. We expect to continue to pursue new markets in the future by working with our existing client base as well as targeting new clients.</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Loyalty</w:t>
      </w:r>
    </w:p>
    <w:p>
      <w:pPr>
        <w:pStyle w:val="TextBody"/>
        <w:bidi w:val="0"/>
        <w:spacing w:lineRule="auto" w:line="333" w:before="240" w:after="283"/>
        <w:ind w:left="0" w:right="0" w:firstLine="720"/>
        <w:jc w:val="both"/>
        <w:rPr>
          <w:rFonts w:ascii="Times New Roman;sans-serif" w:hAnsi="Times New Roman;sans-serif"/>
          <w:b w:val="false"/>
          <w:color w:val="0C0C0C"/>
          <w:sz w:val="20"/>
        </w:rPr>
      </w:pPr>
      <w:r>
        <w:rPr>
          <w:rFonts w:ascii="Times New Roman;sans-serif" w:hAnsi="Times New Roman;sans-serif"/>
          <w:b w:val="false"/>
          <w:color w:val="0C0C0C"/>
          <w:sz w:val="20"/>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our audited consolidated financial statements.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in conjunction with the issuance of the December 31, 2023 audited consolidated financial statements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forecasting our expectation of cash needs for the initial ASC 205-40 evaluation, the crypto revenue growth projections exclude expansion to international retail crypto markets where such arrangements are not signed, as well as activation of new clients currently not live on our platform as of the date of release of these audited consolidated financial statements.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 doubt was initially raised about our ability to continue as a going concern in connection with the filing of our Quarterly Report on Form 10-Q for the quarterly period ending September 30, 2023. At that time we determined management’s plans were sufficient to alleviate the substantial doubt. We have incurred net losses and consumed cashflow from operations since our inception and incurred losses and consumed cash through the date of this filing in excess of our budgets, due to increased cash utilization in operations and lower realization of actual revenues. For the year ended December 31, 2023, we incurred a net loss of $225.8 million and consumed $60.7 million of cash in operations.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has historically relied on its existing cash and available-for-sale securities portfolio to fund operations. As of December 31, 2023, we had $52.9 million of available cash and cash equivalents that was not restricted or required to be held for regulatory capital (see Note 13) and $17.4 million in available-for-sale securities. We do not have any long-term debt to service but have commitments under long-term cloud computing, lease and marketing contracts as described in Notes 14 and 17. We expect to continue to incur losses and consume cash for the foreseeable future. This raised substantial doubt about our ability to continue as a going concern given our present liquidity.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29, 2024, we entered into a securities purchase agreement with certain institutional investors,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pursuant to which we agreed to sell and issue a combination of Class A Common Stock, Class 1 Warrants and Class 2 Warrants. We raised net proceeds from the Third-Party Offering of approximately $37.6 million, after deducting the placement agent’s fees and estimated offering expenses payable by us, and expect to raise net proceeds from the ICE Offering of approximately $9.8 million, after deducting estimated offering expenses payable by us, assuming all securities are issued in the ICE Offering. Approximately $2.4 million of proceeds from the ICE Offering were received concurrently with the closing of the Third-Party Offering, with the remainder to be issued after we obtain stockholder approval for such issuance, subject to other customary closing conditions. We intend to use the net proceeds from the Concurrent Offerings for working capital and other general corporate purposes.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executing a strategic plan to optimize our capital allocation and expense base since the fourth quarter of 2022, which has reduced our annual cash expenses year over year and which we expect will continue to reduce our cash expenses in 2024. As a part of those plans, we will continue to align headcount and employee related costs to further reduce cash expenses. We have received approval in 2024 to integrate Bakkt Marketplace and Bakkt Crypto Services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We believe that our cash, after giving effect to the net proceeds received in the Concurrent Offerings and other management plans to reduce cash expenses, short-term securities, and restricted cash will be sufficient to fund our operations for the next 12 months from the date of these financial statements. We believe the expected impact on our liquidity and cash flows resulting from the capital raise, entity integration and the operational initiatives outlined above are probable of occurring and sufficient to enable us to meet our obligations for at least twelve months from the date the financial statements are issued and alleviate the substantial doubt about our ability to continue as a going concern.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operating and reportable segment. Operating segments are defined as components of an enterprise about which separate financial information is evaluated regularly by the chief operating decision maker, who is our CEO, in deciding how to allocate resources and assessing performance. During the years ended December 31, 2023 and December 31, 2022, all material operations are within the United States. Our chief operating decision maker allocates resources and assesses performance based upon financial information at the consolidated level.</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short-term, highly liquid investments with maturities from the purchase date of three months or less to be cash equivalents. Cash equivalents consists of amounts invested in money market funds of $26.1 million and $0.2 million as of December 31,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all cash and cash equivalents that are not available for immediate or general business use as restricted. Restricted cash includes amounts set aside due to regulatory requirements or insurance collateral. Refer to Note 13 for additional information.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Customer Funds and Customer Funds Payable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Customer funds represents fiat currency deposited in bank accounts segregated from corporate funds. In accordance with state money transmitter laws, we may invest customer cash deposits in certain permissible investments. As of December 31, 2023, we had not made any such investments. We classify the assets as current since they are readily available for customer use with a corresponding customer funds payable liability.</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Translation of Foreign Currencies and Foreign Currency Transactions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and Allowance for Doubtful Accounts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$0.7 million and $0.2 million as of December 31, 2023 and December 31, 2022, respectively. There were no write-offs of receivables during the years ended December 31, 2023 and December 31, 2022.</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Property, Equipment and Software, Net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are stated at cost, less accumulated depreciation and amortization.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related to software we develop or obtain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are computed using the straight-line method over the following estimated useful lives of assets:</w:t>
      </w:r>
    </w:p>
    <w:tbl>
      <w:tblPr>
        <w:tblW w:w="9267" w:type="dxa"/>
        <w:jc w:val="left"/>
        <w:tblInd w:w="0" w:type="dxa"/>
        <w:tblLayout w:type="fixed"/>
        <w:tblCellMar>
          <w:top w:w="28" w:type="dxa"/>
          <w:left w:w="28" w:type="dxa"/>
          <w:bottom w:w="28" w:type="dxa"/>
          <w:right w:w="28" w:type="dxa"/>
        </w:tblCellMar>
      </w:tblPr>
      <w:tblGrid>
        <w:gridCol w:w="1211"/>
        <w:gridCol w:w="1063"/>
        <w:gridCol w:w="1071"/>
        <w:gridCol w:w="924"/>
        <w:gridCol w:w="924"/>
        <w:gridCol w:w="927"/>
        <w:gridCol w:w="109"/>
        <w:gridCol w:w="109"/>
        <w:gridCol w:w="109"/>
        <w:gridCol w:w="824"/>
        <w:gridCol w:w="824"/>
        <w:gridCol w:w="1172"/>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finance lease</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7-10 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computer and network equipment</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bl>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lease term, we consider renewal options that are reasonably certain to exercise and termination options that are reasonably certain to not be exercised, in addition to the non-cancellable lease 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$30.3 million and $11.5 million related to long-lived assets during the years ended December 31, 2023 and December 31, 2022, respectively. Refer to Note 6 for additional information.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business combinations using the acquisition accounting method, which requires us to determine the fair value of identifiable assets acquired and liabilities assumed, including any contingent consideration,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pPr>
      <w:r>
        <w:rPr>
          <w:rFonts w:ascii="Times New Roman;sans-serif" w:hAnsi="Times New Roman;sans-serif"/>
          <w:b w:val="false"/>
          <w:color w:val="000000"/>
          <w:sz w:val="20"/>
        </w:rPr>
        <w:t xml:space="preserve">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business combinations including contingent consideration, we evaluate the contractual terms to determine whether the contingency should be liability or equity classified. For liability classified contingent consideration, we evaluate the fair value of the contingent consideration each reporting period, and record the changes in the fair value through income.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acquisition-related costs, other than the costs to issue debt or equity securities, are accounted for as expenses in the period in which they are incurred.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Goodwill and Intangible Assets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Goodwill and intangible assets that have indefinite useful lives are accounted for in accordance with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Our annual testing date is October 1st of each year.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$60.5 million and $1,822.1 million of impairment charges related to goodwill and other intangible assets during the years ended December 31, 2023 and December 31, 2022, respectively. Refer to Note 5 for additional information.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we transfer promised goods or services to customers in an amount that reflects the consideration to which we expect to be entitled in exchange for those goods or services.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Crypto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Crypto services revenues are derived from our crypto trading and custody services. </w:t>
      </w:r>
    </w:p>
    <w:p>
      <w:pPr>
        <w:pStyle w:val="TextBody"/>
        <w:bidi w:val="0"/>
        <w:spacing w:lineRule="auto" w:line="333" w:before="240" w:after="283"/>
        <w:ind w:left="0" w:right="0" w:firstLine="720"/>
        <w:jc w:val="both"/>
        <w:rPr/>
      </w:pPr>
      <w:r>
        <w:rPr>
          <w:rFonts w:ascii="Times New Roman;sans-serif" w:hAnsi="Times New Roman;sans-serif"/>
          <w:b/>
          <w:color w:val="000000"/>
          <w:sz w:val="20"/>
        </w:rPr>
        <w:t xml:space="preserve">Trading: </w:t>
      </w:r>
      <w:r>
        <w:rPr>
          <w:rFonts w:ascii="Times New Roman;sans-serif" w:hAnsi="Times New Roman;sans-serif"/>
          <w:b w:val="false"/>
          <w:color w:val="000000"/>
          <w:sz w:val="20"/>
        </w:rPr>
        <w:t xml:space="preserve">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include a single performance obligation which is execution of the trade. We consider the sale of customer crypto associated with delisted crypto to be revenue in the context of our contracts with customers.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is required in determining whether the Company is the principal or the agent in our contracts with customers. We have determined that we are the principal in transactions with customers as we control the crypto during the period of time between the customer transaction and the liquidity provider settlement and we are primarily responsible for the delivery of the crypto to the customer. Accordingly, revenue associated with Bakkt Crypto’s services is presented gross in “Crypto services” revenue in our consolidated statement of operations and the cost basis of acquired cryptocurrency associated with Bakkt Crypto's services are presented gross in “Crypto costs” in our consolidated statement of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inventory of crypto to facilitate consumer transactions if needed. We may adjust our inventory levels under our inventory policy. Sales of crypto resulting from inventory adjustments are not part of our normal course of business. Accordingly, proceeds from the sale of crypto outside of the normal course of business are included in “Other income (expense), net,” net of the cost of crypto sold, in the statements of operations. We recognized income from the sale of crypto in our inventory reserve, net of the cost of crypto sold, of $0.2 million during the year ended December 31, 2023. We did not recognize any income from inventory reserve adjustments during the year ended December 31, 2022.</w:t>
      </w:r>
    </w:p>
    <w:p>
      <w:pPr>
        <w:pStyle w:val="TextBody"/>
        <w:bidi w:val="0"/>
        <w:spacing w:lineRule="auto" w:line="333" w:before="240" w:after="283"/>
        <w:ind w:left="0" w:right="0" w:firstLine="720"/>
        <w:jc w:val="both"/>
        <w:rPr/>
      </w:pPr>
      <w:r>
        <w:rPr>
          <w:rFonts w:ascii="Times New Roman;sans-serif" w:hAnsi="Times New Roman;sans-serif"/>
          <w:b/>
          <w:color w:val="000000"/>
          <w:sz w:val="20"/>
        </w:rPr>
        <w:t xml:space="preserve">Custody: </w:t>
      </w:r>
      <w:r>
        <w:rPr>
          <w:rFonts w:ascii="Times New Roman;sans-serif" w:hAnsi="Times New Roman;sans-serif"/>
          <w:b w:val="false"/>
          <w:color w:val="000000"/>
          <w:sz w:val="20"/>
        </w:rPr>
        <w:t>For customers using Bakkt Trust’s custody services on a standalone basis, we charge a fee, which is generally based on a fixed fee and represents fixed consideration. We invoice customers on a quarterly basis. Our performance obligation related to the storage and custody of a customer’s crypto represents an obligation to provide custody services for crypto. The contract for custodial services may be terminated by the applicable institution or high net worth individual at any time upon final withdrawal of all crypto, without incurring a penalty. As a result, we believe our contracts represent day-to-day contracts with each day representing a renewal. 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“Crypto services” revenues in the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Bakkt Crypto’s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years ended December 31, 2023 or December 31,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custody services is included in “Subscription and services revenue” in the disaggregation of revenue by service type table within Note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Loyalty redemption platform</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contracts related to our loyalty redemption platform consist of two performance obligations: (1) access to our </w:t>
      </w:r>
      <w:r>
        <w:rPr>
          <w:rFonts w:ascii="Times New Roman;sans-serif" w:hAnsi="Times New Roman;sans-serif"/>
          <w:b w:val="false"/>
          <w:color w:val="0C0C0C"/>
          <w:sz w:val="20"/>
        </w:rPr>
        <w:t>software as a service (“SaaS”)</w:t>
      </w:r>
      <w:r>
        <w:rPr>
          <w:rFonts w:ascii="Times New Roman;sans-serif" w:hAnsi="Times New Roman;sans-serif"/>
          <w:b w:val="false"/>
          <w:color w:val="000000"/>
          <w:sz w:val="20"/>
        </w:rPr>
        <w:t>-based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consolidated statements of operations and include the following: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Platform subscription fees:</w:t>
      </w:r>
      <w:r>
        <w:rPr>
          <w:color w:val="000000"/>
        </w:rPr>
        <w:t xml:space="preserve"> </w:t>
      </w:r>
      <w:r>
        <w:rPr>
          <w:rFonts w:ascii="Times New Roman;sans-serif" w:hAnsi="Times New Roman;sans-serif"/>
          <w:b w:val="false"/>
          <w:color w:val="000000"/>
          <w:sz w:val="20"/>
        </w:rPr>
        <w:t>Monthly fixed fee charged to customers to access the redemption platform and 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Transaction fees:</w:t>
      </w:r>
      <w:r>
        <w:rPr>
          <w:color w:val="000000"/>
        </w:rPr>
        <w:t xml:space="preserve"> </w:t>
      </w:r>
      <w:r>
        <w:rPr>
          <w:rFonts w:ascii="Times New Roman;sans-serif" w:hAnsi="Times New Roman;sans-serif"/>
          <w:b w:val="false"/>
          <w:color w:val="000000"/>
          <w:sz w:val="20"/>
        </w:rPr>
        <w:t>Transaction fees are earned for most transactions processed through our platform. These fees 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Revenue share fees:</w:t>
      </w:r>
      <w:r>
        <w:rPr>
          <w:color w:val="000000"/>
        </w:rPr>
        <w:t xml:space="preserve"> </w:t>
      </w:r>
      <w:r>
        <w:rPr>
          <w:rFonts w:ascii="Times New Roman;sans-serif" w:hAnsi="Times New Roman;sans-serif"/>
          <w:b w:val="false"/>
          <w:color w:val="000000"/>
          <w:sz w:val="20"/>
        </w:rPr>
        <w:t>We are entitled to revenue share fees in the form of rebates from third-party commerce 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pStyle w:val="TextBody"/>
        <w:bidi w:val="0"/>
        <w:spacing w:lineRule="auto" w:line="333" w:before="120" w:after="283"/>
        <w:ind w:left="0" w:right="0" w:hanging="360"/>
        <w:jc w:val="both"/>
        <w:rPr/>
      </w:pPr>
      <w:r>
        <w:rPr>
          <w:color w:val="000000"/>
        </w:rPr>
        <w:t>•</w:t>
      </w:r>
      <w:r>
        <w:rPr>
          <w:rFonts w:ascii="Times New Roman;sans-serif" w:hAnsi="Times New Roman;sans-serif"/>
          <w:b/>
          <w:color w:val="000000"/>
          <w:sz w:val="20"/>
        </w:rPr>
        <w:t>Service fees:</w:t>
      </w:r>
      <w:r>
        <w:rPr>
          <w:color w:val="000000"/>
        </w:rPr>
        <w:t xml:space="preserve"> </w:t>
      </w:r>
      <w:r>
        <w:rPr>
          <w:rFonts w:ascii="Times New Roman;sans-serif" w:hAnsi="Times New Roman;sans-serif"/>
          <w:b w:val="false"/>
          <w:color w:val="000000"/>
          <w:sz w:val="20"/>
        </w:rPr>
        <w:t>We earn fees for certain software development activities associated with the implementation of new customers on our loyalty redemption platform and other development activities if a customer requests that we customize certain features and functionalities for their loyalty program. We recognize revenue from software development activities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We also earn fees for providing call center services for customers. We recognize revenue from call center services in the period in which we provide such services. Revenue from our services fees is included in “Subscription and services revenue” in the disaggregation of revenue table by service type in Note 3.</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the following practical expedients under ASC 606:</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Excluding sales taxes from the measurement of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Not adjusting the transaction price for the existence of a significant financing component if the timing difference between a customer’s payment and our performance is one year or less;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elected the practical expedient under ASC 340-40 to not capitalize incremental costs to obtain a contract with a customer if the amortization period would have been one year or less.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for additional disclosures related to our recognition of revenue.</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Safeguarding Obligation for Crypto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Securities and Exchange Commission issued Staff Accounting Bulletin (“SAB”) Number 121 (“SAB 121”), which provides the SEC staff’s view that it would be appropriate for an entity that has an obligation to safeguard crypto held for platform users to record a liability and corresponding asset on its balance sheet at the fair value of the crypto. We adopted the guidance in SAB 121 during the quarter ended June 30, 2022.</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We provide custody services for Bakkt Crypto’s customers and for Bakkt Trust’s standalone custody customers. Bakkt Trust also provides custody services for Bakkt Marketplace crypto customers as described in Note 1.</w:t>
      </w:r>
      <w:r>
        <w:rPr>
          <w:color w:val="000000"/>
        </w:rPr>
        <w:t xml:space="preserve"> </w:t>
      </w:r>
      <w:r>
        <w:rPr>
          <w:rFonts w:ascii="Times New Roman;sans-serif" w:hAnsi="Times New Roman;sans-serif"/>
          <w:b w:val="false"/>
          <w:color w:val="000000"/>
          <w:sz w:val="20"/>
        </w:rPr>
        <w:t>We do not own crypto held in a custodial capacity on behalf of our customers. We maintain the internal recordkeeping of those assets and are obligated to safeguard the assets and protect them from loss or theft.</w:t>
      </w:r>
      <w:r>
        <w:rPr>
          <w:color w:val="000000"/>
        </w:rPr>
        <w:t xml:space="preserve"> </w:t>
      </w:r>
      <w:r>
        <w:rPr>
          <w:rFonts w:ascii="Times New Roman;sans-serif" w:hAnsi="Times New Roman;sans-serif"/>
          <w:b w:val="false"/>
          <w:color w:val="000000"/>
          <w:sz w:val="20"/>
        </w:rPr>
        <w:t>We hold the controlling majority of</w:t>
      </w:r>
      <w:r>
        <w:rPr>
          <w:color w:val="000000"/>
        </w:rPr>
        <w:t xml:space="preserve"> </w:t>
      </w:r>
      <w:r>
        <w:rPr>
          <w:rFonts w:ascii="Times New Roman;sans-serif" w:hAnsi="Times New Roman;sans-serif"/>
          <w:b w:val="false"/>
          <w:color w:val="000000"/>
          <w:sz w:val="20"/>
        </w:rPr>
        <w:t>cryptographic key information on behalf of our Bakkt Trust custodial customers. Subcustodians used by Bakkt Crypto hold our customer cryptographic key information and are not permitted to move assets without our specific authorization.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Deferred 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We have determined that these arrangements do not contain a significant financing component, and therefore the transaction price is not adjusted.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and Benefits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primarily consists of salaries and wages, bonuses, contract labor fees, share-based compensation, unit-based compensation, payroll taxes and benefits associated with the compensation of our employees, excluding share-based and unit-based compensation discussed in “Restructuring expenses” in the statements of operations. </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relates to the restricted stock units (“RSUs”) and performance stock units (“PSUs”) granted or outstanding during the period. Our RSUs and PSUs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probable outcome of the performance conditions at each reporting period. The fair value of our RSUs and PSUs is determined as the closing price of our Class A common stock on the date of grant. We account for forfeitures as they occur. See Note 11 for additional information about share-based compensation.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Unit-Based Compensation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which historically have been classified as liabilities, based on changes to the fair value of the awards at each reporting date. We elect to account for forfeitures as they occurred. See Note 11 for additional disclosures related to unit-based compensation.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Professional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expenses consist of costs associated with audit, tax, legal and other professional services and are recognized as incurred.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Technology and Communication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 expenses include costs incurred in operating and maintaining our platform, including software licenses, software maintenance and support, hosting and infrastructure costs.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costs associated with advertising, marketing, insurance and rent. Advertising costs are expensed as incurred. Total advertising costs for the years ended December 31, 2023 and December 31, 2022, were $4.6 million and $8.8 million, respectively.</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Acquisition-Related Expenses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incur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4 for additional information related to acquisition-related expenses.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 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Warrant Accounting</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account for our Class A common stock warrants in accordance with applicable accounting guidance provided in ASC Topic 815, </w:t>
      </w:r>
      <w:r>
        <w:rPr>
          <w:rFonts w:ascii="Times New Roman;sans-serif" w:hAnsi="Times New Roman;sans-serif"/>
          <w:b w:val="false"/>
          <w:i/>
          <w:color w:val="000000"/>
          <w:sz w:val="20"/>
        </w:rPr>
        <w:t>Derivatives and Hedging—Contracts in Entity’s Own Equity</w:t>
      </w:r>
      <w:r>
        <w:rPr>
          <w:rFonts w:ascii="Times New Roman;sans-serif" w:hAnsi="Times New Roman;sans-serif"/>
          <w:b w:val="false"/>
          <w:color w:val="000000"/>
          <w:sz w:val="20"/>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See Note 9 for additional information.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in the consolidated statements of operations.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 redemptions or direct exchanges or Opco Common Units by the noncontrolling members of Opco will result in a change in ownership and reduce the amount recorded as noncontrolling interest and increase additional paid-in capital. </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We recognize interest and penalties related to uncertain tax positions in “Income tax expense” in the consolidated statements of operations.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account for our financial assets and liabilities that are recognized and/or disclosed at fair value on a recurring basis 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 techniques based on whether the inputs to those valuation techniques are observable or unobservable and proscribes the following fair value hierarchy in determining fair values: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prices for identical assets or liabilities in active markets.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reflecting our view about the assumptions that market participants would use in measuring the fair value of the assets or liabilities.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the three largest customer balances represented approximately 44% and 65%, respectively, of total accounts receivable.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had no revenue concentration with any individual customer. However, our customers are introduced to us via client relationships. For the year ended December 31, 2023 our top three Crypto clients represented approximately 86%, of Crypto revenue. One client represented over 10% of our Crypto revenue, which accounted for revenue of $529.6 million during the year ended December 31, 2023. We had no material concentration risk for the year ended December 31, 2022 as our crypto revenues were not material.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December 31, 2022, our top three Loyalty customers represented approximately 63% and 61%, respectively, of Loyalty net revenue. Three customers, that each represented over 10% of our Loyalty net revenue, combined to account for net revenue of $33.2 million and $33.0 million during the years ended December 31, 2023 and December 31, 2022.</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debt securities as available-for-sale investments. Our investments in debt securities consist of U.S. Treasury debt securities held in the custody of a major financial institution. Investments are classified as current or non-current depending on their maturity dates and when they are expected to be converted into cash.</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adopt any significant accounting pronouncements during the years ended December 31, 2023 or December 31, 2022.</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2023, the FASB issued Accounting Standards Update (“ASU”) 2023-08, which addresses the accounting and disclosure requirements for certain crypto assets. The new guidance requires entities to subsequently measure certain crypto assets at fair value, with changes in fair value recorded in net income in each reporting period.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also be required to provide additional disclosures about the holdings of certain crypto assets. The ASU will be effective for our fiscal year 2025 including interim periods within that year. We do not believe the implementation of the ASU will have a material impact on our consolidated balance sheet or statement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any other recently issued, but not yet effective, accounting standards, if currently adopted, would have a material effect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3.Revenue from Contracts with Customers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by service type and by platform as follows (in thousands):</w:t>
      </w:r>
    </w:p>
    <w:tbl>
      <w:tblPr>
        <w:tblW w:w="9053" w:type="dxa"/>
        <w:jc w:val="left"/>
        <w:tblInd w:w="0" w:type="dxa"/>
        <w:tblLayout w:type="fixed"/>
        <w:tblCellMar>
          <w:top w:w="28" w:type="dxa"/>
          <w:left w:w="28" w:type="dxa"/>
          <w:bottom w:w="28" w:type="dxa"/>
          <w:right w:w="28" w:type="dxa"/>
        </w:tblCellMar>
      </w:tblPr>
      <w:tblGrid>
        <w:gridCol w:w="1015"/>
        <w:gridCol w:w="892"/>
        <w:gridCol w:w="897"/>
        <w:gridCol w:w="109"/>
        <w:gridCol w:w="109"/>
        <w:gridCol w:w="109"/>
        <w:gridCol w:w="511"/>
        <w:gridCol w:w="2000"/>
        <w:gridCol w:w="264"/>
        <w:gridCol w:w="109"/>
        <w:gridCol w:w="109"/>
        <w:gridCol w:w="109"/>
        <w:gridCol w:w="548"/>
        <w:gridCol w:w="1872"/>
        <w:gridCol w:w="400"/>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revenue</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756,165 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26,683 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56,224 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(a)Amounts are net of rebates and incentive payments of $0.1 million and $0.6 million for the years ended December 31, 2023 and December 31, 2022, respectively. Included in these amounts are amounts earned from related parties of less than $0.1 million for both years ended December 31, 2023 and December 31, 2022, respectively.</w:t>
      </w:r>
    </w:p>
    <w:tbl>
      <w:tblPr>
        <w:tblW w:w="8723" w:type="dxa"/>
        <w:jc w:val="left"/>
        <w:tblInd w:w="0" w:type="dxa"/>
        <w:tblLayout w:type="fixed"/>
        <w:tblCellMar>
          <w:top w:w="28" w:type="dxa"/>
          <w:left w:w="28" w:type="dxa"/>
          <w:bottom w:w="28" w:type="dxa"/>
          <w:right w:w="28" w:type="dxa"/>
        </w:tblCellMar>
      </w:tblPr>
      <w:tblGrid>
        <w:gridCol w:w="895"/>
        <w:gridCol w:w="786"/>
        <w:gridCol w:w="793"/>
        <w:gridCol w:w="109"/>
        <w:gridCol w:w="109"/>
        <w:gridCol w:w="109"/>
        <w:gridCol w:w="511"/>
        <w:gridCol w:w="2000"/>
        <w:gridCol w:w="264"/>
        <w:gridCol w:w="109"/>
        <w:gridCol w:w="109"/>
        <w:gridCol w:w="109"/>
        <w:gridCol w:w="548"/>
        <w:gridCol w:w="1872"/>
        <w:gridCol w:w="400"/>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redemption platform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Crypto services</w:t>
            </w:r>
            <w:r>
              <w:rPr>
                <w:rFonts w:ascii="Times New Roman;sans-serif" w:hAnsi="Times New Roman;sans-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726,988 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780,136 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56,224 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(b)Amounts are net of rebates and incentive payments of $0.1 million and $0.6 million for the years ended December 31, 2023 and December 31, 2022, respectively. Included in these amounts are amounts earned from related parties of less than $0.1 million for both years ended December 31, 2023 and December 31, 2022,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revenue from foreign jurisdictions of $15.9 million and $3.8 million for the years ended December 31, 2023 and December 31, 2022,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See Note 2 for additional information.</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years ended December 31, 2023 and December 31, 2022 was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943"/>
        <w:gridCol w:w="1696"/>
        <w:gridCol w:w="1707"/>
        <w:gridCol w:w="503"/>
        <w:gridCol w:w="1475"/>
        <w:gridCol w:w="263"/>
        <w:gridCol w:w="109"/>
        <w:gridCol w:w="109"/>
        <w:gridCol w:w="109"/>
        <w:gridCol w:w="491"/>
        <w:gridCol w:w="1435"/>
        <w:gridCol w:w="365"/>
      </w:tblGrid>
      <w:tr>
        <w:trPr/>
        <w:tc>
          <w:tcPr>
            <w:tcW w:w="194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contract liability</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from contract liabilities included in the beginning balance</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cash received, net of amounts recognized in revenue during the period</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contract liability</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amount of the transaction price allocated to the remaining performance obligations related to partially completed contracts was $21.6 million, comprised of $14.1 million of subscription fees and $7.5 million of service fees that are deferred. We will recognize our subscription fees as revenue over a weighted-average period of 25 months (ranges from 2 months – 33 months) and our service fees as revenue over a weighted-average period of 36 months.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aggregate amount of the transaction price allocated to the remaining performance obligations related to partially completed contracts is $27.5 million, comprised of $20.4 million of subscription fees and $7.1 million of service fees that are deferred. We will recognize our subscription fees as revenue over a weighted-average period of 35 months (ranges from 2 months – 45 months) and our service fees as revenue over a weighted-average period of 23 months.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Costs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December 31, 2022, we did not incur any incremental costs to obtain and/or fulfill contracts with customers,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4.Business Combinations and Asset Acquisition</w:t>
      </w:r>
    </w:p>
    <w:p>
      <w:pPr>
        <w:pStyle w:val="TextBody"/>
        <w:bidi w:val="0"/>
        <w:spacing w:lineRule="auto" w:line="333" w:before="240" w:after="283"/>
        <w:jc w:val="both"/>
        <w:rPr>
          <w:rFonts w:ascii="Times New Roman;sans-serif" w:hAnsi="Times New Roman;sans-serif"/>
          <w:b/>
          <w:i/>
          <w:color w:val="131313"/>
          <w:sz w:val="20"/>
        </w:rPr>
      </w:pPr>
      <w:r>
        <w:rPr>
          <w:rFonts w:ascii="Times New Roman;sans-serif" w:hAnsi="Times New Roman;sans-serif"/>
          <w:b/>
          <w:i/>
          <w:color w:val="131313"/>
          <w:sz w:val="20"/>
        </w:rPr>
        <w:t>Apex Crypto</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the fair value of consideration transferred in the acquisition to the fair value of the assets acquired and liabilities assumed.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tbl>
      <w:tblPr>
        <w:tblW w:w="7127" w:type="dxa"/>
        <w:jc w:val="left"/>
        <w:tblInd w:w="0" w:type="dxa"/>
        <w:tblLayout w:type="fixed"/>
        <w:tblCellMar>
          <w:top w:w="28" w:type="dxa"/>
          <w:left w:w="28" w:type="dxa"/>
          <w:bottom w:w="28" w:type="dxa"/>
          <w:right w:w="28" w:type="dxa"/>
        </w:tblCellMar>
      </w:tblPr>
      <w:tblGrid>
        <w:gridCol w:w="2147"/>
        <w:gridCol w:w="1882"/>
        <w:gridCol w:w="1895"/>
        <w:gridCol w:w="109"/>
        <w:gridCol w:w="109"/>
        <w:gridCol w:w="109"/>
        <w:gridCol w:w="211"/>
        <w:gridCol w:w="511"/>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working capital and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at transaction close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Class A common stock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payable in Class A common stock to Apex Crypto's former owners based on the performance of the business in the 2023-2025 annual periods was estimated using a Monte Carlo model given the range of possible outcomes.As of December 31, 2023, we determined the value of the contingent consideration was zero, based on our forward-looking projections and minimum profit requirements associated with the earnout and reversed the accrual through acquisition expenses.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generated by Apex Crypto from the acquisition date through December 31, 2023 was $725.9 million, and is included in the Company's statements of operations. Net loss generated by Apex Crypto from the acquisition date through December 31, 2023 was $39.9 million, and is included in the Company's statements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years ended December 31, 2023 and December 31, 2022 would be $1,225.5 million and $3,127.7 million, respectively. Proforma net loss for the years ended December 31, 2023 and December 31, 2022 would be $219.5 million and $2,004.1 million,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acquisition, we changed the name of Apex Crypto to Bakkt Crypto Solutions, LLC ("Bakkt Crypto").</w:t>
      </w:r>
    </w:p>
    <w:p>
      <w:pPr>
        <w:pStyle w:val="TextBody"/>
        <w:bidi w:val="0"/>
        <w:spacing w:lineRule="auto" w:line="333" w:before="240" w:after="283"/>
        <w:jc w:val="both"/>
        <w:rPr>
          <w:rFonts w:ascii="Times New Roman;sans-serif" w:hAnsi="Times New Roman;sans-serif"/>
          <w:b/>
          <w:i/>
          <w:color w:val="131313"/>
          <w:sz w:val="20"/>
        </w:rPr>
      </w:pPr>
      <w:r>
        <w:rPr>
          <w:rFonts w:ascii="Times New Roman;sans-serif" w:hAnsi="Times New Roman;sans-serif"/>
          <w:b/>
          <w:i/>
          <w:color w:val="131313"/>
          <w:sz w:val="20"/>
        </w:rPr>
        <w:t>Bumped Acquisition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2023, we acquired 100% of the units of Bumped Financial, LLC, which we subsequently renamed Bakkt Brokerage, LLC ("Bakkt Brokerage"), a broker-dealer registered with the SEC and the Financial Industry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5.Goodwill and Intangible Assets,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goodwill consisted of the following (in thousands): </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Apex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Analyses Performed During The Year Ended December 31, 2023</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determinative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within “Goodwill and intangible assets impairments” on the consolidated statement of operations of $16.6 million, $3.1 million and $3.7 million, respectively. No impairment of other long-lived assets was indicated. No goodwill impairment was indicated by the quantitative assessment.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September 30, 2023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we determined we would not be able to continue as a going concern for twelve months subsequent to the expected release of the 2023 financial statements absent additional equity financing. We determined this was a triggering event and conducted an additional impairment analysis on our indefinite-lived intangible assets, long-lived assets and goodwill. We determined the carrying value of our tradename exceeded its fair value by approximately $1.4 million and recognized a corresponding impairment loss. The fair value inputs associated with the tradename impairment loss are consistent with those described above, updated for revenue growth consistent with that observed since our impairment analysis performed as of the period ended September 30, 2023.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undiscounted and discounted cashflow analyses conducted for the loyalty asset group indicated that its limited prospects for growth resulted in full impairment of the loyalty intangible and long-lived assets (Level 3 inputs). Accordingly we recognized impairment losses associated with the acquired customer relationships, developed technology, property plant and equipment, and prepaid customer acquisition costs of $16.7 million, $8.6 million, $1.9 million, and $4.4 million, respectively. The right of use assets associated with the leased properties in the loyalty asset group were also impaired based on a fair market value analysis considering a hypothetical sublease of these properties (Level 2 inputs), resulting in an additional impairment loss of $4.5 million.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undiscounted and discounted cashflow analyses conducted for the crypto asset group used revenue projections that assumed retail trading and engagement metrics would remain at average 2023 levels for a significant period of time and limited the growth associated with our international expansion and institutional businesses given their limited performance track record (Level 3 inputs). The discounted cash flow impairment analysis indicated the acquired customer relationships, developed technology, property, plant and equipment, and licenses were fully impaired, resulting in impairment losses of $9.4 million, $8.0 million, $11.0 million, and $0.6 million, respectively. Certain right of use assets associated with leased properties were also impaired based on a fair market value analysis considering a hypothetical sublease of these properties (level 2 inputs), resulting in an additional impairment loss of $4.4 million.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above impairments, we determined that goodwill was not impaired based on a comparison of the remaining book value of equity to our market capitalization. We considered the existence of material nonpublic information as of December 31, 2023 related to going concern risk, the Concurrent Offerings, and subsequent declines in our market capitalization once the going concern risk was disclosed, in reaching this conclusion (Level 3 inputs). Further declines in our market capitalization or the failure to execute on business objectives could result in future goodwill or intangible asset impairments.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Analyses Performed During The Year Ended December 31,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commenced our annual strategic planning process which included updating expected crypto product activations in light of the crypto market volatility and elongation of decision timeframes for activations of crypto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determinative factors, including the elongated timing for expected crypto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a number of high-profile bankruptcies among crypto companies exacerbated the volatility in the market for our services we observed earlier in the year. This created a further depression of our stock price and created additional uncertainty about our ability to achieve the growth we expected when the impairment test as of September 30, 2022 was performed. Accordingly, we concluded our indefnite-lived intangible assets, long-lived assets and goodwill should be quantitatively tested for impairment as of December 31,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concluded the carrying value of the reporting unit exceeded its fair value and recorded an incremental goodwill impairment of $121.4 million.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were intended to be commensurate with the risks and uncertainty inherent in our business. Assumptions used, such as forecasted growth rates, capital expenditures, and our cost of capital, are consistent with our internal projections and operating plans at the time.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impairment analysis for the licenses intangible asset involved the use of an income approach which estimated the value of the in-place licenses as compared to cash flows if the licenses had to be obtained at a delay. Significant judgments used in this analysis are consistent with the inputs used in the income approach for the goodwill impairment analysis and the assumed time to obtain the licenses.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 </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The discount rate used in the valuations conducted during 2022 was 15.5%, which was </w:t>
      </w:r>
      <w:r>
        <w:rPr>
          <w:rFonts w:ascii="Times New Roman;sans-serif" w:hAnsi="Times New Roman;sans-serif"/>
          <w:b w:val="false"/>
          <w:color w:val="000000"/>
          <w:sz w:val="20"/>
          <w:shd w:fill="FFFFFF" w:val="clear"/>
        </w:rPr>
        <w:t>400</w:t>
      </w:r>
      <w:r>
        <w:rPr>
          <w:color w:val="000000"/>
        </w:rPr>
        <w:t xml:space="preserve"> </w:t>
      </w:r>
      <w:r>
        <w:rPr>
          <w:rFonts w:ascii="Times New Roman;sans-serif" w:hAnsi="Times New Roman;sans-serif"/>
          <w:b w:val="false"/>
          <w:color w:val="000000"/>
          <w:sz w:val="20"/>
        </w:rPr>
        <w:t xml:space="preserve">basis points higher than the discount rate assumed in the valuation of these intangibles for the VIH Business Combination. The higher discount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rate reflects the higher risk-free rate and beta observed as of September 30, 2022 and December 31, 2022 as compared to the October 15, 2021 VIH Business Combination valuation date.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was not impacted by foreign currency translation during the year ended December 31, 2023. Our goodwill was impacted by foreign currency translation of less than $0.1 million during the year ended December 31, 2022.</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w:t>
      </w:r>
    </w:p>
    <w:tbl>
      <w:tblPr>
        <w:tblW w:w="8907" w:type="dxa"/>
        <w:jc w:val="left"/>
        <w:tblInd w:w="0" w:type="dxa"/>
        <w:tblLayout w:type="fixed"/>
        <w:tblCellMar>
          <w:top w:w="28" w:type="dxa"/>
          <w:left w:w="28" w:type="dxa"/>
          <w:bottom w:w="28" w:type="dxa"/>
          <w:right w:w="28" w:type="dxa"/>
        </w:tblCellMar>
      </w:tblPr>
      <w:tblGrid>
        <w:gridCol w:w="785"/>
        <w:gridCol w:w="691"/>
        <w:gridCol w:w="698"/>
        <w:gridCol w:w="339"/>
        <w:gridCol w:w="339"/>
        <w:gridCol w:w="341"/>
        <w:gridCol w:w="109"/>
        <w:gridCol w:w="109"/>
        <w:gridCol w:w="109"/>
        <w:gridCol w:w="211"/>
        <w:gridCol w:w="721"/>
        <w:gridCol w:w="109"/>
        <w:gridCol w:w="109"/>
        <w:gridCol w:w="109"/>
        <w:gridCol w:w="109"/>
        <w:gridCol w:w="248"/>
        <w:gridCol w:w="868"/>
        <w:gridCol w:w="130"/>
        <w:gridCol w:w="109"/>
        <w:gridCol w:w="109"/>
        <w:gridCol w:w="109"/>
        <w:gridCol w:w="224"/>
        <w:gridCol w:w="796"/>
        <w:gridCol w:w="118"/>
        <w:gridCol w:w="109"/>
        <w:gridCol w:w="109"/>
        <w:gridCol w:w="109"/>
        <w:gridCol w:w="211"/>
        <w:gridCol w:w="616"/>
        <w:gridCol w:w="154"/>
      </w:tblGrid>
      <w:tr>
        <w:trPr/>
        <w:tc>
          <w:tcPr>
            <w:tcW w:w="7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Useful Life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00" w:type="dxa"/>
        <w:jc w:val="left"/>
        <w:tblInd w:w="0" w:type="dxa"/>
        <w:tblLayout w:type="fixed"/>
        <w:tblCellMar>
          <w:top w:w="28" w:type="dxa"/>
          <w:left w:w="28" w:type="dxa"/>
          <w:bottom w:w="28" w:type="dxa"/>
          <w:right w:w="28" w:type="dxa"/>
        </w:tblCellMar>
      </w:tblPr>
      <w:tblGrid>
        <w:gridCol w:w="785"/>
        <w:gridCol w:w="691"/>
        <w:gridCol w:w="698"/>
        <w:gridCol w:w="339"/>
        <w:gridCol w:w="339"/>
        <w:gridCol w:w="341"/>
        <w:gridCol w:w="109"/>
        <w:gridCol w:w="109"/>
        <w:gridCol w:w="109"/>
        <w:gridCol w:w="211"/>
        <w:gridCol w:w="826"/>
        <w:gridCol w:w="109"/>
        <w:gridCol w:w="109"/>
        <w:gridCol w:w="109"/>
        <w:gridCol w:w="109"/>
        <w:gridCol w:w="248"/>
        <w:gridCol w:w="868"/>
        <w:gridCol w:w="130"/>
        <w:gridCol w:w="109"/>
        <w:gridCol w:w="109"/>
        <w:gridCol w:w="109"/>
        <w:gridCol w:w="211"/>
        <w:gridCol w:w="901"/>
        <w:gridCol w:w="109"/>
        <w:gridCol w:w="109"/>
        <w:gridCol w:w="109"/>
        <w:gridCol w:w="109"/>
        <w:gridCol w:w="211"/>
        <w:gridCol w:w="721"/>
        <w:gridCol w:w="154"/>
      </w:tblGrid>
      <w:tr>
        <w:trPr/>
        <w:tc>
          <w:tcPr>
            <w:tcW w:w="7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Useful Life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 trade names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years ended December 31, 2023 and December 31, 2022 was $8.8 million and $21.8 million, respectively, and is included in “Depreciation and amortization” in the consolidated statements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for definite-lived intangible assets as of December 31, 2023 is zero as our finite lived intangible assets have been fully impaired.</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Intangible assets also include crypto we own, which are accounted for as indefinite-lived intangible assets and are initially measured at cost (under a first-in, first-out basis) under the guidance in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These assets are not amortized, but assessed for impairment continually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years ended December 31, 2023 and December 31, 2022. Our owned crypto are typically liquidated on a daily basis during the fulfillment of customer orders and settlement with our liquidity providers. We classify cash flows from crypto within cash flows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6.Consolidated Balance Sheet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tbl>
      <w:tblPr>
        <w:tblW w:w="7345" w:type="dxa"/>
        <w:jc w:val="left"/>
        <w:tblInd w:w="0" w:type="dxa"/>
        <w:tblLayout w:type="fixed"/>
        <w:tblCellMar>
          <w:top w:w="28" w:type="dxa"/>
          <w:left w:w="28" w:type="dxa"/>
          <w:bottom w:w="28" w:type="dxa"/>
          <w:right w:w="28" w:type="dxa"/>
        </w:tblCellMar>
      </w:tblPr>
      <w:tblGrid>
        <w:gridCol w:w="1276"/>
        <w:gridCol w:w="1122"/>
        <w:gridCol w:w="1126"/>
        <w:gridCol w:w="349"/>
        <w:gridCol w:w="1195"/>
        <w:gridCol w:w="180"/>
        <w:gridCol w:w="109"/>
        <w:gridCol w:w="109"/>
        <w:gridCol w:w="109"/>
        <w:gridCol w:w="344"/>
        <w:gridCol w:w="1175"/>
        <w:gridCol w:w="251"/>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clients and liquidity providers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includes cash, as noted on the consolidated statements of cash flows, at clearing agencies used to settle customer transactions. Amounts payable and receivable to our liquidity providers are reported net by counterparty when the right of offset exists.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Current Assets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(in thousands):</w:t>
      </w:r>
    </w:p>
    <w:tbl>
      <w:tblPr>
        <w:tblW w:w="5335" w:type="dxa"/>
        <w:jc w:val="left"/>
        <w:tblInd w:w="0" w:type="dxa"/>
        <w:tblLayout w:type="fixed"/>
        <w:tblCellMar>
          <w:top w:w="28" w:type="dxa"/>
          <w:left w:w="28" w:type="dxa"/>
          <w:bottom w:w="28" w:type="dxa"/>
          <w:right w:w="28" w:type="dxa"/>
        </w:tblCellMar>
      </w:tblPr>
      <w:tblGrid>
        <w:gridCol w:w="549"/>
        <w:gridCol w:w="481"/>
        <w:gridCol w:w="485"/>
        <w:gridCol w:w="387"/>
        <w:gridCol w:w="1135"/>
        <w:gridCol w:w="202"/>
        <w:gridCol w:w="109"/>
        <w:gridCol w:w="109"/>
        <w:gridCol w:w="109"/>
        <w:gridCol w:w="380"/>
        <w:gridCol w:w="1110"/>
        <w:gridCol w:w="27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(in thousands):</w:t>
      </w:r>
    </w:p>
    <w:tbl>
      <w:tblPr>
        <w:tblW w:w="7976" w:type="dxa"/>
        <w:jc w:val="left"/>
        <w:tblInd w:w="0" w:type="dxa"/>
        <w:tblLayout w:type="fixed"/>
        <w:tblCellMar>
          <w:top w:w="28" w:type="dxa"/>
          <w:left w:w="28" w:type="dxa"/>
          <w:bottom w:w="28" w:type="dxa"/>
          <w:right w:w="28" w:type="dxa"/>
        </w:tblCellMar>
      </w:tblPr>
      <w:tblGrid>
        <w:gridCol w:w="1503"/>
        <w:gridCol w:w="1321"/>
        <w:gridCol w:w="1330"/>
        <w:gridCol w:w="501"/>
        <w:gridCol w:w="964"/>
        <w:gridCol w:w="260"/>
        <w:gridCol w:w="109"/>
        <w:gridCol w:w="109"/>
        <w:gridCol w:w="109"/>
        <w:gridCol w:w="344"/>
        <w:gridCol w:w="1175"/>
        <w:gridCol w:w="25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computer and network equipment</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gross</w:t>
            </w:r>
          </w:p>
        </w:tc>
        <w:tc>
          <w:tcPr>
            <w:tcW w:w="14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and depreciation.</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December 31, 2022, depreciation and amortization expense related to property, equipment and software amounted to $5.1 million and $3.5 million, respectively, of which $1.8 million and $1.7 million, respectively, related to amortization expense of capitalized internal-use software placed in service.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conducted a quantitative impairment test of long-lived assets as of December 31, 2023 and concluded certain leasehold improvements, office furniture and equipment and internal use software were fully impaired. An impairment charge of $21.3 million was recognized in “Impairment of long-lived assets” in the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operations. Significant judgments in this analysis include the division of long-lived assets into asset groups and cashflow assumptions that are consistent with the inputs used in the income approach for the goodwill impairment analysis. See Note 5 for additional information.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conducted a quantitative impairment test of long-lived assets as of December 31, 2022 and concluded certain internal use software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Deposits with Clearinghouse</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Total deposits at clearinghouses amounted to $0.2 million and $15.2 million as of December 31, 2023 and December 31, 2022, respectively. Deposits with clearinghouse historically have primarily consisted of the ICE Clear US, Inc. ("ICUS") default resource contribution; however, as described further in Note 8, ICUS returned the contribution on September 29, 2023, as a result of the recent delisting of </w:t>
      </w:r>
      <w:r>
        <w:rPr>
          <w:rFonts w:ascii="Times New Roman;sans-serif" w:hAnsi="Times New Roman;sans-serif"/>
          <w:b w:val="false"/>
          <w:color w:val="231F20"/>
          <w:sz w:val="20"/>
        </w:rPr>
        <w:t>Bakkt Bitcoin futures and option contracts by IFUS.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6701" w:type="dxa"/>
        <w:jc w:val="left"/>
        <w:tblInd w:w="0" w:type="dxa"/>
        <w:tblLayout w:type="fixed"/>
        <w:tblCellMar>
          <w:top w:w="28" w:type="dxa"/>
          <w:left w:w="28" w:type="dxa"/>
          <w:bottom w:w="28" w:type="dxa"/>
          <w:right w:w="28" w:type="dxa"/>
        </w:tblCellMar>
      </w:tblPr>
      <w:tblGrid>
        <w:gridCol w:w="1043"/>
        <w:gridCol w:w="916"/>
        <w:gridCol w:w="921"/>
        <w:gridCol w:w="349"/>
        <w:gridCol w:w="1195"/>
        <w:gridCol w:w="180"/>
        <w:gridCol w:w="109"/>
        <w:gridCol w:w="109"/>
        <w:gridCol w:w="109"/>
        <w:gridCol w:w="344"/>
        <w:gridCol w:w="1175"/>
        <w:gridCol w:w="25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conducted a quantitative impairment test of long-lived assets as of December 31, 2023 and concluded certain right-of-use assets were fully impaired, while certain other right-of-use assets were partially impaired. An impairment charge of $8.9 million was recognized in “Impairment of long-lived assets” in the consolidated statements of operations. Significant judgments in this analysis include the division of long-lived assets into asset groups, discount rates and the market comparable properties included in the hypothetical sublease analysis (Level 2 inputs).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Payable and Accrued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consisted of the following (in thousands):</w:t>
      </w:r>
    </w:p>
    <w:tbl>
      <w:tblPr>
        <w:tblW w:w="6656" w:type="dxa"/>
        <w:jc w:val="left"/>
        <w:tblInd w:w="0" w:type="dxa"/>
        <w:tblLayout w:type="fixed"/>
        <w:tblCellMar>
          <w:top w:w="28" w:type="dxa"/>
          <w:left w:w="28" w:type="dxa"/>
          <w:bottom w:w="28" w:type="dxa"/>
          <w:right w:w="28" w:type="dxa"/>
        </w:tblCellMar>
      </w:tblPr>
      <w:tblGrid>
        <w:gridCol w:w="1027"/>
        <w:gridCol w:w="902"/>
        <w:gridCol w:w="906"/>
        <w:gridCol w:w="349"/>
        <w:gridCol w:w="1195"/>
        <w:gridCol w:w="180"/>
        <w:gridCol w:w="109"/>
        <w:gridCol w:w="109"/>
        <w:gridCol w:w="109"/>
        <w:gridCol w:w="344"/>
        <w:gridCol w:w="1175"/>
        <w:gridCol w:w="25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clients and customers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Purchasing card payable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 payable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Loyalty revenue share liability</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7600" w:type="dxa"/>
        <w:jc w:val="left"/>
        <w:tblInd w:w="0" w:type="dxa"/>
        <w:tblLayout w:type="fixed"/>
        <w:tblCellMar>
          <w:top w:w="28" w:type="dxa"/>
          <w:left w:w="28" w:type="dxa"/>
          <w:bottom w:w="28" w:type="dxa"/>
          <w:right w:w="28" w:type="dxa"/>
        </w:tblCellMar>
      </w:tblPr>
      <w:tblGrid>
        <w:gridCol w:w="1369"/>
        <w:gridCol w:w="1204"/>
        <w:gridCol w:w="1207"/>
        <w:gridCol w:w="387"/>
        <w:gridCol w:w="1135"/>
        <w:gridCol w:w="202"/>
        <w:gridCol w:w="109"/>
        <w:gridCol w:w="109"/>
        <w:gridCol w:w="109"/>
        <w:gridCol w:w="380"/>
        <w:gridCol w:w="1110"/>
        <w:gridCol w:w="279"/>
      </w:tblGrid>
      <w:tr>
        <w:trPr/>
        <w:tc>
          <w:tcPr>
            <w:tcW w:w="13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units liability, current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 liability</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Noncurrent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consisted of the following (in thousands):</w:t>
      </w:r>
    </w:p>
    <w:tbl>
      <w:tblPr>
        <w:tblW w:w="6881" w:type="dxa"/>
        <w:jc w:val="left"/>
        <w:tblInd w:w="0" w:type="dxa"/>
        <w:tblLayout w:type="fixed"/>
        <w:tblCellMar>
          <w:top w:w="28" w:type="dxa"/>
          <w:left w:w="28" w:type="dxa"/>
          <w:bottom w:w="28" w:type="dxa"/>
          <w:right w:w="28" w:type="dxa"/>
        </w:tblCellMar>
      </w:tblPr>
      <w:tblGrid>
        <w:gridCol w:w="1108"/>
        <w:gridCol w:w="973"/>
        <w:gridCol w:w="979"/>
        <w:gridCol w:w="349"/>
        <w:gridCol w:w="1195"/>
        <w:gridCol w:w="180"/>
        <w:gridCol w:w="109"/>
        <w:gridCol w:w="109"/>
        <w:gridCol w:w="109"/>
        <w:gridCol w:w="344"/>
        <w:gridCol w:w="1175"/>
        <w:gridCol w:w="251"/>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receivable and payable included in the tables above related to our crypto transactions pending settlement with our customers and liquidity providers were settled in early 2024 in amounts consistent with those reflected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7.Tax Receivable Agreement</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On October 15, 2021, we entered into a Tax Receivable Agreement (“TRA”) with certain Opco equity holders. Each Opco common unit, when coupled with one share of our Class V common stock is referred to as a “Paired Interest.”</w:t>
      </w:r>
      <w:r>
        <w:rPr>
          <w:color w:val="000000"/>
        </w:rPr>
        <w:t xml:space="preserve"> </w:t>
      </w:r>
      <w:r>
        <w:rPr>
          <w:rFonts w:ascii="Times New Roman;sans-serif" w:hAnsi="Times New Roman;sans-serif"/>
          <w:b w:val="false"/>
          <w:color w:val="000000"/>
          <w:sz w:val="20"/>
        </w:rPr>
        <w:t>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2023, 25,952,197 Opco common units were exchanged for Class A common stock. Refer to Note 14 regarding the contingency related to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8.Related Parties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ICE Management and Technical Support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$2.8 million and $1.2 million of expense related to the ICE TSA for the years ended December 31, 2023 and December 31, 2022, respectively, which are reflected as “Related party expenses” in the consolidated statements of operations. As of December 31, 2023 and December 31, 2022, we had $3.0 million and $1.2 million, respectively, reflected as “Due to related party” in the consolidated balance sheets related to the ICE TSA. The agreement terminated in December 2023.</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Triparty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2023 and December 31, 2022,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 The contribution requirement was $15.2 million as of December 31, 2022. The contribution was reflected as “Deposits with clearinghouse” in the consolidated balance sheets.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Apex Crypto Technical Support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$1.1 million of expense related to the Apex TSA during the year ended December 31, 2023, which is reflected as “Related party expenses” in the consolidated statements of operations. As of December 31, 2023, we had $0.2 million reflected as “Due to related party” in the consolidated balance sheets related to the Apex TSA.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9.Warrants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there were 7,140,808 public warrants outstanding, respectively. Public warrants may only be exercised for a whole number of shares. No fractional shares will be issued upon exercise of a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did not issue any shares of Class A common stock in exchange for the exercise of public warrants, nor did we receive any proceeds from the exercise of the public warrants. During the year ended December 31, 2022, we issued 221 shares of Class A common stock in exchange for the exercise of 221 public warrants. We received less than $0.1 million in proceeds from the exercise of the public warrants. We recognized a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the change in fair value of the warrant liability during the year ended December 31, 2023 of $1.6 million, which is reflected in “(Loss) gain from change in fair value of warrant liability” in the consolidated statements of operations. We recognized a gain from the change in fair value of the warrant liability during the year ended December 31, 2022 of $16.6 million, which is reflected in “(Loss) gain from change in fair value of warrant liability”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10.Stockholders’ Equity</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2023, no shares of preferred stock have been issued.</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2023 and December 31, 2022, there were 94,845,942 and 80,926,843 shares of Class A common stock issued and outstanding, respectively.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December 31, 2023, no dividends have been declared.</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year ended December 31, 2023, there were 3.5 million Paired Interests exchanged for our Class A common stock, and the Company did not elect to settle any such exchanges in cash. As of December 31, 2023 and December 31, 2022, there were 180,001,606 and 183,482,777 shares of Class V common stock issued and outstanding,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will not be declared or paid on the Class V common stock. </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shall not be entitled to receive any of our assets.</w:t>
      </w:r>
    </w:p>
    <w:p>
      <w:pPr>
        <w:pStyle w:val="TextBody"/>
        <w:bidi w:val="0"/>
        <w:spacing w:lineRule="auto" w:line="333"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interest in Opco as of December 31, 2023 and December 31, 2022:</w:t>
      </w:r>
    </w:p>
    <w:tbl>
      <w:tblPr>
        <w:tblW w:w="10205" w:type="dxa"/>
        <w:jc w:val="left"/>
        <w:tblInd w:w="0" w:type="dxa"/>
        <w:tblLayout w:type="fixed"/>
        <w:tblCellMar>
          <w:top w:w="28" w:type="dxa"/>
          <w:left w:w="28" w:type="dxa"/>
          <w:bottom w:w="28" w:type="dxa"/>
          <w:right w:w="28" w:type="dxa"/>
        </w:tblCellMar>
      </w:tblPr>
      <w:tblGrid>
        <w:gridCol w:w="1580"/>
        <w:gridCol w:w="1302"/>
        <w:gridCol w:w="1311"/>
        <w:gridCol w:w="592"/>
        <w:gridCol w:w="594"/>
        <w:gridCol w:w="421"/>
        <w:gridCol w:w="269"/>
        <w:gridCol w:w="268"/>
        <w:gridCol w:w="671"/>
        <w:gridCol w:w="109"/>
        <w:gridCol w:w="109"/>
        <w:gridCol w:w="109"/>
        <w:gridCol w:w="592"/>
        <w:gridCol w:w="594"/>
        <w:gridCol w:w="421"/>
        <w:gridCol w:w="260"/>
        <w:gridCol w:w="255"/>
        <w:gridCol w:w="748"/>
      </w:tblGrid>
      <w:tr>
        <w:trPr/>
        <w:tc>
          <w:tcPr>
            <w:tcW w:w="158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Opco</w:t>
              <w:br/>
              <w:t>Common Units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Opco</w:t>
              <w:br/>
              <w:t>Common Units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w:t>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 held by Bakkt Holdings, Inc.</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94,845,942 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80,926,843 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 held by noncontrolling interest holders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180,001,606 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183,482,777 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Opco common units outstanding</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274,847,548 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264,409,620 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2023 and December 31, 2022 was 67.0% and 72.6%, respectively.</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Members’ Equity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VIH Business Combination, Opco had three classes of voting units – Class A, Class B and Class C voting units – and incentive units granted under the Opco Incentive Equity Plan (the “Opco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Class C Warrant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$1.6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Opco amended the Class C Warrant to change the service conditions for 781,515 warrant units. The service conditions for the remaining 2,822,085 units were unchanged.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Opco accounted for the amendment as a modification and remeasured the fair value of the modified warrant units on the modification date using the Black-Scholes model. The fair value of the modified warrant units on modification date was estimated to be $1.0 million. The key inputs used in the valuation were as follows:</w:t>
      </w:r>
    </w:p>
    <w:tbl>
      <w:tblPr>
        <w:tblW w:w="2807" w:type="dxa"/>
        <w:jc w:val="left"/>
        <w:tblInd w:w="0" w:type="dxa"/>
        <w:tblLayout w:type="fixed"/>
        <w:tblCellMar>
          <w:top w:w="28" w:type="dxa"/>
          <w:left w:w="28" w:type="dxa"/>
          <w:bottom w:w="28" w:type="dxa"/>
          <w:right w:w="28" w:type="dxa"/>
        </w:tblCellMar>
      </w:tblPr>
      <w:tblGrid>
        <w:gridCol w:w="679"/>
        <w:gridCol w:w="597"/>
        <w:gridCol w:w="599"/>
        <w:gridCol w:w="307"/>
        <w:gridCol w:w="309"/>
        <w:gridCol w:w="31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VIH Business Combination, the modified warrant units automatically converted into the right to purchase 793,352 Paired Interests in Opco at an exercise price of $5.04 per Paired Interest. As of December 31, 2023 and December 31, 2022, 172,055 modified warrant units have vested but have not been exercised, and the remaining 621,297 warrant units have not vested or been exercised. No expenses were recorded in the years ended December 31, 2023 or December 31, 2022 since the service conditions were not probable of being met in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11.Share-Based and Unit-Based Compensation</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2021 Incentive Plan</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Our 2021 Omnibus Incentive Plan, as amended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26,590,466 shares the number of authorized shares of Class A common stock available for issuance for a new aggregate total of 52,407,412 shares authorized. No award may vest earlier than the first anniversary of the date of grant, subject to limited conditions.</w:t>
      </w:r>
      <w:r>
        <w:rPr>
          <w:color w:val="000000"/>
        </w:rPr>
        <w:t xml:space="preserve"> </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granted 7,783,077 RSUs and 673,627 PSUs, which represents 100% of the target award, to employees and directors. During the year ended December 31, 2022, we granted 10,251,747 RSUs and 5,116,984 PSUs, which represents 100% of the target award, to employees and directors.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$15.1 million and $23.9 million of share-based compensation expense related to RSUs for the years ended December 31, 2023 and December 31, 2022, respectively. We recorded $0.3 million and $7.7 million of share-based compensation expense related to PSUs for the years ended December 31, 2023 and December 31, 2022, respectively. Share-based compensation expense for both RSUs and PSUs is included in “Compensation and benefits”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December 31, 2023 and December 31, 2022, respectively, was $14.3 million and $29.9 million for the RSUs and PSUs. The unrecognized compensation expense as of December 31, 2023 and December 31, 2022 will be recognized over a weighted-average period of 1.38 years and 2.05 years, respectively.</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RSU and PSU Activity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and PSU activity under the 2021 Incentive Plan for the years ended December 31, 2023 and December 31, 2022 (in thousands, except per unit data):</w:t>
      </w:r>
    </w:p>
    <w:tbl>
      <w:tblPr>
        <w:tblW w:w="10205" w:type="dxa"/>
        <w:jc w:val="left"/>
        <w:tblInd w:w="0" w:type="dxa"/>
        <w:tblLayout w:type="fixed"/>
        <w:tblCellMar>
          <w:top w:w="28" w:type="dxa"/>
          <w:left w:w="28" w:type="dxa"/>
          <w:bottom w:w="28" w:type="dxa"/>
          <w:right w:w="28" w:type="dxa"/>
        </w:tblCellMar>
      </w:tblPr>
      <w:tblGrid>
        <w:gridCol w:w="803"/>
        <w:gridCol w:w="702"/>
        <w:gridCol w:w="614"/>
        <w:gridCol w:w="360"/>
        <w:gridCol w:w="361"/>
        <w:gridCol w:w="279"/>
        <w:gridCol w:w="109"/>
        <w:gridCol w:w="109"/>
        <w:gridCol w:w="109"/>
        <w:gridCol w:w="949"/>
        <w:gridCol w:w="949"/>
        <w:gridCol w:w="952"/>
        <w:gridCol w:w="109"/>
        <w:gridCol w:w="109"/>
        <w:gridCol w:w="109"/>
        <w:gridCol w:w="548"/>
        <w:gridCol w:w="1330"/>
        <w:gridCol w:w="285"/>
        <w:gridCol w:w="109"/>
        <w:gridCol w:w="109"/>
        <w:gridCol w:w="109"/>
        <w:gridCol w:w="211"/>
        <w:gridCol w:w="721"/>
        <w:gridCol w:w="160"/>
      </w:tblGrid>
      <w:tr>
        <w:trPr/>
        <w:tc>
          <w:tcPr>
            <w:tcW w:w="80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RSUs and PSUs</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December 31, 2022, we recorded $2.3 million and $2.0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$2.0 million and $1.9 million during the years ended December 31, 2023 and December 31, 2022,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vested RSU and PSU awards was $8.7 million and $6.5 million for the years ended December 31, 2023 and December 31, 2022, respectively.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RSUs and PSUs used in determining share-based compensation expense is based on the closing price of our common stock on the grant date.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 performance conditions. The metrics for PSUs granted during 2022 relate to our performance during fiscal years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Opco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the Company classified participation units as liability awards on its consolidated balance sheets as of December 31, 2022. At the Company’s discretion, the Company settled the final tranche of vested participation units in October 2023 by issuing 111,794 shares of Class A common stock in lieu of making cash payments.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Unit-Based Compensation Expense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Unit-based compensation expense for the years ended December 31, 2023 and December 31, 2022, was as follows (in thousands):</w:t>
      </w:r>
    </w:p>
    <w:tbl>
      <w:tblPr>
        <w:tblW w:w="7466" w:type="dxa"/>
        <w:jc w:val="left"/>
        <w:tblInd w:w="0" w:type="dxa"/>
        <w:tblLayout w:type="fixed"/>
        <w:tblCellMar>
          <w:top w:w="28" w:type="dxa"/>
          <w:left w:w="28" w:type="dxa"/>
          <w:bottom w:w="28" w:type="dxa"/>
          <w:right w:w="28" w:type="dxa"/>
        </w:tblCellMar>
      </w:tblPr>
      <w:tblGrid>
        <w:gridCol w:w="743"/>
        <w:gridCol w:w="654"/>
        <w:gridCol w:w="658"/>
        <w:gridCol w:w="568"/>
        <w:gridCol w:w="1659"/>
        <w:gridCol w:w="293"/>
        <w:gridCol w:w="109"/>
        <w:gridCol w:w="109"/>
        <w:gridCol w:w="109"/>
        <w:gridCol w:w="551"/>
        <w:gridCol w:w="1611"/>
        <w:gridCol w:w="402"/>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unit</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incentive unit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 unit</w:t>
            </w:r>
          </w:p>
        </w:tc>
        <w:tc>
          <w:tcPr>
            <w:tcW w:w="2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all Common Incentive Units and Participation Units had vested or been forfeited and there was no unrecognized unit-based compensation expense.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2023.</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Incentive Unit Activity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incentive unit activity under the Opco Plan for the years ended December 31, 2023 and December 31, 2022 (in thousands, except per unit data):</w:t>
      </w:r>
    </w:p>
    <w:tbl>
      <w:tblPr>
        <w:tblW w:w="10205" w:type="dxa"/>
        <w:jc w:val="left"/>
        <w:tblInd w:w="0" w:type="dxa"/>
        <w:tblLayout w:type="fixed"/>
        <w:tblCellMar>
          <w:top w:w="28" w:type="dxa"/>
          <w:left w:w="28" w:type="dxa"/>
          <w:bottom w:w="28" w:type="dxa"/>
          <w:right w:w="28" w:type="dxa"/>
        </w:tblCellMar>
      </w:tblPr>
      <w:tblGrid>
        <w:gridCol w:w="907"/>
        <w:gridCol w:w="713"/>
        <w:gridCol w:w="693"/>
        <w:gridCol w:w="360"/>
        <w:gridCol w:w="361"/>
        <w:gridCol w:w="318"/>
        <w:gridCol w:w="1074"/>
        <w:gridCol w:w="1074"/>
        <w:gridCol w:w="1077"/>
        <w:gridCol w:w="616"/>
        <w:gridCol w:w="1497"/>
        <w:gridCol w:w="321"/>
        <w:gridCol w:w="211"/>
        <w:gridCol w:w="826"/>
        <w:gridCol w:w="157"/>
      </w:tblGrid>
      <w:tr>
        <w:trPr/>
        <w:tc>
          <w:tcPr>
            <w:tcW w:w="90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Incentive Units</w:t>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Incentive</w:t>
              <w:br/>
              <w:t>Units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(years)</w:t>
            </w:r>
          </w:p>
        </w:tc>
        <w:tc>
          <w:tcPr>
            <w:tcW w:w="2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unvested Incentive Units as of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participation units granted during the years ended December 31, 2023 or December 31, 2022. As of December 31, 2023, there were no participation units outstanding. As of December 31, 2022, the total number of participation units outstanding were 0.2 million. The fair value of the participation units as of December 31, 2022 was $0.3 million. During the years ended December 31, 2023 and December 31, 2022 we made cash payments of less than $0.1 million and $0.5 million, respectively, to settle vested participation units. At the Company’s discretion, the Company settled the final tranche of vested participation units in October 2023 by issuing 111,794 shares of Class A common stock in lieu of making cash payments.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Determination of Fair Value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Expected term – The expected term represents the period that a unit is expected to be outstanding.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Volatility – Opco has limited historical data available to derive its own stock price volatility. As such, Opco estimates stock price volatility based on the average historic price volatility of comparable public industry peers.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Risk-free interest rate – The risk-free rate is based on the U.S. Treasury yield curve in effect on the grant date for securities with similar expected terms to the term of Opco’s incentive units.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Expected dividends – Expected dividends is assumed to be zero as Opco has not paid and does not expect to pay cash dividends or non-liquidating distributions.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Discount for lack of marketability – an estimated two year time to exit certain awards and the six month lock-up restriction on certain awards is reflected as a discount for lack of marketability estimated using the Finnerty model.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inputs used in the models to estimate the fair value of the common incentive units and participation units granted in 2021 are summarized as follows: </w:t>
      </w:r>
    </w:p>
    <w:tbl>
      <w:tblPr>
        <w:tblW w:w="4423" w:type="dxa"/>
        <w:jc w:val="left"/>
        <w:tblInd w:w="0" w:type="dxa"/>
        <w:tblLayout w:type="fixed"/>
        <w:tblCellMar>
          <w:top w:w="28" w:type="dxa"/>
          <w:left w:w="28" w:type="dxa"/>
          <w:bottom w:w="28" w:type="dxa"/>
          <w:right w:w="28" w:type="dxa"/>
        </w:tblCellMar>
      </w:tblPr>
      <w:tblGrid>
        <w:gridCol w:w="1037"/>
        <w:gridCol w:w="912"/>
        <w:gridCol w:w="915"/>
        <w:gridCol w:w="454"/>
        <w:gridCol w:w="454"/>
        <w:gridCol w:w="651"/>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r>
        <w:trPr/>
        <w:tc>
          <w:tcPr>
            <w:tcW w:w="2864" w:type="dxa"/>
            <w:gridSpan w:val="3"/>
            <w:tcBorders/>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0.06% - 0.36%</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51.00% - 53.00%</w:t>
            </w:r>
          </w:p>
        </w:tc>
      </w:tr>
      <w:tr>
        <w:trPr/>
        <w:tc>
          <w:tcPr>
            <w:tcW w:w="2864" w:type="dxa"/>
            <w:gridSpan w:val="3"/>
            <w:tcBorders/>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0.50 - 2.00</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9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for lack of marketability</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12.Net Loss per Share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denominators of the basic and diluted per share computations for net loss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29"/>
        <w:gridCol w:w="1457"/>
        <w:gridCol w:w="1463"/>
        <w:gridCol w:w="450"/>
        <w:gridCol w:w="1903"/>
        <w:gridCol w:w="230"/>
        <w:gridCol w:w="109"/>
        <w:gridCol w:w="109"/>
        <w:gridCol w:w="109"/>
        <w:gridCol w:w="394"/>
        <w:gridCol w:w="1960"/>
        <w:gridCol w:w="292"/>
      </w:tblGrid>
      <w:tr>
        <w:trPr/>
        <w:tc>
          <w:tcPr>
            <w:tcW w:w="172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2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(1,989,934)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23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(150,958)</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(1,411,829)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basic</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(74,854)</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(578,105)</w:t>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tax effect attributable to noncontrolling interests</w:t>
            </w:r>
          </w:p>
        </w:tc>
        <w:tc>
          <w:tcPr>
            <w:tcW w:w="4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Bakkt Holdings, Inc. – diluted</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(578,105)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240" w:after="283"/>
              <w:jc w:val="both"/>
              <w:rPr/>
            </w:pPr>
            <w:r>
              <w:rPr/>
            </w:r>
          </w:p>
        </w:tc>
        <w:tc>
          <w:tcPr>
            <w:tcW w:w="25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 – basic and diluted:</w:t>
            </w:r>
          </w:p>
        </w:tc>
        <w:tc>
          <w:tcPr>
            <w:tcW w:w="2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23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89,083,329 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71,167,992 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2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89,083,329 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71,167,992 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diluted</w:t>
            </w:r>
          </w:p>
        </w:tc>
        <w:tc>
          <w:tcPr>
            <w:tcW w:w="4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shares that are contingently issuable as part of the Bakkt Crypto acquisition have been included in the calculation of diluted EPS as no amounts are payable as of December 31, 2023. The following table summarizes the total potential common shares excluded from diluted loss per common share as their effect would be anti-dilutive (in thousands):</w:t>
      </w:r>
    </w:p>
    <w:tbl>
      <w:tblPr>
        <w:tblW w:w="6056" w:type="dxa"/>
        <w:jc w:val="left"/>
        <w:tblInd w:w="0" w:type="dxa"/>
        <w:tblLayout w:type="fixed"/>
        <w:tblCellMar>
          <w:top w:w="28" w:type="dxa"/>
          <w:left w:w="28" w:type="dxa"/>
          <w:bottom w:w="28" w:type="dxa"/>
          <w:right w:w="28" w:type="dxa"/>
        </w:tblCellMar>
      </w:tblPr>
      <w:tblGrid>
        <w:gridCol w:w="941"/>
        <w:gridCol w:w="822"/>
        <w:gridCol w:w="832"/>
        <w:gridCol w:w="514"/>
        <w:gridCol w:w="514"/>
        <w:gridCol w:w="516"/>
        <w:gridCol w:w="109"/>
        <w:gridCol w:w="109"/>
        <w:gridCol w:w="109"/>
        <w:gridCol w:w="465"/>
        <w:gridCol w:w="465"/>
        <w:gridCol w:w="660"/>
      </w:tblGrid>
      <w:tr>
        <w:trPr/>
        <w:tc>
          <w:tcPr>
            <w:tcW w:w="94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As of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12,645 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warrants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unvested incentive units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 common units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180,002 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181,241 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200,581 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205,199 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13.Capital Requirements</w:t>
      </w:r>
    </w:p>
    <w:p>
      <w:pPr>
        <w:pStyle w:val="TextBody"/>
        <w:bidi w:val="0"/>
        <w:spacing w:lineRule="auto" w:line="333" w:before="240" w:after="283"/>
        <w:ind w:left="0" w:right="0" w:firstLine="720"/>
        <w:jc w:val="both"/>
        <w:rPr/>
      </w:pPr>
      <w:r>
        <w:rPr>
          <w:rFonts w:ascii="Times New Roman;sans-serif" w:hAnsi="Times New Roman;sans-serif"/>
          <w:b/>
          <w:color w:val="000000"/>
          <w:sz w:val="20"/>
        </w:rPr>
        <w:t xml:space="preserve">Bakkt Trust </w:t>
      </w:r>
      <w:r>
        <w:rPr>
          <w:rFonts w:ascii="Times New Roman;sans-serif" w:hAnsi="Times New Roman;sans-serif"/>
          <w:b w:val="false"/>
          <w:color w:val="000000"/>
          <w:sz w:val="20"/>
        </w:rPr>
        <w:t>is subject to certain regulatory capital requirements imposed by NYDFS. These capital requirements require Bakkt Trust to maintain in cash the greater of a defined positive net worth or the sum of the required percentages established for transmitted assets and cold wallet and hot wallet custody assets. The amounts set aside to satisfy these requirements are included within “Restricted cash” in the consolidated balance sheets.</w:t>
      </w:r>
    </w:p>
    <w:p>
      <w:pPr>
        <w:pStyle w:val="TextBody"/>
        <w:bidi w:val="0"/>
        <w:spacing w:lineRule="auto" w:line="333" w:before="240" w:after="283"/>
        <w:ind w:left="0" w:right="0" w:firstLine="720"/>
        <w:jc w:val="both"/>
        <w:rPr/>
      </w:pPr>
      <w:r>
        <w:rPr>
          <w:rFonts w:ascii="Times New Roman;sans-serif" w:hAnsi="Times New Roman;sans-serif"/>
          <w:b/>
          <w:color w:val="000000"/>
          <w:sz w:val="20"/>
        </w:rPr>
        <w:t>Bakkt Clearing, LLC (“Bakkt Clearing”)</w:t>
      </w:r>
      <w:r>
        <w:rPr>
          <w:color w:val="000000"/>
        </w:rPr>
        <w:t xml:space="preserve"> </w:t>
      </w:r>
      <w:r>
        <w:rPr>
          <w:rFonts w:ascii="Times New Roman;sans-serif" w:hAnsi="Times New Roman;sans-serif"/>
          <w:b w:val="false"/>
          <w:color w:val="000000"/>
          <w:sz w:val="20"/>
        </w:rPr>
        <w:t xml:space="preserve">was registered as a futures commission merchant (“FCM”) with the Commodity Futures Trading Commission (“CFTC”) and was a member of the National Futures Association (“NFA”). Bakkt Clearing was subject to CFTC Regulation 1.17, and the NFA capital requirements. On May 20, 2022, we withdrew Bakkt Clearing’s registration in the CFTC and membership in the NFA, which was effective on June 20,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as of December 31, 2022, Bakkt Clearing no longer was required to maintain capital under the rules described above. </w:t>
      </w:r>
    </w:p>
    <w:p>
      <w:pPr>
        <w:pStyle w:val="TextBody"/>
        <w:bidi w:val="0"/>
        <w:spacing w:lineRule="auto" w:line="333" w:before="240" w:after="283"/>
        <w:ind w:left="0" w:right="0" w:firstLine="720"/>
        <w:jc w:val="both"/>
        <w:rPr/>
      </w:pPr>
      <w:r>
        <w:rPr>
          <w:rFonts w:ascii="Times New Roman;sans-serif" w:hAnsi="Times New Roman;sans-serif"/>
          <w:b/>
          <w:color w:val="000000"/>
          <w:sz w:val="20"/>
        </w:rPr>
        <w:t xml:space="preserve">Bakkt Marketplace </w:t>
      </w:r>
      <w:r>
        <w:rPr>
          <w:rFonts w:ascii="Times New Roman;sans-serif" w:hAnsi="Times New Roman;sans-serif"/>
          <w:b w:val="false"/>
          <w:color w:val="0C0C0C"/>
          <w:sz w:val="20"/>
          <w:shd w:fill="FFFFFF" w:val="clear"/>
        </w:rPr>
        <w:t>holds a BitLicense from NYDFS, which subjects it to NYDFS’ oversight with respect to business activities conducted in New York State and with New York residents, and</w:t>
      </w:r>
      <w:r>
        <w:rPr>
          <w:color w:val="000000"/>
        </w:rPr>
        <w:t xml:space="preserve"> </w:t>
      </w:r>
      <w:r>
        <w:rPr>
          <w:rFonts w:ascii="Times New Roman;sans-serif" w:hAnsi="Times New Roman;sans-serif"/>
          <w:b w:val="false"/>
          <w:color w:val="000000"/>
          <w:sz w:val="20"/>
          <w:shd w:fill="FFFFFF" w:val="clear"/>
        </w:rPr>
        <w:t xml:space="preserve">is required to maintain positive net worth equal to its wind-down costs, or expected costs associated with the orderly wind-down of the business. Bakkt Marketplace also has money transmitter licenses in a number of other states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Marketplace is required to maintain tangible net worth of a minimum amount, plus the amount of customer funds held in transit. </w:t>
      </w:r>
    </w:p>
    <w:p>
      <w:pPr>
        <w:pStyle w:val="TextBody"/>
        <w:bidi w:val="0"/>
        <w:spacing w:lineRule="auto" w:line="333" w:before="240" w:after="283"/>
        <w:ind w:left="0" w:right="0" w:firstLine="720"/>
        <w:jc w:val="both"/>
        <w:rPr/>
      </w:pPr>
      <w:r>
        <w:rPr>
          <w:rFonts w:ascii="Times New Roman;sans-serif" w:hAnsi="Times New Roman;sans-serif"/>
          <w:b/>
          <w:color w:val="000000"/>
          <w:sz w:val="20"/>
        </w:rPr>
        <w:t xml:space="preserve">Bakkt Crypto </w:t>
      </w:r>
      <w:r>
        <w:rPr>
          <w:rFonts w:ascii="Times New Roman;sans-serif" w:hAnsi="Times New Roman;sans-serif"/>
          <w:b w:val="false"/>
          <w:color w:val="000000"/>
          <w:sz w:val="20"/>
        </w:rPr>
        <w:t xml:space="preserve">holds a BitLicense from NYDFS, </w:t>
      </w:r>
      <w:r>
        <w:rPr>
          <w:rFonts w:ascii="Times New Roman;sans-serif" w:hAnsi="Times New Roman;sans-serif"/>
          <w:b w:val="false"/>
          <w:color w:val="0C0C0C"/>
          <w:sz w:val="20"/>
          <w:shd w:fill="FFFFFF" w:val="clear"/>
        </w:rPr>
        <w:t>which subjects it to NYDFS’ oversight with respect to business activities conducted in New York State and with New York residents, and is</w:t>
      </w:r>
      <w:r>
        <w:rPr>
          <w:color w:val="000000"/>
          <w:shd w:fill="FFFFFF" w:val="clear"/>
        </w:rPr>
        <w:t xml:space="preserve"> </w:t>
      </w:r>
      <w:r>
        <w:rPr>
          <w:rFonts w:ascii="Times New Roman;sans-serif" w:hAnsi="Times New Roman;sans-serif"/>
          <w:b w:val="false"/>
          <w:color w:val="000000"/>
          <w:sz w:val="20"/>
        </w:rPr>
        <w:t xml:space="preserve">required to maintain minimum positive net worth held as cash in excess of the sum of the required percentages established for transmitted assets, cold wallet and hot wallet custody assets, and predefined wind-down costs. </w:t>
      </w:r>
      <w:r>
        <w:rPr>
          <w:rFonts w:ascii="Times New Roman;sans-serif" w:hAnsi="Times New Roman;sans-serif"/>
          <w:b w:val="false"/>
          <w:color w:val="000000"/>
          <w:sz w:val="20"/>
          <w:shd w:fill="FFFFFF" w:val="clear"/>
        </w:rPr>
        <w:t xml:space="preserve">Bakkt Crypto also has money transmitter licenses in a number of other states which require it to maintain a minimum tangible net worth. Several states have adopted the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the Company received approval from NYDFS to merge Bakkt Crypto and Bakkt Marketplace into one legal entity. </w:t>
      </w:r>
    </w:p>
    <w:p>
      <w:pPr>
        <w:pStyle w:val="TextBody"/>
        <w:bidi w:val="0"/>
        <w:spacing w:lineRule="auto" w:line="333" w:before="240" w:after="283"/>
        <w:ind w:left="0" w:right="0" w:firstLine="720"/>
        <w:jc w:val="both"/>
        <w:rPr/>
      </w:pPr>
      <w:r>
        <w:rPr>
          <w:rFonts w:ascii="Times New Roman;sans-serif" w:hAnsi="Times New Roman;sans-serif"/>
          <w:b/>
          <w:color w:val="000000"/>
          <w:sz w:val="20"/>
        </w:rPr>
        <w:t>Bakkt Brokerage</w:t>
      </w:r>
      <w:r>
        <w:rPr>
          <w:color w:val="000000"/>
        </w:rPr>
        <w:t xml:space="preserve"> </w:t>
      </w:r>
      <w:r>
        <w:rPr>
          <w:rFonts w:ascii="Times New Roman;sans-serif" w:hAnsi="Times New Roman;sans-serif"/>
          <w:b w:val="false"/>
          <w:color w:val="000000"/>
          <w:sz w:val="20"/>
        </w:rPr>
        <w:t>is registered as a broker-dealer with the Financial Industry Regulatory Authority and is required to maintain a minimum amount of net capital. Bakkt Brokerage's net capital requirement is not material.</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shd w:fill="FFFFFF" w:val="clear"/>
        </w:rPr>
        <w:t xml:space="preserve">As of December 31, 2023 and December 31, 2022, the above mentioned subsidiaries were in compliance with their respective regulatory capital requirements. </w:t>
      </w:r>
      <w:r>
        <w:rPr>
          <w:rFonts w:ascii="Times New Roman;sans-serif" w:hAnsi="Times New Roman;sans-serif"/>
          <w:b w:val="false"/>
          <w:color w:val="000000"/>
          <w:sz w:val="20"/>
        </w:rPr>
        <w:t>The minimum capital requirements to which our subsidiaries are subject may restrict their ability to transfer cash. We may also be required to transfer cash to our subsidiaries such that they may continue to meet these minimum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14.Commitments and Contingencies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sponsor a 401(k) defined contribution plan covering all eligible U.S. employees. Both Company and employee contributions to the 401(k) plan are discretionary. For the years ended December 31, 2023 and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we recorded $2.9 million and $3.2 million, respectively, of expenses related to the 401(k) plan, which is included in “Compensation and benefits” in the consolidated statements of operations</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TRA with certain Opco Equity Holders. As of December 31,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The Court has not yet issued a final approval order. We expect the settlement will be covered by our insurance less our contractual retention.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We accrued $0.7 million for this matter as of December 31, 2023.</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Purchasing Card Facility</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through our loyalty business, had a purchasing card facility with a bank that we utilized for redemption purchases made from suppliers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of 2024, Bank of America required us to pledge as collateral the amounts which were previously required to be maintained in the concentration account.</w:t>
      </w:r>
    </w:p>
    <w:p>
      <w:pPr>
        <w:pStyle w:val="TextBody"/>
        <w:bidi w:val="0"/>
        <w:spacing w:lineRule="auto" w:line="333" w:before="240" w:after="283"/>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w:t>
      </w:r>
      <w:r>
        <w:rPr>
          <w:color w:val="000000"/>
        </w:rPr>
        <w:t xml:space="preserve"> </w:t>
      </w:r>
      <w:r>
        <w:rPr>
          <w:rFonts w:ascii="Times New Roman;sans-serif" w:hAnsi="Times New Roman;sans-serif"/>
          <w:b w:val="false"/>
          <w:color w:val="000000"/>
          <w:sz w:val="20"/>
        </w:rPr>
        <w:t>As of December 31, 2023, our outstanding purchase obligations consist of the following future minimum commitments (in thousands):</w:t>
      </w:r>
    </w:p>
    <w:tbl>
      <w:tblPr>
        <w:tblW w:w="9268" w:type="dxa"/>
        <w:jc w:val="left"/>
        <w:tblInd w:w="0" w:type="dxa"/>
        <w:tblLayout w:type="fixed"/>
        <w:tblCellMar>
          <w:top w:w="28" w:type="dxa"/>
          <w:left w:w="28" w:type="dxa"/>
          <w:bottom w:w="28" w:type="dxa"/>
          <w:right w:w="28" w:type="dxa"/>
        </w:tblCellMar>
      </w:tblPr>
      <w:tblGrid>
        <w:gridCol w:w="658"/>
        <w:gridCol w:w="577"/>
        <w:gridCol w:w="580"/>
        <w:gridCol w:w="334"/>
        <w:gridCol w:w="977"/>
        <w:gridCol w:w="173"/>
        <w:gridCol w:w="109"/>
        <w:gridCol w:w="109"/>
        <w:gridCol w:w="109"/>
        <w:gridCol w:w="211"/>
        <w:gridCol w:w="721"/>
        <w:gridCol w:w="109"/>
        <w:gridCol w:w="109"/>
        <w:gridCol w:w="109"/>
        <w:gridCol w:w="109"/>
        <w:gridCol w:w="257"/>
        <w:gridCol w:w="495"/>
        <w:gridCol w:w="133"/>
        <w:gridCol w:w="109"/>
        <w:gridCol w:w="109"/>
        <w:gridCol w:w="109"/>
        <w:gridCol w:w="479"/>
        <w:gridCol w:w="923"/>
        <w:gridCol w:w="247"/>
        <w:gridCol w:w="109"/>
        <w:gridCol w:w="109"/>
        <w:gridCol w:w="109"/>
        <w:gridCol w:w="211"/>
        <w:gridCol w:w="72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15.Income Taxes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income (loss) before income taxes for the following periods were as follows (in thousands):</w:t>
      </w:r>
    </w:p>
    <w:tbl>
      <w:tblPr>
        <w:tblW w:w="9595" w:type="dxa"/>
        <w:jc w:val="left"/>
        <w:tblInd w:w="0" w:type="dxa"/>
        <w:tblLayout w:type="fixed"/>
        <w:tblCellMar>
          <w:top w:w="28" w:type="dxa"/>
          <w:left w:w="28" w:type="dxa"/>
          <w:bottom w:w="28" w:type="dxa"/>
          <w:right w:w="28" w:type="dxa"/>
        </w:tblCellMar>
      </w:tblPr>
      <w:tblGrid>
        <w:gridCol w:w="1330"/>
        <w:gridCol w:w="1166"/>
        <w:gridCol w:w="1179"/>
        <w:gridCol w:w="479"/>
        <w:gridCol w:w="2048"/>
        <w:gridCol w:w="247"/>
        <w:gridCol w:w="109"/>
        <w:gridCol w:w="109"/>
        <w:gridCol w:w="109"/>
        <w:gridCol w:w="420"/>
        <w:gridCol w:w="2093"/>
        <w:gridCol w:w="306"/>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(225,691)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(2,001,449)</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2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provision for income taxes</w:t>
            </w:r>
          </w:p>
        </w:tc>
        <w:tc>
          <w:tcPr>
            <w:tcW w:w="4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(225,368)</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(2,001,254)</w:t>
            </w:r>
          </w:p>
        </w:tc>
        <w:tc>
          <w:tcPr>
            <w:tcW w:w="3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income tax expense (benefit) are as follows (in thousands):</w:t>
      </w:r>
    </w:p>
    <w:tbl>
      <w:tblPr>
        <w:tblW w:w="9565" w:type="dxa"/>
        <w:jc w:val="left"/>
        <w:tblInd w:w="0" w:type="dxa"/>
        <w:tblLayout w:type="fixed"/>
        <w:tblCellMar>
          <w:top w:w="28" w:type="dxa"/>
          <w:left w:w="28" w:type="dxa"/>
          <w:bottom w:w="28" w:type="dxa"/>
          <w:right w:w="28" w:type="dxa"/>
        </w:tblCellMar>
      </w:tblPr>
      <w:tblGrid>
        <w:gridCol w:w="1317"/>
        <w:gridCol w:w="1159"/>
        <w:gridCol w:w="1168"/>
        <w:gridCol w:w="742"/>
        <w:gridCol w:w="1643"/>
        <w:gridCol w:w="389"/>
        <w:gridCol w:w="109"/>
        <w:gridCol w:w="109"/>
        <w:gridCol w:w="109"/>
        <w:gridCol w:w="512"/>
        <w:gridCol w:w="1934"/>
        <w:gridCol w:w="374"/>
      </w:tblGrid>
      <w:tr>
        <w:trPr/>
        <w:tc>
          <w:tcPr>
            <w:tcW w:w="13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2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2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 (benefit)</w:t>
            </w:r>
          </w:p>
        </w:tc>
        <w:tc>
          <w:tcPr>
            <w:tcW w:w="2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3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3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2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 (benefit)</w:t>
            </w:r>
          </w:p>
        </w:tc>
        <w:tc>
          <w:tcPr>
            <w:tcW w:w="23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3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65" w:type="dxa"/>
        <w:jc w:val="left"/>
        <w:tblInd w:w="0" w:type="dxa"/>
        <w:tblLayout w:type="fixed"/>
        <w:tblCellMar>
          <w:top w:w="28" w:type="dxa"/>
          <w:left w:w="28" w:type="dxa"/>
          <w:bottom w:w="28" w:type="dxa"/>
          <w:right w:w="28" w:type="dxa"/>
        </w:tblCellMar>
      </w:tblPr>
      <w:tblGrid>
        <w:gridCol w:w="1536"/>
        <w:gridCol w:w="1352"/>
        <w:gridCol w:w="1356"/>
        <w:gridCol w:w="458"/>
        <w:gridCol w:w="1729"/>
        <w:gridCol w:w="588"/>
        <w:gridCol w:w="109"/>
        <w:gridCol w:w="109"/>
        <w:gridCol w:w="109"/>
        <w:gridCol w:w="416"/>
        <w:gridCol w:w="1779"/>
        <w:gridCol w:w="62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at federal statutory rate</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(48,212)</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(420,304)</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income tax resulting from:</w:t>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tax effect</w:t>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(34,316)</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32,287 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296,122 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 liability</w:t>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liquidation</w:t>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2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6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differs from the federal statutory rate primarily due to the loss allocated to noncontrolling interest that is not taxed to the Company and changes to the Company’s valuation allowance. While Opco incurred a net loss before income taxes of $225.4 million for the year ended December 31, 2023, only $74.9 million was allocated to Bakkt Holdings, Inc. The remaining $151.0 million is benefited for tax purposes by members outside of the reporting group. The tax expense of $0.4 million relates to state and foreign tax expense since the Company has recorded a full valuation allowance that offsets the tax benefit of its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significant components of our deferred tax assets and liabilities (in thousands):</w:t>
      </w:r>
    </w:p>
    <w:tbl>
      <w:tblPr>
        <w:tblW w:w="7151" w:type="dxa"/>
        <w:jc w:val="left"/>
        <w:tblInd w:w="0" w:type="dxa"/>
        <w:tblLayout w:type="fixed"/>
        <w:tblCellMar>
          <w:top w:w="28" w:type="dxa"/>
          <w:left w:w="28" w:type="dxa"/>
          <w:bottom w:w="28" w:type="dxa"/>
          <w:right w:w="28" w:type="dxa"/>
        </w:tblCellMar>
      </w:tblPr>
      <w:tblGrid>
        <w:gridCol w:w="1205"/>
        <w:gridCol w:w="1059"/>
        <w:gridCol w:w="1066"/>
        <w:gridCol w:w="317"/>
        <w:gridCol w:w="1244"/>
        <w:gridCol w:w="164"/>
        <w:gridCol w:w="109"/>
        <w:gridCol w:w="109"/>
        <w:gridCol w:w="109"/>
        <w:gridCol w:w="313"/>
        <w:gridCol w:w="1228"/>
        <w:gridCol w:w="228"/>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and share-based compensation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(139,331)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(126,039)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asset with Opco</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deferred tax liabilities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$139.3 million and $126.0 million as of December 31, 2023 and December 31, 2022, respectively. The increase in the valuation allowance during the year was primarily related to the generation of net operating losses that are not expected to be realized.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gross federal net operating loss carryforwards (“NOLs”) of $90.0 million, all of which can be carried forward indefinitely. The Company also had state NOLs of $79.9 million which will begin to expire in 2031. The Company had capital loss carryforwards of $3.0 million which will expire in 2028. As of December 31, 2022, the Company had gross federal NOLs of $51.8 million, of which $0.4 million will begin to expire in 2037 and $51.4 million can be carried forward indefinitely. The Company also had state NOLs of $56.9 million which will begin to expire in 2037.</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with varying statutes, ranging generally from three to five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non-U.S. subsidiaries are subject to Global Intangible Low-Taxed Income (“GILTI”) provisions under the Tax Cuts and Jobs Act. The Company has elected to recognize the tax expense related to GILTI as a period cost in the period incurred. The Organization for Economic Cooperation and Development (“OECD”)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both December 31,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16.Fair Value Measurements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that are measured at fair value on a recurring basis are classified as Level 1, Level 2 and Level 3 as follows (in thousands):</w:t>
      </w:r>
    </w:p>
    <w:tbl>
      <w:tblPr>
        <w:tblW w:w="7096" w:type="dxa"/>
        <w:jc w:val="left"/>
        <w:tblInd w:w="0" w:type="dxa"/>
        <w:tblLayout w:type="fixed"/>
        <w:tblCellMar>
          <w:top w:w="28" w:type="dxa"/>
          <w:left w:w="28" w:type="dxa"/>
          <w:bottom w:w="28" w:type="dxa"/>
          <w:right w:w="28" w:type="dxa"/>
        </w:tblCellMar>
      </w:tblPr>
      <w:tblGrid>
        <w:gridCol w:w="1062"/>
        <w:gridCol w:w="935"/>
        <w:gridCol w:w="942"/>
        <w:gridCol w:w="211"/>
        <w:gridCol w:w="841"/>
        <w:gridCol w:w="109"/>
        <w:gridCol w:w="211"/>
        <w:gridCol w:w="736"/>
        <w:gridCol w:w="109"/>
        <w:gridCol w:w="211"/>
        <w:gridCol w:w="841"/>
        <w:gridCol w:w="109"/>
        <w:gridCol w:w="213"/>
        <w:gridCol w:w="411"/>
        <w:gridCol w:w="155"/>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718,954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701,556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703,912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701,556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96" w:type="dxa"/>
        <w:jc w:val="left"/>
        <w:tblInd w:w="0" w:type="dxa"/>
        <w:tblLayout w:type="fixed"/>
        <w:tblCellMar>
          <w:top w:w="28" w:type="dxa"/>
          <w:left w:w="28" w:type="dxa"/>
          <w:bottom w:w="28" w:type="dxa"/>
          <w:right w:w="28" w:type="dxa"/>
        </w:tblCellMar>
      </w:tblPr>
      <w:tblGrid>
        <w:gridCol w:w="1062"/>
        <w:gridCol w:w="935"/>
        <w:gridCol w:w="942"/>
        <w:gridCol w:w="211"/>
        <w:gridCol w:w="841"/>
        <w:gridCol w:w="109"/>
        <w:gridCol w:w="211"/>
        <w:gridCol w:w="841"/>
        <w:gridCol w:w="109"/>
        <w:gridCol w:w="211"/>
        <w:gridCol w:w="736"/>
        <w:gridCol w:w="109"/>
        <w:gridCol w:w="213"/>
        <w:gridCol w:w="411"/>
        <w:gridCol w:w="155"/>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141,062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liability—public warrants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investments in debt securities consist of U.S. Treasury debt securities held in the custody of a major financial institution. As of December 31, 2023, our investment in available-for-sale debt securities was determined to be a Level 1 investment based on quoted prices in active markets and was recorded in the consolidated balance sheets at fair value.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determined to be the principal market for the related crypto as of December 31, 2023.</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2023, we determined the value of the contingent consideration was zero, based on our forward-looking projections and minimum profit requirements associated with the contingent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 liability is valued based on quoted prices in active markets and is classified within Level 1.</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17.Leases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2022, we entered into a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December 31, 2023 and December 31, 2022, we did not have any active finance leases.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real estate leases have remaining lease terms as of December 31, 2023 ranging from 28 months to 105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real estate leasing agreements include terms requiring us to reimburse the lessor for its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tbl>
      <w:tblPr>
        <w:tblW w:w="7719" w:type="dxa"/>
        <w:jc w:val="left"/>
        <w:tblInd w:w="0" w:type="dxa"/>
        <w:tblLayout w:type="fixed"/>
        <w:tblCellMar>
          <w:top w:w="28" w:type="dxa"/>
          <w:left w:w="28" w:type="dxa"/>
          <w:bottom w:w="28" w:type="dxa"/>
          <w:right w:w="28" w:type="dxa"/>
        </w:tblCellMar>
      </w:tblPr>
      <w:tblGrid>
        <w:gridCol w:w="651"/>
        <w:gridCol w:w="572"/>
        <w:gridCol w:w="576"/>
        <w:gridCol w:w="623"/>
        <w:gridCol w:w="1825"/>
        <w:gridCol w:w="326"/>
        <w:gridCol w:w="109"/>
        <w:gridCol w:w="109"/>
        <w:gridCol w:w="109"/>
        <w:gridCol w:w="605"/>
        <w:gridCol w:w="1769"/>
        <w:gridCol w:w="44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short-term lease cost disclosed in the table above reasonably reflects our ongoing short-term lease commitments.</w:t>
      </w:r>
    </w:p>
    <w:tbl>
      <w:tblPr>
        <w:tblW w:w="10205" w:type="dxa"/>
        <w:jc w:val="left"/>
        <w:tblInd w:w="0" w:type="dxa"/>
        <w:tblLayout w:type="fixed"/>
        <w:tblCellMar>
          <w:top w:w="28" w:type="dxa"/>
          <w:left w:w="28" w:type="dxa"/>
          <w:bottom w:w="28" w:type="dxa"/>
          <w:right w:w="28" w:type="dxa"/>
        </w:tblCellMar>
      </w:tblPr>
      <w:tblGrid>
        <w:gridCol w:w="2024"/>
        <w:gridCol w:w="1755"/>
        <w:gridCol w:w="1765"/>
        <w:gridCol w:w="478"/>
        <w:gridCol w:w="1400"/>
        <w:gridCol w:w="250"/>
        <w:gridCol w:w="109"/>
        <w:gridCol w:w="109"/>
        <w:gridCol w:w="109"/>
        <w:gridCol w:w="428"/>
        <w:gridCol w:w="1462"/>
        <w:gridCol w:w="316"/>
      </w:tblGrid>
      <w:tr>
        <w:trPr/>
        <w:tc>
          <w:tcPr>
            <w:tcW w:w="2024"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flow from operating activities</w:t>
            </w:r>
            <w:r>
              <w:rPr>
                <w:rFonts w:ascii="Times New Roman;sans-serif" w:hAnsi="Times New Roman;sans-serif"/>
                <w:b w:val="false"/>
                <w:color w:val="000000"/>
                <w:sz w:val="13"/>
              </w:rPr>
              <w:t>(1)</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information on lease liabilities arising from obtaining right-of-use assets</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(1)Our real estate lease for office space in Alpharetta, Georgia required the landlord to reimburse certain expenditures incurred by us towards construction of improvements. The reimbursement was received during the year ended December 31, 2022 and exceeded the payments required to be made pursuant to the lease during the year.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weighted average remaining lease term for our operating leases was 84 months, and the weighted average discount rate for our operating leases was 5.3%. As of December 31, 2022, the weighted average remaining lease term for our operating leases was 94 months, and the weighted average discount rate for our operating leases was 5.0%.</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balance sheet information about our leases:</w:t>
      </w:r>
    </w:p>
    <w:tbl>
      <w:tblPr>
        <w:tblW w:w="8886" w:type="dxa"/>
        <w:jc w:val="left"/>
        <w:tblInd w:w="0" w:type="dxa"/>
        <w:tblLayout w:type="fixed"/>
        <w:tblCellMar>
          <w:top w:w="28" w:type="dxa"/>
          <w:left w:w="28" w:type="dxa"/>
          <w:bottom w:w="28" w:type="dxa"/>
          <w:right w:w="28" w:type="dxa"/>
        </w:tblCellMar>
      </w:tblPr>
      <w:tblGrid>
        <w:gridCol w:w="863"/>
        <w:gridCol w:w="758"/>
        <w:gridCol w:w="763"/>
        <w:gridCol w:w="784"/>
        <w:gridCol w:w="784"/>
        <w:gridCol w:w="786"/>
        <w:gridCol w:w="109"/>
        <w:gridCol w:w="109"/>
        <w:gridCol w:w="109"/>
        <w:gridCol w:w="349"/>
        <w:gridCol w:w="1195"/>
        <w:gridCol w:w="180"/>
        <w:gridCol w:w="109"/>
        <w:gridCol w:w="109"/>
        <w:gridCol w:w="109"/>
        <w:gridCol w:w="344"/>
        <w:gridCol w:w="1175"/>
        <w:gridCol w:w="251"/>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w:t>
              <w:br/>
              <w: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Notes 5 and 6 for information on impairments recorded for certain right-of-use assets.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December 31, 2023 were as follows:</w:t>
      </w:r>
    </w:p>
    <w:tbl>
      <w:tblPr>
        <w:tblW w:w="4071" w:type="dxa"/>
        <w:jc w:val="left"/>
        <w:tblInd w:w="0" w:type="dxa"/>
        <w:tblLayout w:type="fixed"/>
        <w:tblCellMar>
          <w:top w:w="28" w:type="dxa"/>
          <w:left w:w="28" w:type="dxa"/>
          <w:bottom w:w="28" w:type="dxa"/>
          <w:right w:w="28" w:type="dxa"/>
        </w:tblCellMar>
      </w:tblPr>
      <w:tblGrid>
        <w:gridCol w:w="1082"/>
        <w:gridCol w:w="949"/>
        <w:gridCol w:w="954"/>
        <w:gridCol w:w="211"/>
        <w:gridCol w:w="721"/>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18.Safeguarding Obligation For Crypto</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custody services for Bakkt Crypto's customers and for Bakkt Trust's standalone custody customers. Bakkt Trust also provides custody services for Bakkt Marketplace crypto customers as described in Note 1.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A significant portion of the crypto we hold in a custodial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capacity are custodied by institutional grade subcustodians. Subcustodians used by Bakkt Crypto hold our customer cryptographic key information and are not permitted to move assets without our specific authorization. </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a safeguarding obligation for crypto of $701.6 million. The safeguarding liability, and corresponding safeguarding asset for crypto on the balance sheet, are measured at the fair value of the crypto held for our customers. We are not aware of any actual or possible safeguarding loss events as of December 31, 2023. Therefore, the safeguarding obligation for crypto and the related safeguarding asset for crypto are recorded at the same amount.</w:t>
      </w:r>
    </w:p>
    <w:p>
      <w:pPr>
        <w:pStyle w:val="TextBody"/>
        <w:bidi w:val="0"/>
        <w:spacing w:lineRule="auto" w:line="333"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responsible for holding the following crypto on behalf of our customers as of December 31, 2023 and December 31, 2022 (in thousands):</w:t>
      </w:r>
    </w:p>
    <w:tbl>
      <w:tblPr>
        <w:tblW w:w="6761" w:type="dxa"/>
        <w:jc w:val="left"/>
        <w:tblInd w:w="0" w:type="dxa"/>
        <w:tblLayout w:type="fixed"/>
        <w:tblCellMar>
          <w:top w:w="28" w:type="dxa"/>
          <w:left w:w="28" w:type="dxa"/>
          <w:bottom w:w="28" w:type="dxa"/>
          <w:right w:w="28" w:type="dxa"/>
        </w:tblCellMar>
      </w:tblPr>
      <w:tblGrid>
        <w:gridCol w:w="1060"/>
        <w:gridCol w:w="932"/>
        <w:gridCol w:w="947"/>
        <w:gridCol w:w="317"/>
        <w:gridCol w:w="1244"/>
        <w:gridCol w:w="164"/>
        <w:gridCol w:w="109"/>
        <w:gridCol w:w="109"/>
        <w:gridCol w:w="109"/>
        <w:gridCol w:w="344"/>
        <w:gridCol w:w="1175"/>
        <w:gridCol w:w="251"/>
      </w:tblGrid>
      <w:tr>
        <w:trPr/>
        <w:tc>
          <w:tcPr>
            <w:tcW w:w="10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obligation for crypto</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Safeguarding asset for crypto</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701,556 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19.Investments in Debt Securities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investments in certain debt securities, which we record at fair value and present as “Available-for-sale securities” in the consolidated balance sheets.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cost basis and fair value of available-for-sale debt securities with unrealized gains and losses included in “Accumulated other comprehensive loss” in the consolidated balance sheets were as follows (in thousands):</w:t>
      </w:r>
    </w:p>
    <w:tbl>
      <w:tblPr>
        <w:tblW w:w="10205" w:type="dxa"/>
        <w:jc w:val="left"/>
        <w:tblInd w:w="0" w:type="dxa"/>
        <w:tblLayout w:type="fixed"/>
        <w:tblCellMar>
          <w:top w:w="28" w:type="dxa"/>
          <w:left w:w="28" w:type="dxa"/>
          <w:bottom w:w="28" w:type="dxa"/>
          <w:right w:w="28" w:type="dxa"/>
        </w:tblCellMar>
      </w:tblPr>
      <w:tblGrid>
        <w:gridCol w:w="731"/>
        <w:gridCol w:w="643"/>
        <w:gridCol w:w="644"/>
        <w:gridCol w:w="360"/>
        <w:gridCol w:w="361"/>
        <w:gridCol w:w="225"/>
        <w:gridCol w:w="110"/>
        <w:gridCol w:w="110"/>
        <w:gridCol w:w="110"/>
        <w:gridCol w:w="404"/>
        <w:gridCol w:w="404"/>
        <w:gridCol w:w="406"/>
        <w:gridCol w:w="110"/>
        <w:gridCol w:w="110"/>
        <w:gridCol w:w="110"/>
        <w:gridCol w:w="360"/>
        <w:gridCol w:w="361"/>
        <w:gridCol w:w="240"/>
        <w:gridCol w:w="109"/>
        <w:gridCol w:w="109"/>
        <w:gridCol w:w="109"/>
        <w:gridCol w:w="413"/>
        <w:gridCol w:w="413"/>
        <w:gridCol w:w="225"/>
        <w:gridCol w:w="110"/>
        <w:gridCol w:w="110"/>
        <w:gridCol w:w="110"/>
        <w:gridCol w:w="404"/>
        <w:gridCol w:w="404"/>
        <w:gridCol w:w="406"/>
        <w:gridCol w:w="110"/>
        <w:gridCol w:w="110"/>
        <w:gridCol w:w="110"/>
        <w:gridCol w:w="413"/>
        <w:gridCol w:w="413"/>
        <w:gridCol w:w="328"/>
      </w:tblGrid>
      <w:tr>
        <w:trPr/>
        <w:tc>
          <w:tcPr>
            <w:tcW w:w="7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securities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Basis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Gains/(Losses), net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Basis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Gains/(Losses), net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Government debt</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available-for-sale securities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tbl>
      <w:tblPr>
        <w:tblW w:w="10205" w:type="dxa"/>
        <w:jc w:val="left"/>
        <w:tblInd w:w="0" w:type="dxa"/>
        <w:tblLayout w:type="fixed"/>
        <w:tblCellMar>
          <w:top w:w="28" w:type="dxa"/>
          <w:left w:w="28" w:type="dxa"/>
          <w:bottom w:w="28" w:type="dxa"/>
          <w:right w:w="28" w:type="dxa"/>
        </w:tblCellMar>
      </w:tblPr>
      <w:tblGrid>
        <w:gridCol w:w="1797"/>
        <w:gridCol w:w="1580"/>
        <w:gridCol w:w="1583"/>
        <w:gridCol w:w="295"/>
        <w:gridCol w:w="569"/>
        <w:gridCol w:w="152"/>
        <w:gridCol w:w="109"/>
        <w:gridCol w:w="109"/>
        <w:gridCol w:w="109"/>
        <w:gridCol w:w="313"/>
        <w:gridCol w:w="603"/>
        <w:gridCol w:w="161"/>
        <w:gridCol w:w="109"/>
        <w:gridCol w:w="109"/>
        <w:gridCol w:w="109"/>
        <w:gridCol w:w="211"/>
        <w:gridCol w:w="721"/>
        <w:gridCol w:w="109"/>
        <w:gridCol w:w="109"/>
        <w:gridCol w:w="109"/>
        <w:gridCol w:w="109"/>
        <w:gridCol w:w="279"/>
        <w:gridCol w:w="638"/>
        <w:gridCol w:w="213"/>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Available-for-sale securities in an unrealized loss position</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Government debt</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than 12 months</w:t>
            </w:r>
            <w:r>
              <w:rPr>
                <w:rFonts w:ascii="Times New Roman;sans-serif" w:hAnsi="Times New Roman;sans-serif"/>
                <w:b w:val="false"/>
                <w:color w:val="000000"/>
                <w:sz w:val="13"/>
              </w:rPr>
              <w:t>(1)</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12 months or more</w:t>
            </w:r>
            <w:r>
              <w:rPr>
                <w:rFonts w:ascii="Times New Roman;sans-serif" w:hAnsi="Times New Roman;sans-serif"/>
                <w:b w:val="false"/>
                <w:color w:val="000000"/>
                <w:sz w:val="13"/>
              </w:rPr>
              <w:t>(1)</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available-for-sale securities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Times New Roman;sans-serif" w:hAnsi="Times New Roman;sans-serif"/>
                <w:b w:val="false"/>
                <w:color w:val="000000"/>
                <w:sz w:val="20"/>
              </w:rPr>
              <w:t>Indicates the length of time that individual securities have been in a continuous unrealized loss position.</w:t>
            </w:r>
          </w:p>
        </w:tc>
      </w:tr>
    </w:tbl>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unrealized losses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December 31, 2023. In February 2024, we sold our available-for-sale securities based on liquidity needs of the business. Losses associated with the sales were immaterial.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cost basis and fair value of available-for-sale debt securities at December 31, 2023, by contractual maturity, are shown below (in thousands). Expected maturities may differ from contractual maturities because borrowers may have the right to prepay and creditors may have the right to call obligations.</w:t>
      </w:r>
    </w:p>
    <w:tbl>
      <w:tblPr>
        <w:tblW w:w="8504" w:type="dxa"/>
        <w:jc w:val="left"/>
        <w:tblInd w:w="0" w:type="dxa"/>
        <w:tblLayout w:type="fixed"/>
        <w:tblCellMar>
          <w:top w:w="28" w:type="dxa"/>
          <w:left w:w="28" w:type="dxa"/>
          <w:bottom w:w="28" w:type="dxa"/>
          <w:right w:w="28" w:type="dxa"/>
        </w:tblCellMar>
      </w:tblPr>
      <w:tblGrid>
        <w:gridCol w:w="1119"/>
        <w:gridCol w:w="985"/>
        <w:gridCol w:w="100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ans-serif" w:hAnsi="Times New Roman;sans-serif"/>
          <w:b/>
          <w:color w:val="000000"/>
          <w:sz w:val="20"/>
        </w:rPr>
        <w:t>20.</w:t>
      </w:r>
      <w:r>
        <w:rPr>
          <w:rFonts w:ascii="Times New Roman;sans-serif" w:hAnsi="Times New Roman;sans-serif"/>
          <w:b/>
          <w:color w:val="231F20"/>
          <w:sz w:val="20"/>
        </w:rPr>
        <w:t>Subsequent Events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subsequent events and transactions and determined that no events or transactions met the definition of a subsequent event for purpose of recognition or disclosure in these financial statements, other than as described below and within the notes to the financial statements.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2024, we were notified by NYSE Regulation Inc. (the “NYSE”) that we are not in compliance with Section 802.01C of the NYSE Listed Company Manual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our Class A Common Stock will continue to be listed on the NYSE. </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We intend to consider all available alternatives to cure noncompliance with the Listing Rule, including but not limited to a reverse stock split, subject to stockholder approval.</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2024, Gavin Michael resigned as President, Chief Executive Officer and as a director of the Company, as well as from all positions held with the Company’s subsidiaries, effective March 25, 2024. In recognition of Mr. Michael’s past service to the Company, the Company agreed to pay Mr. Michael aggregate severance benefits of approximately $1.3 million. The Company will also accelerate the vesting of all of the outstanding but unvested service-based RSUs that have been issued to Mr. Michael through March 18, 2024 such that they are fully vested, and has certified the vesting of 614,920 performance-based RSUs based on the attainment of certain targets and goals. In addition,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will retain 1,322,456 performance based RSUs issued to him on March 18, 2024, pending determination and certification of the targets necessary to obtain vesting, and forfeited the remaining 1,586,178 performance-based RSUs issued to him previously that were unvested.</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March 26, 2024, effective upon Mr. Michael’s resignation, the Board of Directors appointed Andrew Main to the position of President and Chief Executive Officer and entered into an employment agreement pursuant to which Mr. Main will receive an annual base salary of $500,000 and will be eligible to receive an annual cash bonus under Company’s annual cash incentive compensation plan with a target bonus amount of 100% of his base salary, in each case, subject to annual review and increase by the Board or the Compensation Committee. For 2024 only, Mr. Main shall receive 50% of the amount of the target cash bonus on October 1, 2024, with the remainder of the 2024 target cash bonus potentially being subject to determination by the Board or the Compensation Committee. In addition, at the time of his appointment, Mr. Main will be eligible to receive 12,195,121 service-based RSUs, 9,146,341 of which shall be in the form of time-based vesting RSUs and 3,048,780 of which shall be performance-based vesting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Annual Report on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2023. In making this assessment management used the criteria set forth by the Committee of Sponsoring Organizations of the Treadway Commission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Based on this assessment, we concluded that as of December 31, 2023, the Company’s internal control over financial reporting was effective.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does not include an attestation report of our registered public accounting firm regarding internal controls over financial reporting because the Jumpstart our Business Startups Act of 2012 provides an exemption from such requirement to emerging growth companies.</w:t>
      </w:r>
    </w:p>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there were no changes to our internal control over financial reporting (as defined in Rule 13a-15(f) and Rule 15d-15(f) under the Exchange Act) that occurred during the year ended December 31, 2023 that have materially affected, or are reasonably likely to materially affect, our internal control over financial reporting. In April 2023, we acquired Apex Crypto and are in the process of integrating the acquired business into our overall internal control over financial reporting process. Such acquisition exceeded 50% significance under the significance tests set forth in Item 3-05 of Regulation S-X. As permitted under applicable regulations, we have excluded Apex Crypto from our assessment of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set forth in our Proxy Statement and is incorporated herein by reference.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333"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our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(a)We have filed the following documents as part of this Annual Report on Form 10-K:</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under Part II, Item 8 of this Annual Report on Form 10-K.</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required, because they are not applicable, or because the required information is otherwise included.</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below are filed as part of this Annual Report on Form 10-K or are incorporated herein by reference, in each case as indicated below. </w:t>
      </w:r>
    </w:p>
    <w:tbl>
      <w:tblPr>
        <w:tblW w:w="10205" w:type="dxa"/>
        <w:jc w:val="left"/>
        <w:tblInd w:w="0" w:type="dxa"/>
        <w:tblLayout w:type="fixed"/>
        <w:tblCellMar>
          <w:top w:w="28" w:type="dxa"/>
          <w:left w:w="28" w:type="dxa"/>
          <w:bottom w:w="28" w:type="dxa"/>
          <w:right w:w="28" w:type="dxa"/>
        </w:tblCellMar>
      </w:tblPr>
      <w:tblGrid>
        <w:gridCol w:w="285"/>
        <w:gridCol w:w="252"/>
        <w:gridCol w:w="253"/>
        <w:gridCol w:w="109"/>
        <w:gridCol w:w="109"/>
        <w:gridCol w:w="109"/>
        <w:gridCol w:w="1280"/>
        <w:gridCol w:w="1089"/>
        <w:gridCol w:w="1103"/>
        <w:gridCol w:w="109"/>
        <w:gridCol w:w="109"/>
        <w:gridCol w:w="109"/>
        <w:gridCol w:w="170"/>
        <w:gridCol w:w="170"/>
        <w:gridCol w:w="171"/>
        <w:gridCol w:w="109"/>
        <w:gridCol w:w="109"/>
        <w:gridCol w:w="109"/>
        <w:gridCol w:w="240"/>
        <w:gridCol w:w="240"/>
        <w:gridCol w:w="206"/>
        <w:gridCol w:w="109"/>
        <w:gridCol w:w="109"/>
        <w:gridCol w:w="109"/>
        <w:gridCol w:w="210"/>
        <w:gridCol w:w="210"/>
        <w:gridCol w:w="211"/>
        <w:gridCol w:w="109"/>
        <w:gridCol w:w="109"/>
        <w:gridCol w:w="109"/>
        <w:gridCol w:w="510"/>
        <w:gridCol w:w="329"/>
        <w:gridCol w:w="236"/>
        <w:gridCol w:w="109"/>
        <w:gridCol w:w="109"/>
        <w:gridCol w:w="109"/>
        <w:gridCol w:w="313"/>
        <w:gridCol w:w="313"/>
        <w:gridCol w:w="452"/>
      </w:tblGrid>
      <w:tr>
        <w:trPr/>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Agreement and Plan of Merger, dated January 11, 2021, by and among the Company, Merger Sub, and the Company.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Amendment to Agreement and Plan of Merger, dated March 30, 2021 by and among the Company, Merger Sub, and the Company.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Amendment to Agreement and Plan of Merger, dated September 29, 2021 by and among the Company, Merger Sub, and the Company.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Membership Interest Purchase Agreement, dated as of November 2, 2022, by and among the Company, Bakkt Marketplace, Seller and Target.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80"/>
                  <w:sz w:val="20"/>
                  <w:u w:val="single"/>
                </w:rPr>
                <w:t>A</w:t>
              </w:r>
            </w:hyperlink>
            <w:hyperlink r:id="rId14">
              <w:r>
                <w:rPr>
                  <w:rStyle w:val="InternetLink"/>
                  <w:rFonts w:ascii="Times New Roman;sans-serif" w:hAnsi="Times New Roman;sans-serif"/>
                  <w:b w:val="false"/>
                  <w:color w:val="000080"/>
                  <w:sz w:val="20"/>
                  <w:u w:val="single"/>
                </w:rPr>
                <w:t>mendment No. 1 To Me</w:t>
              </w:r>
            </w:hyperlink>
            <w:hyperlink r:id="rId15">
              <w:r>
                <w:rPr>
                  <w:rStyle w:val="InternetLink"/>
                  <w:rFonts w:ascii="Times New Roman;sans-serif" w:hAnsi="Times New Roman;sans-serif"/>
                  <w:b w:val="false"/>
                  <w:color w:val="000080"/>
                  <w:sz w:val="20"/>
                  <w:u w:val="single"/>
                </w:rPr>
                <w:t>mbership Interest Purchase Agreement</w:t>
              </w:r>
            </w:hyperlink>
            <w:hyperlink r:id="rId16">
              <w:r>
                <w:rPr>
                  <w:rStyle w:val="InternetLink"/>
                  <w:rFonts w:ascii="Times New Roman;sans-serif" w:hAnsi="Times New Roman;sans-serif"/>
                  <w:b w:val="false"/>
                  <w:color w:val="000080"/>
                  <w:sz w:val="20"/>
                  <w:u w:val="single"/>
                </w:rPr>
                <w:t>, dated as of March 30, 2023, by and among the Company, Bakkt Marketplace, Apex Fintech Solutions Inc. and Apex Crypto,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Certificate of Incorporation of the Company, as currently in effect.</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By-Laws of the Company,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Specimen Class A Common Stock Certificate of the Company.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Specimen Warrant Certificate of the Company.</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Warrant Agreement, dated September 22, 2020, by and between the Company and Continental Stock Transfer &amp; Trust Company, as warrant agent.</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First Amendment to Warrant Agreement, dated March 9, 2022, by and among Bakkt Holdings, Inc, American Stock Transfer &amp; Trust Company, LLC and Continental Stock Transfer &amp;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289"/>
        <w:gridCol w:w="255"/>
        <w:gridCol w:w="256"/>
        <w:gridCol w:w="109"/>
        <w:gridCol w:w="109"/>
        <w:gridCol w:w="109"/>
        <w:gridCol w:w="1241"/>
        <w:gridCol w:w="1080"/>
        <w:gridCol w:w="1092"/>
        <w:gridCol w:w="109"/>
        <w:gridCol w:w="109"/>
        <w:gridCol w:w="109"/>
        <w:gridCol w:w="170"/>
        <w:gridCol w:w="170"/>
        <w:gridCol w:w="171"/>
        <w:gridCol w:w="109"/>
        <w:gridCol w:w="109"/>
        <w:gridCol w:w="109"/>
        <w:gridCol w:w="242"/>
        <w:gridCol w:w="242"/>
        <w:gridCol w:w="209"/>
        <w:gridCol w:w="109"/>
        <w:gridCol w:w="109"/>
        <w:gridCol w:w="109"/>
        <w:gridCol w:w="210"/>
        <w:gridCol w:w="210"/>
        <w:gridCol w:w="211"/>
        <w:gridCol w:w="109"/>
        <w:gridCol w:w="109"/>
        <w:gridCol w:w="109"/>
        <w:gridCol w:w="524"/>
        <w:gridCol w:w="322"/>
        <w:gridCol w:w="244"/>
        <w:gridCol w:w="109"/>
        <w:gridCol w:w="109"/>
        <w:gridCol w:w="109"/>
        <w:gridCol w:w="321"/>
        <w:gridCol w:w="321"/>
        <w:gridCol w:w="463"/>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Third Amended and Restated Limited Liability Company Agreement, dated October 15, 2021, by and among Opco and the Opco Equity 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Stockholders’ Agreement, dated as of November 2, 2022, by and between the Company and Seller.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A</w:t>
              </w:r>
            </w:hyperlink>
            <w:hyperlink r:id="rId26">
              <w:r>
                <w:rPr>
                  <w:rStyle w:val="InternetLink"/>
                  <w:rFonts w:ascii="Times New Roman;sans-serif" w:hAnsi="Times New Roman;sans-serif"/>
                  <w:b w:val="false"/>
                  <w:color w:val="000080"/>
                  <w:sz w:val="20"/>
                  <w:u w:val="single"/>
                </w:rPr>
                <w:t xml:space="preserve">mendment Agreement by and between Bakkt </w:t>
              </w:r>
            </w:hyperlink>
            <w:hyperlink r:id="rId27">
              <w:r>
                <w:rPr>
                  <w:rStyle w:val="InternetLink"/>
                  <w:rFonts w:ascii="Times New Roman;sans-serif" w:hAnsi="Times New Roman;sans-serif"/>
                  <w:b w:val="false"/>
                  <w:color w:val="000080"/>
                  <w:sz w:val="20"/>
                  <w:u w:val="single"/>
                </w:rPr>
                <w:t>Holdings, Inc., Apex Fintech Solutions Inc. and PEAK6 Investments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Letter Agreement, dated September 22, 2020 (the “Insider Letter”), by and among the Company, its executive officers, its directors and the Sponsor.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Amendment to Insider Letter, dated January 11, 2021, by and among the Company, its executive officers, its directors, the Sponsor and Opco.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Digital Currency Trading, Clearing, and Warehouse Services Agreement, dated August 29, 2019, by and among IFUS, ICUS and Bakkt Trust, including amendments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Cooperation Agreement, dated October 15, 2021, between the Company and 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Registration Rights Agreement, dated October 15, 2021, by and among the Company, the Opco Equity Holders and the Sponsor.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Stockholders Agreement of the Company, dated October 15, 2021, by and among the Company, the Opco Equity Holders and the Sponsor.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Voting Agreement, dated October 15, 2021, by and between the Company and 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Amended and Restated Exchange Agreement dated May 3, 2022 by and between Bakkt Holdings, Inc. and the other parties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Tax Receivable Agreement, dated October 15, 2021, by and among the Company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2021 Omnibus Incentive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1amendno1toequityplan.htm">
              <w:r>
                <w:rPr>
                  <w:rStyle w:val="InternetLink"/>
                  <w:rFonts w:ascii="Times New Roman;sans-serif" w:hAnsi="Times New Roman;sans-serif"/>
                  <w:b w:val="false"/>
                  <w:color w:val="0000FF"/>
                  <w:sz w:val="20"/>
                  <w:u w:val="single"/>
                </w:rPr>
                <w:t>Amendment No.1 to Bakkt Holdings, Inc. 2021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Form of Director Restricted Stock Unit Agreement under the Bakkt Holdings, Inc. 2021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Form of Executive Officer Restricted Stock Unit Agreement under the Bakkt Holdings, Inc. 2021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Form of Performance Unit Agreement under the Bakkt Holdings, Inc. 2021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280"/>
        <w:gridCol w:w="247"/>
        <w:gridCol w:w="248"/>
        <w:gridCol w:w="109"/>
        <w:gridCol w:w="109"/>
        <w:gridCol w:w="109"/>
        <w:gridCol w:w="1331"/>
        <w:gridCol w:w="1108"/>
        <w:gridCol w:w="1117"/>
        <w:gridCol w:w="109"/>
        <w:gridCol w:w="109"/>
        <w:gridCol w:w="109"/>
        <w:gridCol w:w="170"/>
        <w:gridCol w:w="170"/>
        <w:gridCol w:w="171"/>
        <w:gridCol w:w="109"/>
        <w:gridCol w:w="109"/>
        <w:gridCol w:w="109"/>
        <w:gridCol w:w="237"/>
        <w:gridCol w:w="237"/>
        <w:gridCol w:w="201"/>
        <w:gridCol w:w="109"/>
        <w:gridCol w:w="109"/>
        <w:gridCol w:w="109"/>
        <w:gridCol w:w="210"/>
        <w:gridCol w:w="210"/>
        <w:gridCol w:w="211"/>
        <w:gridCol w:w="109"/>
        <w:gridCol w:w="109"/>
        <w:gridCol w:w="109"/>
        <w:gridCol w:w="521"/>
        <w:gridCol w:w="308"/>
        <w:gridCol w:w="225"/>
        <w:gridCol w:w="109"/>
        <w:gridCol w:w="109"/>
        <w:gridCol w:w="109"/>
        <w:gridCol w:w="303"/>
        <w:gridCol w:w="303"/>
        <w:gridCol w:w="435"/>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Form of Director and Executive Officer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Transition Services Agreement, dated as of November 10, 2021, by and between Opco and 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Employment Agreement, dated January 9, 2021, by and among Gavin Michael, Opco,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80"/>
                  <w:sz w:val="20"/>
                  <w:u w:val="single"/>
                </w:rPr>
                <w:t>R</w:t>
              </w:r>
            </w:hyperlink>
            <w:hyperlink r:id="rId46">
              <w:r>
                <w:rPr>
                  <w:rStyle w:val="InternetLink"/>
                  <w:rFonts w:ascii="Times New Roman;sans-serif" w:hAnsi="Times New Roman;sans-serif"/>
                  <w:b w:val="false"/>
                  <w:color w:val="000080"/>
                  <w:sz w:val="20"/>
                  <w:u w:val="single"/>
                </w:rPr>
                <w:t>elease Agreement, dated March 18, 2024, by and between Bakkt Holdings, Inc. and</w:t>
              </w:r>
            </w:hyperlink>
            <w:hyperlink r:id="rId47">
              <w:r>
                <w:rPr>
                  <w:rStyle w:val="InternetLink"/>
                  <w:rFonts w:ascii="Times New Roman;sans-serif" w:hAnsi="Times New Roman;sans-serif"/>
                  <w:b w:val="false"/>
                  <w:color w:val="000080"/>
                  <w:sz w:val="20"/>
                  <w:u w:val="single"/>
                </w:rPr>
                <w:t xml:space="preserve"> </w:t>
              </w:r>
            </w:hyperlink>
            <w:hyperlink r:id="rId48">
              <w:r>
                <w:rPr>
                  <w:rStyle w:val="InternetLink"/>
                  <w:rFonts w:ascii="Times New Roman;sans-serif" w:hAnsi="Times New Roman;sans-serif"/>
                  <w:b w:val="false"/>
                  <w:color w:val="000080"/>
                  <w:sz w:val="20"/>
                  <w:u w:val="single"/>
                </w:rPr>
                <w:t>Gavin Michael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80"/>
                  <w:sz w:val="20"/>
                  <w:u w:val="single"/>
                </w:rPr>
                <w:t>E</w:t>
              </w:r>
            </w:hyperlink>
            <w:hyperlink r:id="rId50">
              <w:r>
                <w:rPr>
                  <w:rStyle w:val="InternetLink"/>
                  <w:rFonts w:ascii="Times New Roman;sans-serif" w:hAnsi="Times New Roman;sans-serif"/>
                  <w:b w:val="false"/>
                  <w:color w:val="000080"/>
                  <w:sz w:val="20"/>
                  <w:u w:val="single"/>
                </w:rPr>
                <w:t>mployment Agreemen</w:t>
              </w:r>
            </w:hyperlink>
            <w:hyperlink r:id="rId51">
              <w:r>
                <w:rPr>
                  <w:rStyle w:val="InternetLink"/>
                  <w:rFonts w:ascii="Times New Roman;sans-serif" w:hAnsi="Times New Roman;sans-serif"/>
                  <w:b w:val="false"/>
                  <w:color w:val="000080"/>
                  <w:sz w:val="20"/>
                  <w:u w:val="single"/>
                </w:rPr>
                <w:t>t, dated March 18, 2024, by and between Bakkt Holdings, Inc.</w:t>
              </w:r>
            </w:hyperlink>
            <w:hyperlink r:id="rId52">
              <w:r>
                <w:rPr>
                  <w:rStyle w:val="InternetLink"/>
                  <w:rFonts w:ascii="Times New Roman;sans-serif" w:hAnsi="Times New Roman;sans-serif"/>
                  <w:b w:val="false"/>
                  <w:color w:val="000080"/>
                  <w:sz w:val="20"/>
                  <w:u w:val="single"/>
                </w:rPr>
                <w:t xml:space="preserve"> and Andrew Main</w:t>
              </w:r>
            </w:hyperlink>
            <w:hyperlink r:id="rId53">
              <w:r>
                <w:rPr>
                  <w:rStyle w:val="InternetLink"/>
                  <w:rFonts w:ascii="Times New Roman;sans-serif" w:hAnsi="Times New Roman;sans-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Employment Agreement, dated August 10, 2021, by and among Marc D’Annunzio, Opco,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Amendment No. 4 to Digital Currency Trading, Clearing, and Warehouse Services Agreement, dated as of July 21, 2022, by and among ICE Futures U.S., Inc., ICE Clear US, Inc. and Bakkt Trust Company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Form of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Form of Performance-Based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Bakkt Holdings, Inc. Outside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Employment Agreement, dated October 12, 2022, by and between Karen Alexander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80"/>
                  <w:sz w:val="20"/>
                  <w:u w:val="single"/>
                </w:rPr>
                <w:t>R</w:t>
              </w:r>
            </w:hyperlink>
            <w:hyperlink r:id="rId61">
              <w:r>
                <w:rPr>
                  <w:rStyle w:val="InternetLink"/>
                  <w:rFonts w:ascii="Times New Roman;sans-serif" w:hAnsi="Times New Roman;sans-serif"/>
                  <w:b w:val="false"/>
                  <w:color w:val="000080"/>
                  <w:sz w:val="20"/>
                  <w:u w:val="single"/>
                </w:rPr>
                <w:t xml:space="preserve">egistration Rights Agreement, dated as of April 1, 2023, by and between </w:t>
              </w:r>
            </w:hyperlink>
            <w:hyperlink r:id="rId62">
              <w:r>
                <w:rPr>
                  <w:rStyle w:val="InternetLink"/>
                  <w:rFonts w:ascii="Times New Roman;sans-serif" w:hAnsi="Times New Roman;sans-serif"/>
                  <w:b w:val="false"/>
                  <w:color w:val="000080"/>
                  <w:sz w:val="20"/>
                  <w:u w:val="single"/>
                </w:rPr>
                <w:t>Bakkt Holdings, Inc. and Apex Fintech Solutions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iesofba.htm">
              <w:r>
                <w:rPr>
                  <w:rStyle w:val="InternetLink"/>
                  <w:rFonts w:ascii="Times New Roman;sans-serif" w:hAnsi="Times New Roman;sans-serif"/>
                  <w:b w:val="false"/>
                  <w:color w:val="0000FF"/>
                  <w:sz w:val="20"/>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2023bakktconsent32520.htm">
              <w:r>
                <w:rPr>
                  <w:rStyle w:val="InternetLink"/>
                  <w:rFonts w:ascii="Times New Roman;sans-serif" w:hAnsi="Times New Roman;sans-serif"/>
                  <w:b w:val="false"/>
                  <w:color w:val="0000FF"/>
                  <w:sz w:val="20"/>
                  <w:u w:val="single"/>
                </w:rPr>
                <w:t>Consent of Ernst &amp; Young LLP, independent registered public accounting firm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c1d6967fefb49029fa8a5436fef37d9_238">
              <w:r>
                <w:rPr>
                  <w:rStyle w:val="InternetLink"/>
                  <w:rFonts w:ascii="Times New Roman;sans-serif" w:hAnsi="Times New Roman;sans-serif"/>
                  <w:b w:val="false"/>
                  <w:color w:val="0000FF"/>
                  <w:sz w:val="20"/>
                  <w:u w:val="single"/>
                </w:rPr>
                <w:t>Powers of Attorney (included on the signature page of this Annual Report on Form 10-K).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ce.htm">
              <w:r>
                <w:rPr>
                  <w:rStyle w:val="InternetLink"/>
                  <w:rFonts w:ascii="Times New Roman;sans-serif" w:hAnsi="Times New Roman;sans-serif"/>
                  <w:b w:val="false"/>
                  <w:color w:val="0000FF"/>
                  <w:sz w:val="20"/>
                  <w:u w:val="single"/>
                </w:rPr>
                <w:t>Certification of the Chief Executive Officer pursuant to Exchange Act Rule 13a-14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cf.htm">
              <w:r>
                <w:rPr>
                  <w:rStyle w:val="InternetLink"/>
                  <w:rFonts w:ascii="Times New Roman;sans-serif" w:hAnsi="Times New Roman;sans-serif"/>
                  <w:b w:val="false"/>
                  <w:color w:val="0000FF"/>
                  <w:sz w:val="20"/>
                  <w:u w:val="single"/>
                </w:rPr>
                <w:t>Certification of the Chief Financial Officer pursuant to Exchange Act Rule 13a-14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ce.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ertification-cf.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color w:val="0000FF"/>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6"/>
        <w:gridCol w:w="297"/>
        <w:gridCol w:w="109"/>
        <w:gridCol w:w="109"/>
        <w:gridCol w:w="109"/>
        <w:gridCol w:w="1273"/>
        <w:gridCol w:w="1163"/>
        <w:gridCol w:w="1168"/>
        <w:gridCol w:w="109"/>
        <w:gridCol w:w="109"/>
        <w:gridCol w:w="109"/>
        <w:gridCol w:w="170"/>
        <w:gridCol w:w="170"/>
        <w:gridCol w:w="171"/>
        <w:gridCol w:w="109"/>
        <w:gridCol w:w="109"/>
        <w:gridCol w:w="109"/>
        <w:gridCol w:w="163"/>
        <w:gridCol w:w="163"/>
        <w:gridCol w:w="165"/>
        <w:gridCol w:w="109"/>
        <w:gridCol w:w="109"/>
        <w:gridCol w:w="109"/>
        <w:gridCol w:w="210"/>
        <w:gridCol w:w="210"/>
        <w:gridCol w:w="211"/>
        <w:gridCol w:w="109"/>
        <w:gridCol w:w="109"/>
        <w:gridCol w:w="109"/>
        <w:gridCol w:w="225"/>
        <w:gridCol w:w="225"/>
        <w:gridCol w:w="227"/>
        <w:gridCol w:w="109"/>
        <w:gridCol w:w="109"/>
        <w:gridCol w:w="109"/>
        <w:gridCol w:w="408"/>
        <w:gridCol w:w="408"/>
        <w:gridCol w:w="585"/>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clawbackpolicy.htm">
              <w:r>
                <w:rPr>
                  <w:rStyle w:val="InternetLink"/>
                  <w:rFonts w:ascii="Times New Roman;sans-serif" w:hAnsi="Times New Roman;sans-serif"/>
                  <w:b w:val="false"/>
                  <w:color w:val="000080"/>
                  <w:sz w:val="20"/>
                  <w:u w:val="single"/>
                </w:rPr>
                <w:t>C</w:t>
              </w:r>
            </w:hyperlink>
            <w:hyperlink w:anchor="ex97clawbackpolicy.htm">
              <w:r>
                <w:rPr>
                  <w:rStyle w:val="InternetLink"/>
                  <w:rFonts w:ascii="Times New Roman;sans-serif" w:hAnsi="Times New Roman;sans-serif"/>
                  <w:b w:val="false"/>
                  <w:color w:val="000080"/>
                  <w:sz w:val="20"/>
                  <w:u w:val="single"/>
                </w:rPr>
                <w:t>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*Schedules and exhibits to this agreement have been omitted pursuant to Item 601(b)(2) of Regulation S-K. A copy of any omitted schedule and/or exhibit will be furnished to the SEC upon request.</w:t>
      </w:r>
    </w:p>
    <w:p>
      <w:pPr>
        <w:pStyle w:val="TextBody"/>
        <w:bidi w:val="0"/>
        <w:spacing w:lineRule="auto" w:line="333"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 or arrangement.</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certifications attached as Exhibit 32.1 and 32.2 that accompany this Annual Report on Form 10-K are furnished,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33"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7059" w:type="dxa"/>
        <w:jc w:val="left"/>
        <w:tblInd w:w="0" w:type="dxa"/>
        <w:tblLayout w:type="fixed"/>
        <w:tblCellMar>
          <w:top w:w="28" w:type="dxa"/>
          <w:left w:w="28" w:type="dxa"/>
          <w:bottom w:w="28" w:type="dxa"/>
          <w:right w:w="28" w:type="dxa"/>
        </w:tblCellMar>
      </w:tblPr>
      <w:tblGrid>
        <w:gridCol w:w="216"/>
        <w:gridCol w:w="191"/>
        <w:gridCol w:w="192"/>
        <w:gridCol w:w="464"/>
        <w:gridCol w:w="464"/>
        <w:gridCol w:w="466"/>
        <w:gridCol w:w="109"/>
        <w:gridCol w:w="109"/>
        <w:gridCol w:w="109"/>
        <w:gridCol w:w="255"/>
        <w:gridCol w:w="255"/>
        <w:gridCol w:w="255"/>
        <w:gridCol w:w="255"/>
        <w:gridCol w:w="255"/>
        <w:gridCol w:w="255"/>
        <w:gridCol w:w="926"/>
        <w:gridCol w:w="926"/>
        <w:gridCol w:w="135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333" w:before="240" w:after="283"/>
        <w:ind w:left="0" w:right="0" w:firstLine="720"/>
        <w:jc w:val="both"/>
        <w:rPr/>
      </w:pPr>
      <w:r>
        <w:rPr>
          <w:rFonts w:ascii="Times New Roman;sans-serif" w:hAnsi="Times New Roman;sans-serif"/>
          <w:b w:val="false"/>
          <w:color w:val="000000"/>
          <w:sz w:val="20"/>
        </w:rPr>
        <w:t xml:space="preserve">KNOW ALL PERSONS BY THESE PRESENTS, that each person whose signature appears below constitutes and appoints </w:t>
      </w:r>
      <w:r>
        <w:rPr>
          <w:rFonts w:ascii="Times New Roman;sans-serif" w:hAnsi="Times New Roman;sans-serif"/>
          <w:b w:val="false"/>
          <w:color w:val="000000"/>
          <w:sz w:val="20"/>
          <w:shd w:fill="FFFFFF" w:val="clear"/>
        </w:rPr>
        <w:t>Andrew Main, Marc D’Annunzio and Karen Alexander</w:t>
      </w:r>
      <w:r>
        <w:rPr>
          <w:rFonts w:ascii="Times New Roman;sans-serif" w:hAnsi="Times New Roman;sans-serif"/>
          <w:b w:val="false"/>
          <w:color w:val="000000"/>
          <w:sz w:val="20"/>
        </w:rPr>
        <w:t xml:space="preserve">, and each one of them, as their true and lawful attorneys-in-fact and agents, with full power of substitution and resubstitution, for them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0c1d6967fefb49029fa8a5436fef37d9_7">
        <w:r>
          <w:rPr>
            <w:rStyle w:val="InternetLink"/>
            <w:rFonts w:ascii="Times New Roman;sans-serif" w:hAnsi="Times New Roman;sans-serif"/>
            <w:b w:val="false"/>
            <w:strike w:val="false"/>
            <w:dstrike w:val="false"/>
            <w:color w:val="0000FF"/>
            <w:sz w:val="20"/>
            <w:u w:val="none"/>
            <w:effect w:val="none"/>
          </w:rPr>
          <w:t>Table of Contents</w:t>
        </w:r>
      </w:hyperlink>
    </w:p>
    <w:p>
      <w:pPr>
        <w:pStyle w:val="TextBody"/>
        <w:bidi w:val="0"/>
        <w:spacing w:lineRule="auto" w:line="333"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1934, this report has been signed by the following persons on behalf of the registrant and in the capacities and on the dates indicated. </w:t>
      </w:r>
    </w:p>
    <w:tbl>
      <w:tblPr>
        <w:tblW w:w="7688" w:type="dxa"/>
        <w:jc w:val="left"/>
        <w:tblInd w:w="0" w:type="dxa"/>
        <w:tblLayout w:type="fixed"/>
        <w:tblCellMar>
          <w:top w:w="28" w:type="dxa"/>
          <w:left w:w="28" w:type="dxa"/>
          <w:bottom w:w="28" w:type="dxa"/>
          <w:right w:w="28" w:type="dxa"/>
        </w:tblCellMar>
      </w:tblPr>
      <w:tblGrid>
        <w:gridCol w:w="748"/>
        <w:gridCol w:w="659"/>
        <w:gridCol w:w="663"/>
        <w:gridCol w:w="109"/>
        <w:gridCol w:w="109"/>
        <w:gridCol w:w="109"/>
        <w:gridCol w:w="1314"/>
        <w:gridCol w:w="1314"/>
        <w:gridCol w:w="1331"/>
        <w:gridCol w:w="109"/>
        <w:gridCol w:w="109"/>
        <w:gridCol w:w="109"/>
        <w:gridCol w:w="292"/>
        <w:gridCol w:w="292"/>
        <w:gridCol w:w="421"/>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70"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Director </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240" w:after="283"/>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Chip Goodroe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Chip Goodroe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C. Clifton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Clifton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Sean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0"/>
              <w:ind w:left="0" w:right="0" w:hanging="20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0"/>
              <w:ind w:left="0" w:right="0" w:firstLine="756"/>
              <w:jc w:val="center"/>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Michelle J. Goldberg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Michelle J. Goldberg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0"/>
              <w:ind w:left="0" w:right="0" w:hanging="20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0"/>
              <w:ind w:left="0" w:right="0" w:firstLine="720"/>
              <w:jc w:val="center"/>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Richard Lumb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Lumb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Andrew A. Main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A. Main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0"/>
              <w:ind w:left="0" w:right="0" w:firstLine="720"/>
              <w:jc w:val="center"/>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Gordon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Watson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0"/>
              <w:ind w:left="0" w:right="0" w:firstLine="720"/>
              <w:jc w:val="center"/>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De’Ana Dow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De’Ana Dow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0"/>
              <w:ind w:left="0" w:right="0" w:hanging="20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0"/>
              <w:ind w:left="0" w:right="0" w:firstLine="720"/>
              <w:jc w:val="center"/>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Jill Simeone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Jill Simeone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10.11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8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40" w:before="39" w:after="283"/>
        <w:jc w:val="center"/>
        <w:rPr>
          <w:rFonts w:ascii="Calibri;sans-serif" w:hAnsi="Calibri;sans-serif"/>
          <w:b/>
          <w:color w:val="000000"/>
          <w:sz w:val="24"/>
        </w:rPr>
      </w:pPr>
      <w:r>
        <w:rPr>
          <w:rFonts w:ascii="Calibri;sans-serif" w:hAnsi="Calibri;sans-serif"/>
          <w:b/>
          <w:color w:val="000000"/>
          <w:sz w:val="24"/>
        </w:rPr>
        <w:t>AMENDMENT NO.1</w: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TO</w: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BAKKT HOLDINGS, INC.</w:t>
      </w:r>
    </w:p>
    <w:p>
      <w:pPr>
        <w:pStyle w:val="TextBody"/>
        <w:bidi w:val="0"/>
        <w:spacing w:lineRule="auto" w:line="240" w:before="0" w:after="0"/>
        <w:jc w:val="left"/>
        <w:rPr>
          <w:rFonts w:ascii="Calibri;sans-serif" w:hAnsi="Calibri;sans-serif"/>
          <w:b/>
          <w:color w:val="000000"/>
          <w:sz w:val="24"/>
        </w:rPr>
      </w:pPr>
      <w:r>
        <w:rPr>
          <w:rFonts w:ascii="Calibri;sans-serif" w:hAnsi="Calibri;sans-serif"/>
          <w:b/>
          <w:color w:val="000000"/>
          <w:sz w:val="24"/>
        </w:rPr>
        <w:t>2021 OMNIBUS INCENTIVE PLAN</w:t>
      </w:r>
    </w:p>
    <w:p>
      <w:pPr>
        <w:pStyle w:val="TextBody"/>
        <w:bidi w:val="0"/>
        <w:spacing w:before="0" w:after="0"/>
        <w:jc w:val="left"/>
        <w:rPr/>
      </w:pPr>
      <w:r>
        <w:rPr/>
      </w:r>
    </w:p>
    <w:p>
      <w:pPr>
        <w:pStyle w:val="TextBody"/>
        <w:bidi w:val="0"/>
        <w:spacing w:lineRule="auto" w:line="240" w:before="1" w:after="283"/>
        <w:ind w:left="0" w:right="0" w:firstLine="720"/>
        <w:jc w:val="both"/>
        <w:rPr/>
      </w:pPr>
      <w:r>
        <w:rPr>
          <w:rFonts w:ascii="Calibri;sans-serif" w:hAnsi="Calibri;sans-serif"/>
          <w:b w:val="false"/>
          <w:color w:val="000000"/>
          <w:sz w:val="24"/>
        </w:rPr>
        <w:t>This Amendment No. 1 dated April 18, 2023 (this “</w:t>
      </w:r>
      <w:r>
        <w:rPr>
          <w:rFonts w:ascii="Calibri;sans-serif" w:hAnsi="Calibri;sans-serif"/>
          <w:b w:val="false"/>
          <w:color w:val="000000"/>
          <w:sz w:val="24"/>
          <w:u w:val="single"/>
        </w:rPr>
        <w:t>Amendment</w:t>
      </w:r>
      <w:r>
        <w:rPr>
          <w:color w:val="000000"/>
        </w:rPr>
        <w:t>”</w:t>
      </w:r>
      <w:r>
        <w:rPr>
          <w:rFonts w:ascii="Calibri;sans-serif" w:hAnsi="Calibri;sans-serif"/>
          <w:b w:val="false"/>
          <w:color w:val="000000"/>
          <w:sz w:val="24"/>
        </w:rPr>
        <w:t>) amends the 2021 Omnibus Incentive Plan of Bakkt Holdings, Inc. (the “</w:t>
      </w:r>
      <w:r>
        <w:rPr>
          <w:rFonts w:ascii="Calibri;sans-serif" w:hAnsi="Calibri;sans-serif"/>
          <w:b w:val="false"/>
          <w:color w:val="000000"/>
          <w:sz w:val="24"/>
          <w:u w:val="single"/>
        </w:rPr>
        <w:t>Company</w:t>
      </w:r>
      <w:r>
        <w:rPr>
          <w:color w:val="000000"/>
        </w:rPr>
        <w:t>”</w:t>
      </w:r>
      <w:r>
        <w:rPr>
          <w:rFonts w:ascii="Calibri;sans-serif" w:hAnsi="Calibri;sans-serif"/>
          <w:b w:val="false"/>
          <w:color w:val="000000"/>
          <w:sz w:val="24"/>
        </w:rPr>
        <w:t>, and such plan, the “</w:t>
      </w:r>
      <w:r>
        <w:rPr>
          <w:rFonts w:ascii="Calibri;sans-serif" w:hAnsi="Calibri;sans-serif"/>
          <w:b w:val="false"/>
          <w:color w:val="000000"/>
          <w:sz w:val="24"/>
          <w:u w:val="single"/>
        </w:rPr>
        <w:t>Plan</w:t>
      </w:r>
      <w:r>
        <w:rPr>
          <w:color w:val="000000"/>
        </w:rPr>
        <w:t>”</w:t>
      </w:r>
      <w:r>
        <w:rPr>
          <w:rFonts w:ascii="Calibri;sans-serif" w:hAnsi="Calibri;sans-serif"/>
          <w:b w:val="false"/>
          <w:color w:val="000000"/>
          <w:sz w:val="24"/>
        </w:rPr>
        <w:t>). Except as otherwise explicitly set forth herein, all provisions of the Plan shall remain in full force and effect. Capitalized terms used in the Amendment without definition shall have meanings set forth in the Plan.</w:t>
      </w:r>
    </w:p>
    <w:p>
      <w:pPr>
        <w:pStyle w:val="TextBody"/>
        <w:bidi w:val="0"/>
        <w:spacing w:before="0" w:after="0"/>
        <w:jc w:val="left"/>
        <w:rPr/>
      </w:pPr>
      <w:r>
        <w:rPr/>
      </w:r>
    </w:p>
    <w:p>
      <w:pPr>
        <w:pStyle w:val="TextBody"/>
        <w:bidi w:val="0"/>
        <w:spacing w:lineRule="auto" w:line="240" w:before="0" w:after="0"/>
        <w:ind w:left="0" w:right="0" w:firstLine="720"/>
        <w:jc w:val="both"/>
        <w:rPr>
          <w:rFonts w:ascii="Calibri;sans-serif" w:hAnsi="Calibri;sans-serif"/>
          <w:b w:val="false"/>
          <w:color w:val="000000"/>
          <w:sz w:val="24"/>
        </w:rPr>
      </w:pPr>
      <w:r>
        <w:rPr>
          <w:rFonts w:ascii="Calibri;sans-serif" w:hAnsi="Calibri;sans-serif"/>
          <w:b w:val="false"/>
          <w:color w:val="000000"/>
          <w:sz w:val="24"/>
        </w:rPr>
        <w:t>WHEREAS, the Company desires to amend the Plan as hereinafter provided in order to increase the number of shares of Common Stock issuable under the Plan from 25,816,946 to 52,407,412; and</w:t>
      </w:r>
    </w:p>
    <w:p>
      <w:pPr>
        <w:pStyle w:val="TextBody"/>
        <w:bidi w:val="0"/>
        <w:spacing w:lineRule="auto" w:line="240" w:before="292" w:after="283"/>
        <w:ind w:left="0" w:right="0" w:firstLine="720"/>
        <w:jc w:val="both"/>
        <w:rPr>
          <w:rFonts w:ascii="Calibri;sans-serif" w:hAnsi="Calibri;sans-serif"/>
          <w:b w:val="false"/>
          <w:color w:val="000000"/>
          <w:sz w:val="24"/>
        </w:rPr>
      </w:pPr>
      <w:r>
        <w:rPr>
          <w:rFonts w:ascii="Calibri;sans-serif" w:hAnsi="Calibri;sans-serif"/>
          <w:b w:val="false"/>
          <w:color w:val="000000"/>
          <w:sz w:val="24"/>
        </w:rPr>
        <w:t>WHEREAS, the Board of Directors approved the substance of this Amendment as of April 18, 2023, and accordingly, the Company desires to amend the Plan as hereinafter provided.</w:t>
      </w:r>
    </w:p>
    <w:p>
      <w:pPr>
        <w:pStyle w:val="TextBody"/>
        <w:bidi w:val="0"/>
        <w:spacing w:before="1" w:after="283"/>
        <w:jc w:val="left"/>
        <w:rPr/>
      </w:pPr>
      <w:r>
        <w:rPr/>
      </w:r>
    </w:p>
    <w:p>
      <w:pPr>
        <w:pStyle w:val="TextBody"/>
        <w:bidi w:val="0"/>
        <w:spacing w:lineRule="auto" w:line="240" w:before="0" w:after="0"/>
        <w:jc w:val="left"/>
        <w:rPr>
          <w:rFonts w:ascii="Calibri;sans-serif" w:hAnsi="Calibri;sans-serif"/>
          <w:b w:val="false"/>
          <w:color w:val="000000"/>
          <w:sz w:val="24"/>
        </w:rPr>
      </w:pPr>
      <w:r>
        <w:rPr>
          <w:rFonts w:ascii="Calibri;sans-serif" w:hAnsi="Calibri;sans-serif"/>
          <w:b w:val="false"/>
          <w:color w:val="000000"/>
          <w:sz w:val="24"/>
        </w:rPr>
        <w:t>NOW, THEREFORE, the Plan is hereby amended as follows:</w:t>
      </w:r>
    </w:p>
    <w:p>
      <w:pPr>
        <w:pStyle w:val="TextBody"/>
        <w:bidi w:val="0"/>
        <w:spacing w:lineRule="auto" w:line="240" w:before="292" w:after="283"/>
        <w:ind w:left="0" w:right="0" w:hanging="360"/>
        <w:jc w:val="left"/>
        <w:rPr/>
      </w:pPr>
      <w:r>
        <w:rPr>
          <w:rFonts w:ascii="Calibri;sans-serif" w:hAnsi="Calibri;sans-serif"/>
          <w:b w:val="false"/>
          <w:color w:val="000000"/>
          <w:sz w:val="24"/>
        </w:rPr>
        <w:t>1.</w:t>
      </w:r>
      <w:r>
        <w:rPr>
          <w:rFonts w:ascii="Calibri;sans-serif" w:hAnsi="Calibri;sans-serif"/>
          <w:b w:val="false"/>
          <w:color w:val="000000"/>
          <w:sz w:val="24"/>
          <w:u w:val="single"/>
        </w:rPr>
        <w:t>Increase in Number of Shares Subject to the Plan</w:t>
      </w:r>
      <w:r>
        <w:rPr>
          <w:rFonts w:ascii="Calibri;sans-serif" w:hAnsi="Calibri;sans-serif"/>
          <w:b w:val="false"/>
          <w:color w:val="000000"/>
          <w:sz w:val="24"/>
        </w:rPr>
        <w:t>. Section 1.3.1 of the Plan is amended to read in its entirety as follows:</w:t>
      </w:r>
    </w:p>
    <w:p>
      <w:pPr>
        <w:pStyle w:val="TextBody"/>
        <w:bidi w:val="0"/>
        <w:spacing w:before="0" w:after="0"/>
        <w:jc w:val="left"/>
        <w:rPr/>
      </w:pPr>
      <w:r>
        <w:rPr/>
      </w:r>
    </w:p>
    <w:p>
      <w:pPr>
        <w:pStyle w:val="TextBody"/>
        <w:bidi w:val="0"/>
        <w:spacing w:lineRule="auto" w:line="240" w:before="0" w:after="0"/>
        <w:jc w:val="both"/>
        <w:rPr/>
      </w:pPr>
      <w:r>
        <w:rPr>
          <w:rFonts w:ascii="Calibri;sans-serif" w:hAnsi="Calibri;sans-serif"/>
          <w:b w:val="false"/>
          <w:color w:val="000000"/>
          <w:sz w:val="24"/>
        </w:rPr>
        <w:t>Subject to the other provisions of this Section 1.3, the total number of Shares that may be granted under the Plan will be 52,407,412 (the “</w:t>
      </w:r>
      <w:r>
        <w:rPr>
          <w:rFonts w:ascii="Calibri;sans-serif" w:hAnsi="Calibri;sans-serif"/>
          <w:b/>
          <w:color w:val="000000"/>
          <w:sz w:val="24"/>
        </w:rPr>
        <w:t>Share Limit</w:t>
      </w:r>
      <w:r>
        <w:rPr>
          <w:color w:val="000000"/>
        </w:rPr>
        <w:t>”</w:t>
      </w:r>
      <w:r>
        <w:rPr>
          <w:rFonts w:ascii="Calibri;sans-serif" w:hAnsi="Calibri;sans-serif"/>
          <w:b w:val="false"/>
          <w:color w:val="000000"/>
          <w:sz w:val="24"/>
        </w:rPr>
        <w: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Calibri;sans-serif" w:hAnsi="Calibri;sans-serif"/>
          <w:b/>
          <w:color w:val="000000"/>
          <w:sz w:val="24"/>
        </w:rPr>
        <w:t>Acquisition Awards</w:t>
      </w:r>
      <w:r>
        <w:rPr>
          <w:color w:val="000000"/>
        </w:rPr>
        <w:t>”</w:t>
      </w:r>
      <w:r>
        <w:rPr>
          <w:rFonts w:ascii="Calibri;sans-serif" w:hAnsi="Calibri;sans-serif"/>
          <w:b w:val="false"/>
          <w:color w:val="000000"/>
          <w:sz w:val="24"/>
        </w:rPr>
        <w:t xml:space="preserve">) will not count against the number of Shares that may be granted under the Plan or be subject to the minimum vesting provisions in Section 2.4.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Calibri;sans-serif" w:hAnsi="Calibri;sans-serif"/>
          <w:b w:val="false"/>
          <w:color w:val="000000"/>
          <w:sz w:val="24"/>
          <w:u w:val="single"/>
        </w:rPr>
        <w:t>Section 1.3.3</w:t>
      </w:r>
      <w:r>
        <w:rPr>
          <w:rFonts w:ascii="Calibri;sans-serif" w:hAnsi="Calibri;sans-serif"/>
          <w:b w:val="false"/>
          <w:color w:val="000000"/>
          <w:sz w:val="24"/>
        </w:rPr>
        <w:t>) may be delivered through Incentive Stock Options.</w:t>
      </w:r>
    </w:p>
    <w:p>
      <w:pPr>
        <w:pStyle w:val="TextBody"/>
        <w:bidi w:val="0"/>
        <w:spacing w:before="0" w:after="0"/>
        <w:jc w:val="left"/>
        <w:rPr/>
      </w:pPr>
      <w:r>
        <w:rPr/>
      </w:r>
    </w:p>
    <w:p>
      <w:pPr>
        <w:pStyle w:val="TextBody"/>
        <w:bidi w:val="0"/>
        <w:spacing w:lineRule="auto" w:line="240"/>
        <w:ind w:left="0" w:right="0" w:hanging="360"/>
        <w:jc w:val="left"/>
        <w:rPr/>
      </w:pPr>
      <w:r>
        <w:rPr>
          <w:rFonts w:ascii="Calibri;sans-serif" w:hAnsi="Calibri;sans-serif"/>
          <w:b w:val="false"/>
          <w:color w:val="000000"/>
          <w:sz w:val="24"/>
        </w:rPr>
        <w:t>2.</w:t>
      </w:r>
      <w:r>
        <w:rPr>
          <w:rFonts w:ascii="Calibri;sans-serif" w:hAnsi="Calibri;sans-serif"/>
          <w:b w:val="false"/>
          <w:color w:val="000000"/>
          <w:sz w:val="24"/>
          <w:u w:val="single"/>
        </w:rPr>
        <w:t>Effective Date</w:t>
      </w:r>
      <w:r>
        <w:rPr>
          <w:rFonts w:ascii="Calibri;sans-serif" w:hAnsi="Calibri;sans-serif"/>
          <w:b w:val="false"/>
          <w:color w:val="000000"/>
          <w:sz w:val="24"/>
        </w:rPr>
        <w:t>. The increase in the number of shares of Common Stock issuable under the Plan pursuant to Section 1 of this Amendment shall be effective upon receipt of approval for such increase by the Company’s stockholders, and shall be subject to and contingent upon receipt of such approval.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Exhibit 21.1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Calibri;sans-serif" w:hAnsi="Calibri;sans-serif"/>
          <w:b w:val="false"/>
          <w:color w:val="000000"/>
          <w:sz w:val="22"/>
          <w:u w:val="single"/>
        </w:rPr>
      </w:pPr>
      <w:r>
        <w:rPr>
          <w:rFonts w:ascii="Calibri;sans-serif" w:hAnsi="Calibri;sans-serif"/>
          <w:b w:val="false"/>
          <w:color w:val="000000"/>
          <w:sz w:val="22"/>
          <w:u w:val="single"/>
        </w:rPr>
        <w:t>Subsidiaries of Bakkt Holdings, Inc.</w:t>
      </w:r>
    </w:p>
    <w:p>
      <w:pPr>
        <w:pStyle w:val="TextBody"/>
        <w:bidi w:val="0"/>
        <w:spacing w:before="0" w:after="0"/>
        <w:jc w:val="left"/>
        <w:rPr/>
      </w:pPr>
      <w:r>
        <w:rPr/>
      </w:r>
    </w:p>
    <w:tbl>
      <w:tblPr>
        <w:tblW w:w="4426" w:type="dxa"/>
        <w:jc w:val="left"/>
        <w:tblInd w:w="0" w:type="dxa"/>
        <w:tblLayout w:type="fixed"/>
        <w:tblCellMar>
          <w:top w:w="28" w:type="dxa"/>
          <w:left w:w="28" w:type="dxa"/>
          <w:bottom w:w="28" w:type="dxa"/>
          <w:right w:w="28" w:type="dxa"/>
        </w:tblCellMar>
      </w:tblPr>
      <w:tblGrid>
        <w:gridCol w:w="1180"/>
        <w:gridCol w:w="1035"/>
        <w:gridCol w:w="1040"/>
        <w:gridCol w:w="343"/>
        <w:gridCol w:w="343"/>
        <w:gridCol w:w="485"/>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Name of Subsidiary</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Jurisdiction</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Opco Holdings,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Trust Company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New York</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Marketplace,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Virginia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Trade,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Virginia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Clearing,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Illinois</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Bridge2Solutions,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B2S Direct,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Florida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B2S Canada,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Florida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Crypto Australia Pty Ltd</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Australia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Bridge2 Solutions Canada Ltd.</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Canada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Aspire Loyalty Travel Solutions,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Florida</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B2S Resale,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Brokerage,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Bakkt Crypto Solutions, LLC</w:t>
            </w:r>
          </w:p>
        </w:tc>
        <w:tc>
          <w:tcPr>
            <w:tcW w:w="117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Calibri;sans-serif" w:hAnsi="Calibri;sans-serif"/>
          <w:b w:val="false"/>
          <w:color w:val="000000"/>
          <w:sz w:val="22"/>
        </w:rPr>
      </w:pPr>
      <w:r>
        <w:rPr>
          <w:rFonts w:ascii="Calibri;sans-serif" w:hAnsi="Calibri;sans-serif"/>
          <w:b w:val="false"/>
          <w:color w:val="000000"/>
          <w:sz w:val="22"/>
        </w:rPr>
        <w:t>Exhibit 23.1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5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87"/>
        <w:gridCol w:w="2861"/>
        <w:gridCol w:w="4057"/>
      </w:tblGrid>
      <w:tr>
        <w:trPr/>
        <w:tc>
          <w:tcPr>
            <w:tcW w:w="328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tc>
      </w:tr>
      <w:tr>
        <w:trPr/>
        <w:tc>
          <w:tcPr>
            <w:tcW w:w="10205" w:type="dxa"/>
            <w:gridSpan w:val="3"/>
            <w:tcBorders/>
            <w:tcMar>
              <w:top w:w="0" w:type="dxa"/>
              <w:left w:w="0" w:type="dxa"/>
              <w:bottom w:w="0" w:type="dxa"/>
              <w:right w:w="0" w:type="dxa"/>
            </w:tcMar>
            <w:vAlign w:val="center"/>
          </w:tcPr>
          <w:p>
            <w:pPr>
              <w:pStyle w:val="TableContents"/>
              <w:bidi w:val="0"/>
              <w:spacing w:before="100" w:after="283"/>
              <w:jc w:val="left"/>
              <w:rPr/>
            </w:pPr>
            <w:r>
              <w:rPr/>
            </w:r>
          </w:p>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ableContents"/>
              <w:bidi w:val="0"/>
              <w:spacing w:lineRule="auto" w:line="240"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S-8 No. 333-275869) pertaining to the 2021 Omnibus Incentive Plan of Bakkt Holdings, Inc.</w:t>
            </w:r>
          </w:p>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333-262037) pertaining to the Second Amended and Restated Bakkt Equity Incentive Plan of Bakkt Opco Holdings, LLC</w:t>
            </w:r>
          </w:p>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(3)Registration Statement (Form S-3 No. 333-271438), for the registration of the 46,402,403 shares of Class A common stock</w:t>
            </w:r>
          </w:p>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(4)Registration Statement (Form S-3 No. 333-271362), for the registration of 7,140,808 shares of Class A common stock</w:t>
            </w:r>
          </w:p>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(5)Registration Statement (Form S-3 No. 333-261034), for the registration of 180,511,924 shares of Class A common stock </w:t>
            </w:r>
          </w:p>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(6)Registration Statement (Form S-3 No. 333-271361), for the registration of Class A Common Stock, Preferred Stock, Debt Securities, Warrants and Units with an aggregate offering price not to exceed $150,000,000;</w:t>
            </w:r>
          </w:p>
          <w:p>
            <w:pPr>
              <w:pStyle w:val="TableContents"/>
              <w:bidi w:val="0"/>
              <w:spacing w:lineRule="auto" w:line="240"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 dated March 25, 2024, with respect to the consolidated financial statements of Bakkt Holdings, Inc., included in this Annual Report (Form 10-K) of Bakkt Holdings, Inc. for the fiscal year ended December 31, 2023.</w:t>
            </w:r>
          </w:p>
          <w:p>
            <w:pPr>
              <w:pStyle w:val="TableContents"/>
              <w:bidi w:val="0"/>
              <w:spacing w:before="100" w:after="283"/>
              <w:jc w:val="left"/>
              <w:rPr/>
            </w:pPr>
            <w:r>
              <w:rPr/>
            </w:r>
          </w:p>
          <w:p>
            <w:pPr>
              <w:pStyle w:val="TableContents"/>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ableContents"/>
              <w:bidi w:val="0"/>
              <w:spacing w:before="100" w:after="283"/>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Gavin Michael, certify that: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Bakkt Holdings, Inc.;</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555" w:type="dxa"/>
        <w:jc w:val="left"/>
        <w:tblInd w:w="0" w:type="dxa"/>
        <w:tblLayout w:type="fixed"/>
        <w:tblCellMar>
          <w:top w:w="28" w:type="dxa"/>
          <w:left w:w="28" w:type="dxa"/>
          <w:bottom w:w="28" w:type="dxa"/>
          <w:right w:w="28" w:type="dxa"/>
        </w:tblCellMar>
      </w:tblPr>
      <w:tblGrid>
        <w:gridCol w:w="606"/>
        <w:gridCol w:w="535"/>
        <w:gridCol w:w="538"/>
        <w:gridCol w:w="109"/>
        <w:gridCol w:w="109"/>
        <w:gridCol w:w="109"/>
        <w:gridCol w:w="120"/>
        <w:gridCol w:w="120"/>
        <w:gridCol w:w="120"/>
        <w:gridCol w:w="640"/>
        <w:gridCol w:w="640"/>
        <w:gridCol w:w="909"/>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Gavin Michael</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Gavin Michael</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Karen Alexander, certify that: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Bakkt Holdings, Inc.;</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511" w:type="dxa"/>
        <w:jc w:val="left"/>
        <w:tblInd w:w="0" w:type="dxa"/>
        <w:tblLayout w:type="fixed"/>
        <w:tblCellMar>
          <w:top w:w="28" w:type="dxa"/>
          <w:left w:w="28" w:type="dxa"/>
          <w:bottom w:w="28" w:type="dxa"/>
          <w:right w:w="28" w:type="dxa"/>
        </w:tblCellMar>
      </w:tblPr>
      <w:tblGrid>
        <w:gridCol w:w="606"/>
        <w:gridCol w:w="535"/>
        <w:gridCol w:w="538"/>
        <w:gridCol w:w="109"/>
        <w:gridCol w:w="109"/>
        <w:gridCol w:w="109"/>
        <w:gridCol w:w="120"/>
        <w:gridCol w:w="120"/>
        <w:gridCol w:w="120"/>
        <w:gridCol w:w="627"/>
        <w:gridCol w:w="627"/>
        <w:gridCol w:w="891"/>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Karen Alexander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Karen Alexander</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Bakkt Holdings, Inc. (the “Company”) on Form 10-K for the fiscal year ended December 31, 2023 as filed with the Securities and Exchange Commission on the date hereof (the “Report”), I, Gavin Michael, the Chief Executive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094"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25"/>
        <w:gridCol w:w="725"/>
        <w:gridCol w:w="102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Gavin Michael</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Gavin Michael</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Bakkt Holdings, Inc. (the “Company”) on Form 10-K for the fiscal year ended December 31, 2023 as filed with the Securities and Exchange Commission on the date hereof (the “Report”), I, Karen Alexander, the Chief Financial Officer of the Company, hereby certify, pursuant to 18 U.S.C. § 1350, as adopted pursuant to § 906 of the Sarbanes-Oxley Act of 2002, that:</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034"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4"/>
        <w:gridCol w:w="134"/>
        <w:gridCol w:w="136"/>
        <w:gridCol w:w="706"/>
        <w:gridCol w:w="706"/>
        <w:gridCol w:w="100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center"/>
        <w:rPr>
          <w:rFonts w:ascii="Times New Roman;sans-serif" w:hAnsi="Times New Roman;sans-serif"/>
          <w:b/>
          <w:color w:val="000000"/>
          <w:sz w:val="24"/>
        </w:rPr>
      </w:pPr>
      <w:r>
        <w:rPr>
          <w:rFonts w:ascii="Times New Roman;sans-serif" w:hAnsi="Times New Roman;sans-serif"/>
          <w:b/>
          <w:color w:val="000000"/>
          <w:sz w:val="24"/>
        </w:rPr>
        <w:t>BAKKT HOLDINGS, INC.</w:t>
      </w:r>
    </w:p>
    <w:p>
      <w:pPr>
        <w:pStyle w:val="TextBody"/>
        <w:bidi w:val="0"/>
        <w:spacing w:lineRule="auto" w:line="240" w:before="0" w:after="180"/>
        <w:jc w:val="center"/>
        <w:rPr>
          <w:rFonts w:ascii="Times New Roman;sans-serif" w:hAnsi="Times New Roman;sans-serif"/>
          <w:b/>
          <w:color w:val="000000"/>
          <w:sz w:val="24"/>
        </w:rPr>
      </w:pPr>
      <w:r>
        <w:rPr>
          <w:rFonts w:ascii="Times New Roman;sans-serif" w:hAnsi="Times New Roman;sans-serif"/>
          <w:b/>
          <w:color w:val="000000"/>
          <w:sz w:val="24"/>
        </w:rPr>
        <w:t>["the Company"]</w:t>
      </w:r>
    </w:p>
    <w:p>
      <w:pPr>
        <w:pStyle w:val="TextBody"/>
        <w:bidi w:val="0"/>
        <w:spacing w:lineRule="auto" w:line="240" w:before="0" w:after="18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ans-serif" w:hAnsi="Times New Roman;sans-serif"/>
          <w:b/>
          <w:color w:val="000000"/>
          <w:sz w:val="22"/>
        </w:rPr>
        <w:t>1.</w:t>
      </w:r>
      <w:r>
        <w:rPr>
          <w:rFonts w:ascii="Times New Roman;sans-serif" w:hAnsi="Times New Roman;sans-serif"/>
          <w:b/>
          <w:color w:val="000000"/>
          <w:sz w:val="22"/>
          <w:u w:val="single"/>
        </w:rPr>
        <w:t>Introduction</w:t>
      </w:r>
    </w:p>
    <w:p>
      <w:pPr>
        <w:pStyle w:val="TextBody"/>
        <w:bidi w:val="0"/>
        <w:spacing w:lineRule="auto" w:line="240" w:before="120" w:after="283"/>
        <w:jc w:val="both"/>
        <w:rPr/>
      </w:pPr>
      <w:r>
        <w:rPr>
          <w:rFonts w:ascii="Times New Roman;sans-serif" w:hAnsi="Times New Roman;sans-serif"/>
          <w:b w:val="false"/>
          <w:color w:val="000000"/>
          <w:sz w:val="24"/>
        </w:rPr>
        <w:t>The Board of Directors of the Company (the "</w:t>
      </w:r>
      <w:r>
        <w:rPr>
          <w:rFonts w:ascii="Times New Roman;sans-serif" w:hAnsi="Times New Roman;sans-serif"/>
          <w:b/>
          <w:color w:val="000000"/>
          <w:sz w:val="24"/>
        </w:rPr>
        <w:t>Board</w:t>
      </w:r>
      <w:r>
        <w:rPr>
          <w:rFonts w:ascii="Times New Roman;sans-serif" w:hAnsi="Times New Roman;sans-serif"/>
          <w:b w:val="false"/>
          <w:color w:val="000000"/>
          <w:sz w:val="24"/>
        </w:rPr>
        <w:t>") believes that it is in the best interests of the Company and its shareholders to create and maintain a culture that emphasizes integrity and accountability. The Board has therefore adopted this policy which provides for the recoupment of certain executive compensation in the event of an accounting restatement (the "</w:t>
      </w:r>
      <w:r>
        <w:rPr>
          <w:rFonts w:ascii="Times New Roman;sans-serif" w:hAnsi="Times New Roman;sans-serif"/>
          <w:b/>
          <w:color w:val="000000"/>
          <w:sz w:val="24"/>
        </w:rPr>
        <w:t>Policy</w:t>
      </w:r>
      <w:r>
        <w:rPr>
          <w:rFonts w:ascii="Times New Roman;sans-serif" w:hAnsi="Times New Roman;sans-serif"/>
          <w:b w:val="false"/>
          <w:color w:val="000000"/>
          <w:sz w:val="24"/>
        </w:rPr>
        <w:t>"). This Policy is designed to comply with Section 10D of the Securities Exchange Act of 1934 (the "</w:t>
      </w:r>
      <w:r>
        <w:rPr>
          <w:rFonts w:ascii="Times New Roman;sans-serif" w:hAnsi="Times New Roman;sans-serif"/>
          <w:b/>
          <w:color w:val="000000"/>
          <w:sz w:val="24"/>
        </w:rPr>
        <w:t>Exchange Act</w:t>
      </w:r>
      <w:r>
        <w:rPr>
          <w:rFonts w:ascii="Times New Roman;sans-serif" w:hAnsi="Times New Roman;sans-serif"/>
          <w:b w:val="false"/>
          <w:color w:val="000000"/>
          <w:sz w:val="24"/>
        </w:rPr>
        <w:t>") and the requirements of Section 303A.14 of the New York Stock Exchange (“</w:t>
      </w:r>
      <w:r>
        <w:rPr>
          <w:rFonts w:ascii="Times New Roman;sans-serif" w:hAnsi="Times New Roman;sans-serif"/>
          <w:b/>
          <w:color w:val="000000"/>
          <w:sz w:val="24"/>
        </w:rPr>
        <w:t>NYSE</w:t>
      </w:r>
      <w:r>
        <w:rPr>
          <w:color w:val="000000"/>
        </w:rPr>
        <w:t>”</w:t>
      </w:r>
      <w:r>
        <w:rPr>
          <w:rFonts w:ascii="Times New Roman;sans-serif" w:hAnsi="Times New Roman;sans-serif"/>
          <w:b w:val="false"/>
          <w:color w:val="000000"/>
          <w:sz w:val="24"/>
        </w:rPr>
        <w:t>) Listed Company Manual. Certain terms used in this Policy are defined in Section 15 below.</w:t>
      </w:r>
    </w:p>
    <w:p>
      <w:pPr>
        <w:pStyle w:val="TextBody"/>
        <w:bidi w:val="0"/>
        <w:spacing w:lineRule="auto" w:line="240" w:before="120" w:after="283"/>
        <w:ind w:left="0" w:right="0" w:hanging="360"/>
        <w:jc w:val="both"/>
        <w:rPr/>
      </w:pPr>
      <w:r>
        <w:rPr>
          <w:rFonts w:ascii="Times New Roman;sans-serif" w:hAnsi="Times New Roman;sans-serif"/>
          <w:b/>
          <w:color w:val="000000"/>
          <w:sz w:val="24"/>
        </w:rPr>
        <w:t>2.</w:t>
      </w:r>
      <w:r>
        <w:rPr>
          <w:rFonts w:ascii="Times New Roman;sans-serif" w:hAnsi="Times New Roman;sans-serif"/>
          <w:b/>
          <w:color w:val="000000"/>
          <w:sz w:val="24"/>
          <w:u w:val="single"/>
        </w:rPr>
        <w:t>Administration</w:t>
      </w:r>
    </w:p>
    <w:p>
      <w:pPr>
        <w:pStyle w:val="TextBody"/>
        <w:bidi w:val="0"/>
        <w:spacing w:lineRule="auto" w:line="240" w:before="120" w:after="283"/>
        <w:jc w:val="both"/>
        <w:rPr/>
      </w:pPr>
      <w:r>
        <w:rPr>
          <w:rFonts w:ascii="Times New Roman;sans-serif" w:hAnsi="Times New Roman;sans-serif"/>
          <w:b w:val="false"/>
          <w:color w:val="000000"/>
          <w:sz w:val="24"/>
        </w:rPr>
        <w:t>This Policy shall be administered by the Board or, if so designated by the Board, the compensation committee of the Board (the “</w:t>
      </w:r>
      <w:r>
        <w:rPr>
          <w:rFonts w:ascii="Times New Roman;sans-serif" w:hAnsi="Times New Roman;sans-serif"/>
          <w:b/>
          <w:color w:val="000000"/>
          <w:sz w:val="24"/>
        </w:rPr>
        <w:t>Compensation Committee</w:t>
      </w:r>
      <w:r>
        <w:rPr>
          <w:color w:val="000000"/>
        </w:rPr>
        <w:t>”</w:t>
      </w:r>
      <w:r>
        <w:rPr>
          <w:rFonts w:ascii="Times New Roman;sans-serif" w:hAnsi="Times New Roman;sans-serif"/>
          <w:b w:val="false"/>
          <w:color w:val="000000"/>
          <w:sz w:val="24"/>
        </w:rPr>
        <w:t>), in which case references herein to the Board shall be deemed references to the Compensation Committee. Any determinations made by the Board shall be final and binding on all affected individuals, and need not be uniform with respect to each individual covered by this Policy. The Board may amend this Policy from time to time and may terminate the Policy at any time, in each case in its sole discretion.</w:t>
      </w:r>
    </w:p>
    <w:p>
      <w:pPr>
        <w:pStyle w:val="TextBody"/>
        <w:bidi w:val="0"/>
        <w:spacing w:lineRule="auto" w:line="240" w:before="120" w:after="283"/>
        <w:ind w:left="0" w:right="0" w:hanging="360"/>
        <w:jc w:val="both"/>
        <w:rPr/>
      </w:pPr>
      <w:r>
        <w:rPr>
          <w:rFonts w:ascii="Times New Roman;sans-serif" w:hAnsi="Times New Roman;sans-serif"/>
          <w:b/>
          <w:color w:val="000000"/>
          <w:sz w:val="24"/>
        </w:rPr>
        <w:t>3.</w:t>
      </w:r>
      <w:r>
        <w:rPr>
          <w:rFonts w:ascii="Times New Roman;sans-serif" w:hAnsi="Times New Roman;sans-serif"/>
          <w:b/>
          <w:color w:val="000000"/>
          <w:sz w:val="24"/>
          <w:u w:val="single"/>
        </w:rPr>
        <w:t>Covered Executives</w:t>
      </w:r>
    </w:p>
    <w:p>
      <w:pPr>
        <w:pStyle w:val="TextBody"/>
        <w:bidi w:val="0"/>
        <w:spacing w:lineRule="auto" w:line="240" w:before="120" w:after="283"/>
        <w:jc w:val="both"/>
        <w:rPr/>
      </w:pPr>
      <w:r>
        <w:rPr>
          <w:rFonts w:ascii="Times New Roman;sans-serif" w:hAnsi="Times New Roman;sans-serif"/>
          <w:b w:val="false"/>
          <w:color w:val="000000"/>
          <w:sz w:val="24"/>
        </w:rPr>
        <w:t>This Policy applies to the Company's current and former “executive officers” within the meaning of Rule 10D-1 of the Exchange Act, as determined by the Board ("</w:t>
      </w:r>
      <w:r>
        <w:rPr>
          <w:rFonts w:ascii="Times New Roman;sans-serif" w:hAnsi="Times New Roman;sans-serif"/>
          <w:b/>
          <w:color w:val="000000"/>
          <w:sz w:val="24"/>
        </w:rPr>
        <w:t>Covered Executives</w:t>
      </w:r>
      <w:r>
        <w:rPr>
          <w:rFonts w:ascii="Times New Roman;sans-serif" w:hAnsi="Times New Roman;sans-serif"/>
          <w:b w:val="false"/>
          <w:color w:val="000000"/>
          <w:sz w:val="24"/>
        </w:rPr>
        <w:t>").</w:t>
      </w:r>
    </w:p>
    <w:p>
      <w:pPr>
        <w:pStyle w:val="TextBody"/>
        <w:bidi w:val="0"/>
        <w:spacing w:lineRule="auto" w:line="240" w:before="120" w:after="283"/>
        <w:ind w:left="0" w:right="0" w:hanging="36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Recoupment; Accounting Restatement</w:t>
      </w:r>
    </w:p>
    <w:p>
      <w:pPr>
        <w:pStyle w:val="TextBody"/>
        <w:bidi w:val="0"/>
        <w:spacing w:lineRule="auto" w:line="240" w:before="120" w:after="283"/>
        <w:jc w:val="both"/>
        <w:rPr/>
      </w:pPr>
      <w:r>
        <w:rPr>
          <w:rFonts w:ascii="Times New Roman;sans-serif" w:hAnsi="Times New Roman;sans-serif"/>
          <w:b w:val="false"/>
          <w:color w:val="000000"/>
          <w:sz w:val="24"/>
        </w:rPr>
        <w:t>In the event the Company is required to prepare an Accounting Restatement (as defined below), the Board will reasonably promptly recover the amount of erroneously awarded Incentive Compensation. For purposes of this Policy, an Accounting Restatement is any accounting restatement due to the Company’s material noncompliance with any financial reporting requirements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color w:val="000000"/>
          <w:sz w:val="24"/>
        </w:rPr>
        <w:t>Accounting Restatement</w:t>
      </w:r>
      <w:r>
        <w:rPr>
          <w:color w:val="000000"/>
        </w:rPr>
        <w:t>”</w:t>
      </w:r>
      <w:r>
        <w:rPr>
          <w:rFonts w:ascii="Times New Roman;sans-serif" w:hAnsi="Times New Roman;sans-serif"/>
          <w:b w:val="false"/>
          <w:color w:val="000000"/>
          <w:sz w:val="24"/>
        </w:rPr>
        <w:t>).</w:t>
      </w:r>
    </w:p>
    <w:p>
      <w:pPr>
        <w:pStyle w:val="TextBody"/>
        <w:bidi w:val="0"/>
        <w:spacing w:lineRule="auto" w:line="240" w:before="121" w:after="283"/>
        <w:ind w:left="0" w:right="0" w:hanging="360"/>
        <w:jc w:val="both"/>
        <w:rPr/>
      </w:pPr>
      <w:r>
        <w:rPr>
          <w:rFonts w:ascii="Times New Roman;sans-serif" w:hAnsi="Times New Roman;sans-serif"/>
          <w:b/>
          <w:color w:val="000000"/>
          <w:sz w:val="24"/>
        </w:rPr>
        <w:t>5.</w:t>
      </w:r>
      <w:r>
        <w:rPr>
          <w:rFonts w:ascii="Times New Roman;sans-serif" w:hAnsi="Times New Roman;sans-serif"/>
          <w:b/>
          <w:color w:val="000000"/>
          <w:sz w:val="24"/>
          <w:u w:val="single"/>
        </w:rPr>
        <w:t>Scope of Policy</w:t>
      </w:r>
    </w:p>
    <w:p>
      <w:pPr>
        <w:pStyle w:val="TextBody"/>
        <w:bidi w:val="0"/>
        <w:spacing w:lineRule="auto" w:line="240" w:before="120" w:after="283"/>
        <w:ind w:left="0" w:right="0" w:firstLine="1080"/>
        <w:jc w:val="both"/>
        <w:rPr/>
      </w:pPr>
      <w:r>
        <w:rPr>
          <w:rFonts w:ascii="Times New Roman;sans-serif" w:hAnsi="Times New Roman;sans-serif"/>
          <w:b/>
          <w:color w:val="000000"/>
          <w:sz w:val="24"/>
        </w:rPr>
        <w:t xml:space="preserve">A. Covered Persons and Recovery Period. </w:t>
      </w:r>
      <w:r>
        <w:rPr>
          <w:rFonts w:ascii="Times New Roman;sans-serif" w:hAnsi="Times New Roman;sans-serif"/>
          <w:b w:val="false"/>
          <w:color w:val="000000"/>
          <w:sz w:val="24"/>
        </w:rPr>
        <w:t>This Policy applies to Incentive Compensation received by a person:</w:t>
      </w:r>
    </w:p>
    <w:p>
      <w:pPr>
        <w:pStyle w:val="TextBody"/>
        <w:bidi w:val="0"/>
        <w:spacing w:lineRule="auto" w:line="240" w:before="119" w:after="283"/>
        <w:ind w:left="0" w:right="0" w:hanging="359"/>
        <w:jc w:val="both"/>
        <w:rPr/>
      </w:pPr>
      <w:r>
        <w:rPr>
          <w:color w:val="000000"/>
        </w:rPr>
        <w:t>•</w:t>
      </w:r>
      <w:r>
        <w:rPr>
          <w:rFonts w:ascii="Times New Roman;sans-serif" w:hAnsi="Times New Roman;sans-serif"/>
          <w:b w:val="false"/>
          <w:color w:val="000000"/>
          <w:sz w:val="24"/>
        </w:rPr>
        <w:t>after beginning service as a Covered Executive,</w:t>
      </w:r>
    </w:p>
    <w:p>
      <w:pPr>
        <w:pStyle w:val="TextBody"/>
        <w:bidi w:val="0"/>
        <w:spacing w:lineRule="auto" w:line="240" w:before="119" w:after="283"/>
        <w:ind w:left="0" w:right="0" w:hanging="360"/>
        <w:jc w:val="both"/>
        <w:rPr/>
      </w:pPr>
      <w:r>
        <w:rPr>
          <w:color w:val="000000"/>
        </w:rPr>
        <w:t>•</w:t>
      </w:r>
      <w:r>
        <w:rPr>
          <w:rFonts w:ascii="Times New Roman;sans-serif" w:hAnsi="Times New Roman;sans-serif"/>
          <w:b w:val="false"/>
          <w:color w:val="000000"/>
          <w:sz w:val="24"/>
        </w:rPr>
        <w:t>who served as a Covered Executive at any time during the performance period for that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ind w:left="0" w:right="0" w:hanging="360"/>
        <w:jc w:val="both"/>
        <w:rPr/>
      </w:pPr>
      <w:r>
        <w:rPr>
          <w:color w:val="000000"/>
        </w:rPr>
        <w:t>•</w:t>
      </w:r>
      <w:r>
        <w:rPr>
          <w:rFonts w:ascii="Times New Roman;sans-serif" w:hAnsi="Times New Roman;sans-serif"/>
          <w:b w:val="false"/>
          <w:color w:val="000000"/>
          <w:sz w:val="24"/>
        </w:rPr>
        <w:t>while the Company has a class of securities listed on a national securities exchange, and</w:t>
      </w:r>
    </w:p>
    <w:p>
      <w:pPr>
        <w:pStyle w:val="TextBody"/>
        <w:bidi w:val="0"/>
        <w:spacing w:lineRule="auto" w:line="240" w:before="119" w:after="283"/>
        <w:ind w:left="0" w:right="0" w:hanging="360"/>
        <w:jc w:val="both"/>
        <w:rPr/>
      </w:pPr>
      <w:r>
        <w:rPr>
          <w:color w:val="000000"/>
        </w:rPr>
        <w:t>•</w:t>
      </w:r>
      <w:r>
        <w:rPr>
          <w:rFonts w:ascii="Times New Roman;sans-serif" w:hAnsi="Times New Roman;sans-serif"/>
          <w:b w:val="false"/>
          <w:color w:val="000000"/>
          <w:sz w:val="24"/>
        </w:rPr>
        <w:t>during the three completed fiscal years immediately preceding the date that the Company is required to prepare an Accounting Restatement (the “</w:t>
      </w:r>
      <w:r>
        <w:rPr>
          <w:rFonts w:ascii="Times New Roman;sans-serif" w:hAnsi="Times New Roman;sans-serif"/>
          <w:b/>
          <w:color w:val="000000"/>
          <w:sz w:val="24"/>
        </w:rPr>
        <w:t>Recovery Period</w:t>
      </w:r>
      <w:r>
        <w:rPr>
          <w:color w:val="000000"/>
        </w:rPr>
        <w:t>”</w:t>
      </w:r>
      <w:r>
        <w:rPr>
          <w:rFonts w:ascii="Times New Roman;sans-serif" w:hAnsi="Times New Roman;sans-serif"/>
          <w:b w:val="false"/>
          <w:color w:val="000000"/>
          <w:sz w:val="24"/>
        </w:rPr>
        <w:t>)</w:t>
      </w:r>
    </w:p>
    <w:p>
      <w:pPr>
        <w:pStyle w:val="TextBody"/>
        <w:bidi w:val="0"/>
        <w:spacing w:lineRule="auto" w:line="240" w:before="119" w:after="283"/>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this look-back requirement, the Company is only required to apply this Policy to Incentive Compensation received on or after December 1, 2023.</w:t>
      </w:r>
    </w:p>
    <w:p>
      <w:pPr>
        <w:pStyle w:val="TextBody"/>
        <w:bidi w:val="0"/>
        <w:spacing w:lineRule="auto" w:line="240" w:before="121" w:after="283"/>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Incentive Compensation shall be deemed “received” in the Company’s fiscal period during which the Financial Reporting Measure (as defined herein) specified in the Incentive- Compensation award is attained, even if the payment or grant of the Incentive Compensation occurs after the end of that period.</w:t>
      </w:r>
    </w:p>
    <w:p>
      <w:pPr>
        <w:pStyle w:val="TextBody"/>
        <w:bidi w:val="0"/>
        <w:spacing w:lineRule="auto" w:line="240" w:before="120" w:after="283"/>
        <w:ind w:left="0" w:right="0" w:firstLine="1080"/>
        <w:jc w:val="both"/>
        <w:rPr/>
      </w:pPr>
      <w:r>
        <w:rPr>
          <w:rFonts w:ascii="Times New Roman;sans-serif" w:hAnsi="Times New Roman;sans-serif"/>
          <w:b/>
          <w:color w:val="000000"/>
          <w:sz w:val="24"/>
        </w:rPr>
        <w:t>B.</w:t>
      </w:r>
      <w:r>
        <w:rPr>
          <w:color w:val="000000"/>
        </w:rPr>
        <w:t xml:space="preserve"> </w:t>
      </w:r>
      <w:r>
        <w:rPr>
          <w:rFonts w:ascii="Times New Roman;sans-serif" w:hAnsi="Times New Roman;sans-serif"/>
          <w:b/>
          <w:color w:val="000000"/>
          <w:sz w:val="24"/>
        </w:rPr>
        <w:t xml:space="preserve">Transition Period. </w:t>
      </w:r>
      <w:r>
        <w:rPr>
          <w:rFonts w:ascii="Times New Roman;sans-serif" w:hAnsi="Times New Roman;sans-serif"/>
          <w:b w:val="false"/>
          <w:color w:val="000000"/>
          <w:sz w:val="24"/>
        </w:rPr>
        <w:t>In addition to the Recovery Period, this Policy applies to any transition period (that results from a change in the Company’s fiscal year) within or immediately following the Recovery Period (a “</w:t>
      </w:r>
      <w:r>
        <w:rPr>
          <w:rFonts w:ascii="Times New Roman;sans-serif" w:hAnsi="Times New Roman;sans-serif"/>
          <w:b/>
          <w:color w:val="000000"/>
          <w:sz w:val="24"/>
        </w:rPr>
        <w:t>Transition Period</w:t>
      </w:r>
      <w:r>
        <w:rPr>
          <w:color w:val="000000"/>
        </w:rPr>
        <w:t>”</w:t>
      </w:r>
      <w:r>
        <w:rPr>
          <w:rFonts w:ascii="Times New Roman;sans-serif" w:hAnsi="Times New Roman;sans-serif"/>
          <w:b w:val="false"/>
          <w:color w:val="000000"/>
          <w:sz w:val="24"/>
        </w:rPr>
        <w:t>), provided that a Transition Period between the last day of the Company’s previous fiscal year end and the first day of the Company’s new fiscal year that comprises a period of nine to 12 months will be deemed a completed fiscal year,</w:t>
      </w:r>
    </w:p>
    <w:p>
      <w:pPr>
        <w:pStyle w:val="TextBody"/>
        <w:bidi w:val="0"/>
        <w:spacing w:lineRule="auto" w:line="240" w:before="120" w:after="283"/>
        <w:ind w:left="0" w:right="0" w:firstLine="1080"/>
        <w:jc w:val="both"/>
        <w:rPr/>
      </w:pPr>
      <w:r>
        <w:rPr>
          <w:rFonts w:ascii="Times New Roman;sans-serif" w:hAnsi="Times New Roman;sans-serif"/>
          <w:b/>
          <w:color w:val="000000"/>
          <w:sz w:val="24"/>
        </w:rPr>
        <w:t>C.</w:t>
      </w:r>
      <w:r>
        <w:rPr>
          <w:color w:val="000000"/>
        </w:rPr>
        <w:t xml:space="preserve"> </w:t>
      </w:r>
      <w:r>
        <w:rPr>
          <w:rFonts w:ascii="Times New Roman;sans-serif" w:hAnsi="Times New Roman;sans-serif"/>
          <w:b/>
          <w:color w:val="000000"/>
          <w:sz w:val="24"/>
        </w:rPr>
        <w:t>Determining Recovery Period</w:t>
      </w:r>
      <w:r>
        <w:rPr>
          <w:rFonts w:ascii="Times New Roman;sans-serif" w:hAnsi="Times New Roman;sans-serif"/>
          <w:b w:val="false"/>
          <w:color w:val="000000"/>
          <w:sz w:val="24"/>
        </w:rPr>
        <w:t>. For purposes of determining the relevant Recovery Period, the date that the Company is required to prepare the Accounting Restatement is the earlier to occur of:</w:t>
      </w:r>
    </w:p>
    <w:p>
      <w:pPr>
        <w:pStyle w:val="TextBody"/>
        <w:bidi w:val="0"/>
        <w:spacing w:lineRule="auto" w:line="240" w:before="119" w:after="283"/>
        <w:ind w:left="0" w:right="0" w:hanging="360"/>
        <w:jc w:val="both"/>
        <w:rPr/>
      </w:pPr>
      <w:r>
        <w:rPr>
          <w:color w:val="000000"/>
        </w:rPr>
        <w:t>•</w:t>
      </w:r>
      <w:r>
        <w:rPr>
          <w:rFonts w:ascii="Times New Roman;sans-serif" w:hAnsi="Times New Roman;sans-serif"/>
          <w:b w:val="false"/>
          <w:color w:val="000000"/>
          <w:sz w:val="24"/>
        </w:rPr>
        <w:t>the date the Board, a committee of the Board, or the officer or officers of the Company authorized to take such action if Board action is not required, concludes, or reasonably should have concluded, that the Company is required to prepare an Accounting Restatement, and</w:t>
      </w:r>
    </w:p>
    <w:p>
      <w:pPr>
        <w:pStyle w:val="TextBody"/>
        <w:bidi w:val="0"/>
        <w:spacing w:lineRule="auto" w:line="240" w:before="119" w:after="283"/>
        <w:ind w:left="0" w:right="0" w:hanging="360"/>
        <w:jc w:val="both"/>
        <w:rPr/>
      </w:pPr>
      <w:r>
        <w:rPr>
          <w:color w:val="000000"/>
        </w:rPr>
        <w:t>•</w:t>
      </w:r>
      <w:r>
        <w:rPr>
          <w:rFonts w:ascii="Times New Roman;sans-serif" w:hAnsi="Times New Roman;sans-serif"/>
          <w:b w:val="false"/>
          <w:color w:val="000000"/>
          <w:sz w:val="24"/>
        </w:rPr>
        <w:t>the date a court, regulator, or other legally authorized body directs the Company to prepare an Accounting Restatement.</w:t>
      </w:r>
    </w:p>
    <w:p>
      <w:pPr>
        <w:pStyle w:val="TextBody"/>
        <w:bidi w:val="0"/>
        <w:spacing w:lineRule="auto" w:line="240" w:before="119" w:after="283"/>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the Company’s obligation to recover erroneously awarded Incentive Compensation under this Policy is not dependent on if or when an Accounting Restatement is filed.</w:t>
      </w:r>
    </w:p>
    <w:p>
      <w:pPr>
        <w:pStyle w:val="TextBody"/>
        <w:bidi w:val="0"/>
        <w:spacing w:lineRule="auto" w:line="240" w:before="121" w:after="283"/>
        <w:ind w:left="0" w:right="0" w:firstLine="1080"/>
        <w:jc w:val="both"/>
        <w:rPr/>
      </w:pPr>
      <w:r>
        <w:rPr>
          <w:rFonts w:ascii="Times New Roman;sans-serif" w:hAnsi="Times New Roman;sans-serif"/>
          <w:b/>
          <w:color w:val="000000"/>
          <w:sz w:val="24"/>
        </w:rPr>
        <w:t>D.</w:t>
      </w:r>
      <w:r>
        <w:rPr>
          <w:color w:val="000000"/>
        </w:rPr>
        <w:t xml:space="preserve"> </w:t>
      </w:r>
      <w:r>
        <w:rPr>
          <w:rFonts w:ascii="Times New Roman;sans-serif" w:hAnsi="Times New Roman;sans-serif"/>
          <w:b/>
          <w:color w:val="000000"/>
          <w:sz w:val="24"/>
        </w:rPr>
        <w:t xml:space="preserve">Method of Recovery. </w:t>
      </w:r>
      <w:r>
        <w:rPr>
          <w:rFonts w:ascii="Times New Roman;sans-serif" w:hAnsi="Times New Roman;sans-serif"/>
          <w:b w:val="false"/>
          <w:color w:val="000000"/>
          <w:sz w:val="24"/>
        </w:rPr>
        <w:t>The Board will have the discretion in determining how to accomplish recovery of erroneously awarded Incentive Compensation under this Policy, recognizing that different means of recovery may be appropriate in different circumstances.</w:t>
      </w:r>
    </w:p>
    <w:p>
      <w:pPr>
        <w:pStyle w:val="TextBody"/>
        <w:bidi w:val="0"/>
        <w:spacing w:lineRule="auto" w:line="240" w:before="120" w:after="283"/>
        <w:ind w:left="0" w:right="0" w:hanging="360"/>
        <w:jc w:val="both"/>
        <w:rPr/>
      </w:pPr>
      <w:r>
        <w:rPr>
          <w:rFonts w:ascii="Times New Roman;sans-serif" w:hAnsi="Times New Roman;sans-serif"/>
          <w:b/>
          <w:color w:val="000000"/>
          <w:sz w:val="24"/>
        </w:rPr>
        <w:t>6.</w:t>
      </w:r>
      <w:r>
        <w:rPr>
          <w:rFonts w:ascii="Times New Roman;sans-serif" w:hAnsi="Times New Roman;sans-serif"/>
          <w:b/>
          <w:color w:val="000000"/>
          <w:sz w:val="24"/>
          <w:u w:val="single"/>
        </w:rPr>
        <w:t>Excess Incentive Compensation: Amount Subject to Recovery</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amount to be recovered will be the excess of the Incentive Compensation paid to the Covered Executive over the Incentive Compensation that would have been paid to the Covered Executive had it been based on the restated results, computed without regard to any taxes paid, as determined by the Board in accordance with the listing standards of NYSE and the rules found in Rule 10D-1 under the Securities Exchange Act of 1934.</w:t>
      </w:r>
    </w:p>
    <w:p>
      <w:pPr>
        <w:pStyle w:val="TextBody"/>
        <w:bidi w:val="0"/>
        <w:spacing w:lineRule="auto" w:line="240" w:before="120" w:after="283"/>
        <w:jc w:val="both"/>
        <w:rPr/>
      </w:pPr>
      <w:r>
        <w:rPr>
          <w:rFonts w:ascii="Times New Roman;sans-serif" w:hAnsi="Times New Roman;sans-serif"/>
          <w:b w:val="false"/>
          <w:color w:val="000000"/>
          <w:sz w:val="24"/>
        </w:rPr>
        <w:t>For Incentive Compensation based on stock price or total shareholder return (“</w:t>
      </w:r>
      <w:r>
        <w:rPr>
          <w:rFonts w:ascii="Times New Roman;sans-serif" w:hAnsi="Times New Roman;sans-serif"/>
          <w:b/>
          <w:color w:val="000000"/>
          <w:sz w:val="24"/>
        </w:rPr>
        <w:t>TSR</w:t>
      </w:r>
      <w:r>
        <w:rPr>
          <w:color w:val="000000"/>
        </w:rPr>
        <w:t>”</w:t>
      </w:r>
      <w:r>
        <w:rPr>
          <w:rFonts w:ascii="Times New Roman;sans-serif" w:hAnsi="Times New Roman;sans-serif"/>
          <w:b w:val="false"/>
          <w:color w:val="000000"/>
          <w:sz w:val="24"/>
        </w:rPr>
        <w:t>), where the amount of erroneously awarded Incentive Compensation is not subject to mathematical recalculation directly from the information in an Accounting Restatement, the recoverable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9700"/>
                <wp:effectExtent l="0" t="0" r="0" b="0"/>
                <wp:wrapNone/>
                <wp:docPr id="171" name="Frame16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amount shall be determined by the Board based on a reasonable estimate of the effect of the Accounting Restatement on the stock price or TSR upon which the Incentive Compensation was received. In such event, the Company shall maintain documentation of the determination of that reasonable estimate and provide such documentation to NYSE.</w:t>
      </w:r>
    </w:p>
    <w:p>
      <w:pPr>
        <w:pStyle w:val="TextBody"/>
        <w:bidi w:val="0"/>
        <w:spacing w:lineRule="auto" w:line="240" w:before="120" w:after="283"/>
        <w:ind w:left="0" w:right="0" w:hanging="360"/>
        <w:jc w:val="both"/>
        <w:rPr/>
      </w:pPr>
      <w:r>
        <w:rPr>
          <w:rFonts w:ascii="Times New Roman;sans-serif" w:hAnsi="Times New Roman;sans-serif"/>
          <w:b/>
          <w:color w:val="000000"/>
          <w:sz w:val="24"/>
        </w:rPr>
        <w:t>7.</w:t>
      </w:r>
      <w:r>
        <w:rPr>
          <w:rFonts w:ascii="Times New Roman;sans-serif" w:hAnsi="Times New Roman;sans-serif"/>
          <w:b/>
          <w:color w:val="000000"/>
          <w:sz w:val="24"/>
          <w:u w:val="single"/>
        </w:rPr>
        <w:t>Exceptions to Recovery</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shall recover any excess Incentive Compensation in accordance with this Policy except to the extent that the conditions set out below are met and the Board has made a determination that recovery would be impracticable:</w:t>
      </w:r>
    </w:p>
    <w:p>
      <w:pPr>
        <w:pStyle w:val="TextBody"/>
        <w:bidi w:val="0"/>
        <w:spacing w:lineRule="auto" w:line="240" w:before="120" w:after="283"/>
        <w:ind w:left="0" w:right="0" w:hanging="360"/>
        <w:jc w:val="both"/>
        <w:rPr/>
      </w:pPr>
      <w:r>
        <w:rPr>
          <w:rFonts w:ascii="Times New Roman;sans-serif" w:hAnsi="Times New Roman;sans-serif"/>
          <w:b/>
          <w:color w:val="000000"/>
          <w:sz w:val="24"/>
        </w:rPr>
        <w:t>A.Direct Expense Exceeds Recoverable Amount</w:t>
      </w:r>
      <w:r>
        <w:rPr>
          <w:rFonts w:ascii="Times New Roman;sans-serif" w:hAnsi="Times New Roman;sans-serif"/>
          <w:b w:val="false"/>
          <w:color w:val="000000"/>
          <w:sz w:val="24"/>
        </w:rPr>
        <w:t>: The direct expense paid to a third party to assist in enforcing this Policy would exceed the amount to be recovered; provided, however, that before concluding it would be impracticable to recover any amount of erroneously awarded Incentive Compensation based on expense of enforcement, the Company shall make a reasonable attempt to recover such erroneously awarded Incentive Compensation, document such reasonable attempt(s) to recover, and provide that documentation to NYSE.</w:t>
      </w:r>
    </w:p>
    <w:p>
      <w:pPr>
        <w:pStyle w:val="TextBody"/>
        <w:bidi w:val="0"/>
        <w:spacing w:lineRule="auto" w:line="240" w:before="120" w:after="283"/>
        <w:ind w:left="0" w:right="0" w:hanging="360"/>
        <w:jc w:val="both"/>
        <w:rPr/>
      </w:pPr>
      <w:r>
        <w:rPr>
          <w:rFonts w:ascii="Times New Roman;sans-serif" w:hAnsi="Times New Roman;sans-serif"/>
          <w:b/>
          <w:color w:val="000000"/>
          <w:sz w:val="24"/>
        </w:rPr>
        <w:t xml:space="preserve">B.Recovery from Certain Tax-Qualified Retirement Plans. </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120" w:after="283"/>
        <w:ind w:left="0" w:right="0" w:hanging="360"/>
        <w:jc w:val="both"/>
        <w:rPr/>
      </w:pPr>
      <w:r>
        <w:rPr>
          <w:rFonts w:ascii="Times New Roman;sans-serif" w:hAnsi="Times New Roman;sans-serif"/>
          <w:b/>
          <w:color w:val="000000"/>
          <w:sz w:val="24"/>
        </w:rPr>
        <w:t>8.</w:t>
      </w:r>
      <w:r>
        <w:rPr>
          <w:rFonts w:ascii="Times New Roman;sans-serif" w:hAnsi="Times New Roman;sans-serif"/>
          <w:b/>
          <w:color w:val="000000"/>
          <w:sz w:val="24"/>
          <w:u w:val="single"/>
        </w:rPr>
        <w:t>No Indemnification</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terms of any indemnification arrangement or insurance policy with any individual covered by this Policy, the Company shall not indemnify any Covered Executives against the loss of any incorrectly awarded Incentive Compensation, including any payment or reimbursement for the cost of insurance obtained by any such covered individual to fund amounts recoverable under this Policy.</w:t>
      </w:r>
    </w:p>
    <w:p>
      <w:pPr>
        <w:pStyle w:val="TextBody"/>
        <w:bidi w:val="0"/>
        <w:spacing w:lineRule="auto" w:line="240" w:before="120" w:after="283"/>
        <w:ind w:left="0" w:right="0" w:hanging="360"/>
        <w:jc w:val="both"/>
        <w:rPr/>
      </w:pPr>
      <w:r>
        <w:rPr>
          <w:rFonts w:ascii="Times New Roman;sans-serif" w:hAnsi="Times New Roman;sans-serif"/>
          <w:b/>
          <w:color w:val="000000"/>
          <w:sz w:val="24"/>
        </w:rPr>
        <w:t>9.</w:t>
      </w:r>
      <w:r>
        <w:rPr>
          <w:rFonts w:ascii="Times New Roman;sans-serif" w:hAnsi="Times New Roman;sans-serif"/>
          <w:b/>
          <w:color w:val="000000"/>
          <w:sz w:val="24"/>
          <w:u w:val="single"/>
        </w:rPr>
        <w:t>Interpretation</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w:t>
      </w:r>
    </w:p>
    <w:p>
      <w:pPr>
        <w:pStyle w:val="TextBody"/>
        <w:bidi w:val="0"/>
        <w:spacing w:lineRule="auto" w:line="240" w:before="121" w:after="283"/>
        <w:ind w:left="0" w:right="0" w:hanging="360"/>
        <w:jc w:val="both"/>
        <w:rPr/>
      </w:pPr>
      <w:r>
        <w:rPr>
          <w:rFonts w:ascii="Times New Roman;sans-serif" w:hAnsi="Times New Roman;sans-serif"/>
          <w:b/>
          <w:color w:val="000000"/>
          <w:sz w:val="24"/>
        </w:rPr>
        <w:t>10.</w:t>
      </w:r>
      <w:r>
        <w:rPr>
          <w:rFonts w:ascii="Times New Roman;sans-serif" w:hAnsi="Times New Roman;sans-serif"/>
          <w:b/>
          <w:color w:val="000000"/>
          <w:sz w:val="24"/>
          <w:u w:val="single"/>
        </w:rPr>
        <w:t>Effective Date</w:t>
      </w:r>
    </w:p>
    <w:p>
      <w:pPr>
        <w:pStyle w:val="TextBody"/>
        <w:bidi w:val="0"/>
        <w:spacing w:lineRule="auto" w:line="240" w:before="120" w:after="283"/>
        <w:jc w:val="both"/>
        <w:rPr/>
      </w:pPr>
      <w:r>
        <w:rPr>
          <w:rFonts w:ascii="Times New Roman;sans-serif" w:hAnsi="Times New Roman;sans-serif"/>
          <w:b w:val="false"/>
          <w:color w:val="000000"/>
          <w:sz w:val="24"/>
        </w:rPr>
        <w:t>This Policy shall be effective as of the date it is adopted by the Board (the "</w:t>
      </w:r>
      <w:r>
        <w:rPr>
          <w:rFonts w:ascii="Times New Roman;sans-serif" w:hAnsi="Times New Roman;sans-serif"/>
          <w:b/>
          <w:color w:val="000000"/>
          <w:sz w:val="24"/>
        </w:rPr>
        <w:t>Effective Date</w:t>
      </w:r>
      <w:r>
        <w:rPr>
          <w:rFonts w:ascii="Times New Roman;sans-serif" w:hAnsi="Times New Roman;sans-serif"/>
          <w:b w:val="false"/>
          <w:color w:val="000000"/>
          <w:sz w:val="24"/>
        </w:rPr>
        <w:t>").</w:t>
      </w:r>
    </w:p>
    <w:p>
      <w:pPr>
        <w:pStyle w:val="TextBody"/>
        <w:bidi w:val="0"/>
        <w:spacing w:lineRule="auto" w:line="240" w:before="120" w:after="283"/>
        <w:ind w:left="0" w:right="0" w:hanging="360"/>
        <w:jc w:val="both"/>
        <w:rPr/>
      </w:pPr>
      <w:r>
        <w:rPr>
          <w:rFonts w:ascii="Times New Roman;sans-serif" w:hAnsi="Times New Roman;sans-serif"/>
          <w:b/>
          <w:color w:val="000000"/>
          <w:sz w:val="24"/>
        </w:rPr>
        <w:t>11.</w:t>
      </w:r>
      <w:r>
        <w:rPr>
          <w:rFonts w:ascii="Times New Roman;sans-serif" w:hAnsi="Times New Roman;sans-serif"/>
          <w:b/>
          <w:color w:val="000000"/>
          <w:sz w:val="24"/>
          <w:u w:val="single"/>
        </w:rPr>
        <w:t>Amendment; Termination</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amend this Policy from time to time in its discretion and shall amend this Policy as it deems necessary to reflect final regulations adopted by the Securities and Exchange Commission under Section 10D of the Exchange Act and to comply with the NYSE Listed Company Manual. The Board may terminate this Policy at any time.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9700"/>
                <wp:effectExtent l="0" t="0" r="0" b="0"/>
                <wp:wrapNone/>
                <wp:docPr id="172" name="Frame16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ind w:left="0" w:right="0" w:hanging="360"/>
        <w:jc w:val="both"/>
        <w:rPr/>
      </w:pPr>
      <w:r>
        <w:rPr>
          <w:rFonts w:ascii="Times New Roman;sans-serif" w:hAnsi="Times New Roman;sans-serif"/>
          <w:b/>
          <w:color w:val="000000"/>
          <w:sz w:val="24"/>
        </w:rPr>
        <w:t>12.</w:t>
      </w:r>
      <w:r>
        <w:rPr>
          <w:color w:val="000000"/>
          <w:u w:val="single"/>
        </w:rPr>
        <w:t xml:space="preserve"> </w:t>
      </w:r>
      <w:r>
        <w:rPr>
          <w:rFonts w:ascii="Times New Roman;sans-serif" w:hAnsi="Times New Roman;sans-serif"/>
          <w:b/>
          <w:color w:val="000000"/>
          <w:sz w:val="24"/>
          <w:u w:val="single"/>
        </w:rPr>
        <w:t>Other Recoupment Rights</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240" w:before="120" w:after="283"/>
        <w:ind w:left="0" w:right="0" w:hanging="360"/>
        <w:jc w:val="both"/>
        <w:rPr/>
      </w:pPr>
      <w:r>
        <w:rPr>
          <w:rFonts w:ascii="Times New Roman;sans-serif" w:hAnsi="Times New Roman;sans-serif"/>
          <w:b/>
          <w:color w:val="000000"/>
          <w:sz w:val="24"/>
        </w:rPr>
        <w:t>13.</w:t>
      </w:r>
      <w:r>
        <w:rPr>
          <w:rFonts w:ascii="Times New Roman;sans-serif" w:hAnsi="Times New Roman;sans-serif"/>
          <w:b/>
          <w:color w:val="000000"/>
          <w:sz w:val="24"/>
          <w:u w:val="single"/>
        </w:rPr>
        <w:t>Disclosure</w:t>
      </w:r>
      <w:r>
        <w:rPr>
          <w:rFonts w:ascii="Times New Roman;sans-serif" w:hAnsi="Times New Roman;sans-serif"/>
          <w:b w:val="false"/>
          <w:color w:val="000000"/>
          <w:sz w:val="24"/>
        </w:rPr>
        <w:t>.</w:t>
      </w:r>
    </w:p>
    <w:p>
      <w:pPr>
        <w:pStyle w:val="TextBody"/>
        <w:bidi w:val="0"/>
        <w:spacing w:lineRule="auto" w:line="240" w:before="120" w:after="283"/>
        <w:jc w:val="both"/>
        <w:rPr/>
      </w:pPr>
      <w:r>
        <w:rPr>
          <w:rFonts w:ascii="Times New Roman;sans-serif" w:hAnsi="Times New Roman;sans-serif"/>
          <w:b w:val="false"/>
          <w:color w:val="000000"/>
          <w:sz w:val="24"/>
        </w:rPr>
        <w:t>The Company shall file all disclosures with respect to this Policy and recoveries under this Policy in accordance with the requirements of the U.S. Federal securities laws, including the disclosure required by the applicable Securities and Exchange Commission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filings.</w:t>
      </w:r>
    </w:p>
    <w:p>
      <w:pPr>
        <w:pStyle w:val="TextBody"/>
        <w:bidi w:val="0"/>
        <w:spacing w:lineRule="auto" w:line="240" w:before="120" w:after="283"/>
        <w:ind w:left="0" w:right="0" w:hanging="360"/>
        <w:jc w:val="both"/>
        <w:rPr/>
      </w:pPr>
      <w:r>
        <w:rPr>
          <w:rFonts w:ascii="Times New Roman;sans-serif" w:hAnsi="Times New Roman;sans-serif"/>
          <w:b/>
          <w:color w:val="000000"/>
          <w:sz w:val="24"/>
        </w:rPr>
        <w:t>14.</w:t>
      </w:r>
      <w:r>
        <w:rPr>
          <w:rFonts w:ascii="Times New Roman;sans-serif" w:hAnsi="Times New Roman;sans-serif"/>
          <w:b/>
          <w:color w:val="000000"/>
          <w:sz w:val="24"/>
          <w:u w:val="single"/>
        </w:rPr>
        <w:t>Successors</w:t>
      </w:r>
      <w:r>
        <w:rPr>
          <w:rFonts w:ascii="Times New Roman;sans-serif" w:hAnsi="Times New Roman;sans-serif"/>
          <w:b w:val="false"/>
          <w:color w:val="000000"/>
          <w:sz w:val="24"/>
        </w:rPr>
        <w:t>.</w:t>
      </w:r>
    </w:p>
    <w:p>
      <w:pPr>
        <w:pStyle w:val="TextBody"/>
        <w:bidi w:val="0"/>
        <w:spacing w:lineRule="auto" w:line="240"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beneficiaries, heirs, executors, administrators or other legal representatives.</w:t>
      </w:r>
    </w:p>
    <w:p>
      <w:pPr>
        <w:pStyle w:val="TextBody"/>
        <w:bidi w:val="0"/>
        <w:spacing w:lineRule="auto" w:line="240" w:before="120" w:after="283"/>
        <w:ind w:left="0" w:right="0" w:hanging="360"/>
        <w:jc w:val="both"/>
        <w:rPr/>
      </w:pPr>
      <w:r>
        <w:rPr>
          <w:rFonts w:ascii="Times New Roman;sans-serif" w:hAnsi="Times New Roman;sans-serif"/>
          <w:b/>
          <w:color w:val="000000"/>
          <w:sz w:val="24"/>
        </w:rPr>
        <w:t>15.</w:t>
      </w:r>
      <w:r>
        <w:rPr>
          <w:rFonts w:ascii="Times New Roman;sans-serif" w:hAnsi="Times New Roman;sans-serif"/>
          <w:b/>
          <w:color w:val="000000"/>
          <w:sz w:val="24"/>
          <w:u w:val="single"/>
        </w:rPr>
        <w:t>Definitions</w:t>
      </w:r>
    </w:p>
    <w:p>
      <w:pPr>
        <w:pStyle w:val="TextBody"/>
        <w:bidi w:val="0"/>
        <w:spacing w:lineRule="auto" w:line="240" w:before="120" w:after="283"/>
        <w:jc w:val="both"/>
        <w:rPr/>
      </w:pPr>
      <w:r>
        <w:rPr>
          <w:color w:val="000000"/>
        </w:rPr>
        <w:t>“</w:t>
      </w:r>
      <w:r>
        <w:rPr>
          <w:rFonts w:ascii="Times New Roman;sans-serif" w:hAnsi="Times New Roman;sans-serif"/>
          <w:b/>
          <w:color w:val="000000"/>
          <w:sz w:val="24"/>
        </w:rPr>
        <w:t>Financial Reporting Measures</w:t>
      </w:r>
      <w:r>
        <w:rPr>
          <w:color w:val="000000"/>
        </w:rPr>
        <w:t xml:space="preserve">” </w:t>
      </w:r>
      <w:r>
        <w:rPr>
          <w:rFonts w:ascii="Times New Roman;sans-serif" w:hAnsi="Times New Roman;sans-serif"/>
          <w:b w:val="false"/>
          <w:color w:val="000000"/>
          <w:sz w:val="24"/>
        </w:rPr>
        <w:t>means any of the following: (i) measures that are determined and presented in accordance with the accounting principles used in preparing the Company’s financial statements, and any measures that are derived wholly or in part from such measures, (ii) stock price and (iii) TSR. A Financial Reporting Measure need not be presented within the Company’s financial statements or included in a filing with the SEC.</w:t>
      </w:r>
    </w:p>
    <w:p>
      <w:pPr>
        <w:pStyle w:val="TextBody"/>
        <w:bidi w:val="0"/>
        <w:spacing w:lineRule="auto" w:line="240" w:before="120" w:after="283"/>
        <w:jc w:val="both"/>
        <w:rPr/>
      </w:pPr>
      <w:r>
        <w:rPr>
          <w:color w:val="000000"/>
        </w:rPr>
        <w:t>“</w:t>
      </w:r>
      <w:r>
        <w:rPr>
          <w:rFonts w:ascii="Times New Roman;sans-serif" w:hAnsi="Times New Roman;sans-serif"/>
          <w:b/>
          <w:color w:val="000000"/>
          <w:sz w:val="24"/>
        </w:rPr>
        <w:t>Incentive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w:t>
      </w:r>
    </w:p>
    <w:p>
      <w:pPr>
        <w:pStyle w:val="TextBody"/>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9700"/>
                <wp:effectExtent l="0" t="0" r="0" b="0"/>
                <wp:wrapNone/>
                <wp:docPr id="173" name="Frame16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0001820302/000119312521005832/d913171dex21.htm" TargetMode="External"/><Relationship Id="rId10" Type="http://schemas.openxmlformats.org/officeDocument/2006/relationships/hyperlink" Target="https://www.sec.gov/Archives/edgar/data/0001820302/000119312521101249/d107545dex21.htm" TargetMode="External"/><Relationship Id="rId11" Type="http://schemas.openxmlformats.org/officeDocument/2006/relationships/hyperlink" Target="https://www.sec.gov/Archives/edgar/data/0001820302/000119312521286927/d204551dex21.htm" TargetMode="External"/><Relationship Id="rId12" Type="http://schemas.openxmlformats.org/officeDocument/2006/relationships/hyperlink" Target="https://www.sec.gov/Archives/edgar/data/1820302/000119312522276398/d408337dex21.htm" TargetMode="External"/><Relationship Id="rId13" Type="http://schemas.openxmlformats.org/officeDocument/2006/relationships/hyperlink" Target="https://www.sec.gov/Archives/edgar/data/1820302/000119312523089016/d482123dex22.htm" TargetMode="External"/><Relationship Id="rId14" Type="http://schemas.openxmlformats.org/officeDocument/2006/relationships/hyperlink" Target="https://www.sec.gov/Archives/edgar/data/1820302/000119312523089016/d482123dex22.htm" TargetMode="External"/><Relationship Id="rId15" Type="http://schemas.openxmlformats.org/officeDocument/2006/relationships/hyperlink" Target="https://www.sec.gov/Archives/edgar/data/1820302/000119312523089016/d482123dex22.htm" TargetMode="External"/><Relationship Id="rId16" Type="http://schemas.openxmlformats.org/officeDocument/2006/relationships/hyperlink" Target="https://www.sec.gov/Archives/edgar/data/1820302/000119312523089016/d482123dex22.htm" TargetMode="External"/><Relationship Id="rId17" Type="http://schemas.openxmlformats.org/officeDocument/2006/relationships/hyperlink" Target="https://www.sec.gov/Archives/edgar/data/0001820302/000119312521303985/d219325dex31.htm" TargetMode="External"/><Relationship Id="rId18" Type="http://schemas.openxmlformats.org/officeDocument/2006/relationships/hyperlink" Target="https://www.sec.gov/Archives/edgar/data/0001820302/000119312521303985/d219325dex32.htm" TargetMode="External"/><Relationship Id="rId19" Type="http://schemas.openxmlformats.org/officeDocument/2006/relationships/hyperlink" Target="https://www.sec.gov/Archives/edgar/data/0001820302/000119312521303985/d219325dex41.htm" TargetMode="External"/><Relationship Id="rId20" Type="http://schemas.openxmlformats.org/officeDocument/2006/relationships/hyperlink" Target="https://www.sec.gov/Archives/edgar/data/0001820302/000119312521303985/d219325dex42.htm" TargetMode="External"/><Relationship Id="rId21" Type="http://schemas.openxmlformats.org/officeDocument/2006/relationships/hyperlink" Target="https://www.sec.gov/Archives/edgar/data/0001820302/000119312520256308/d38926dex41.htm" TargetMode="External"/><Relationship Id="rId22" Type="http://schemas.openxmlformats.org/officeDocument/2006/relationships/hyperlink" Target="https://www.sec.gov/Archives/edgar/data/1820302/000182030222000005/a44-firstamendmenttowarr.htm" TargetMode="External"/><Relationship Id="rId23" Type="http://schemas.openxmlformats.org/officeDocument/2006/relationships/hyperlink" Target="https://www.sec.gov/Archives/edgar/data/0001820302/000119312521303985/d219325dex43.htm" TargetMode="External"/><Relationship Id="rId24" Type="http://schemas.openxmlformats.org/officeDocument/2006/relationships/hyperlink" Target="https://www.sec.gov/Archives/edgar/data/1820302/000119312522276398/d408337dex41.htm" TargetMode="External"/><Relationship Id="rId25" Type="http://schemas.openxmlformats.org/officeDocument/2006/relationships/hyperlink" Target="https://www.sec.gov/Archives/edgar/data/1820302/000182030223000080/exhibit42amendmentagreemen.htm" TargetMode="External"/><Relationship Id="rId26" Type="http://schemas.openxmlformats.org/officeDocument/2006/relationships/hyperlink" Target="https://www.sec.gov/Archives/edgar/data/1820302/000182030223000080/exhibit42amendmentagreemen.htm" TargetMode="External"/><Relationship Id="rId27" Type="http://schemas.openxmlformats.org/officeDocument/2006/relationships/hyperlink" Target="https://www.sec.gov/Archives/edgar/data/1820302/000182030223000080/exhibit42amendmentagreemen.htm" TargetMode="External"/><Relationship Id="rId28" Type="http://schemas.openxmlformats.org/officeDocument/2006/relationships/hyperlink" Target="https://www.sec.gov/Archives/edgar/data/1820302/000182030222000005/a46-descriptionofsecurit.htm" TargetMode="External"/><Relationship Id="rId29" Type="http://schemas.openxmlformats.org/officeDocument/2006/relationships/hyperlink" Target="https://www.sec.gov/Archives/edgar/data/0001820302/000119312520256308/d38926dex101.htm" TargetMode="External"/><Relationship Id="rId30" Type="http://schemas.openxmlformats.org/officeDocument/2006/relationships/hyperlink" Target="https://www.sec.gov/Archives/edgar/data/0001820302/000119312521005832/d913171dex103.htm" TargetMode="External"/><Relationship Id="rId31" Type="http://schemas.openxmlformats.org/officeDocument/2006/relationships/hyperlink" Target="https://www.sec.gov/Archives/edgar/data/0001820302/000119312521303985/d219325dex1010.htm" TargetMode="External"/><Relationship Id="rId32" Type="http://schemas.openxmlformats.org/officeDocument/2006/relationships/hyperlink" Target="https://www.sec.gov/Archives/edgar/data/0001820302/000119312521303985/d219325dex106.htm" TargetMode="External"/><Relationship Id="rId33" Type="http://schemas.openxmlformats.org/officeDocument/2006/relationships/hyperlink" Target="https://www.sec.gov/Archives/edgar/data/0001820302/000119312521303985/d219325dex101.htm" TargetMode="External"/><Relationship Id="rId34" Type="http://schemas.openxmlformats.org/officeDocument/2006/relationships/hyperlink" Target="https://www.sec.gov/Archives/edgar/data/0001820302/000119312521303985/d219325dex102.htm" TargetMode="External"/><Relationship Id="rId35" Type="http://schemas.openxmlformats.org/officeDocument/2006/relationships/hyperlink" Target="https://www.sec.gov/Archives/edgar/data/0001820302/000119312521303985/d219325dex103.htm" TargetMode="External"/><Relationship Id="rId36" Type="http://schemas.openxmlformats.org/officeDocument/2006/relationships/hyperlink" Target="https://www.sec.gov/Archives/edgar/data/1820302/000182030222000015/a101amendedandrestatedexch.htm" TargetMode="External"/><Relationship Id="rId37" Type="http://schemas.openxmlformats.org/officeDocument/2006/relationships/hyperlink" Target="https://www.sec.gov/Archives/edgar/data/0001820302/000119312521303985/d219325dex105.htm" TargetMode="External"/><Relationship Id="rId38" Type="http://schemas.openxmlformats.org/officeDocument/2006/relationships/hyperlink" Target="https://www.sec.gov/Archives/edgar/data/0001820302/000119312521303985/d219325dex109.htm" TargetMode="External"/><Relationship Id="rId39" Type="http://schemas.openxmlformats.org/officeDocument/2006/relationships/hyperlink" Target="https://www.sec.gov/Archives/edgar/data/1820302/000182030222000005/a1011-formofrsuagreement.htm" TargetMode="External"/><Relationship Id="rId40" Type="http://schemas.openxmlformats.org/officeDocument/2006/relationships/hyperlink" Target="https://www.sec.gov/Archives/edgar/data/1820302/000182030222000005/a1012-formofrsuagreement.htm" TargetMode="External"/><Relationship Id="rId41" Type="http://schemas.openxmlformats.org/officeDocument/2006/relationships/hyperlink" Target="https://www.sec.gov/Archives/edgar/data/1820302/000182030223000062/exhibit101bakkt-formofpsua.htm" TargetMode="External"/><Relationship Id="rId42" Type="http://schemas.openxmlformats.org/officeDocument/2006/relationships/hyperlink" Target="https://www.sec.gov/Archives/edgar/data/0001820302/000119312521303985/d219325dex107.htm" TargetMode="External"/><Relationship Id="rId43" Type="http://schemas.openxmlformats.org/officeDocument/2006/relationships/hyperlink" Target="https://www.sec.gov/Archives/edgar/data/0001820302/000119312521327401/d262546dex101.htm" TargetMode="External"/><Relationship Id="rId44" Type="http://schemas.openxmlformats.org/officeDocument/2006/relationships/hyperlink" Target="https://www.sec.gov/Archives/edgar/data/0001820302/000119312521303985/d219325dex1012.htm" TargetMode="External"/><Relationship Id="rId45" Type="http://schemas.openxmlformats.org/officeDocument/2006/relationships/hyperlink" Target="https://www.sec.gov/ix?doc=/Archives/edgar/data/1820302/000119312524070368/d794298d8k.htm" TargetMode="External"/><Relationship Id="rId46" Type="http://schemas.openxmlformats.org/officeDocument/2006/relationships/hyperlink" Target="https://www.sec.gov/ix?doc=/Archives/edgar/data/1820302/000119312524070368/d794298d8k.htm" TargetMode="External"/><Relationship Id="rId47" Type="http://schemas.openxmlformats.org/officeDocument/2006/relationships/hyperlink" Target="https://www.sec.gov/ix?doc=/Archives/edgar/data/1820302/000119312524070368/d794298d8k.htm" TargetMode="External"/><Relationship Id="rId48" Type="http://schemas.openxmlformats.org/officeDocument/2006/relationships/hyperlink" Target="https://www.sec.gov/ix?doc=/Archives/edgar/data/1820302/000119312524070368/d794298d8k.htm" TargetMode="External"/><Relationship Id="rId49" Type="http://schemas.openxmlformats.org/officeDocument/2006/relationships/hyperlink" Target="https://www.sec.gov/ix?doc=/Archives/edgar/data/1820302/000119312524070368/d794298d8k.htm" TargetMode="External"/><Relationship Id="rId50" Type="http://schemas.openxmlformats.org/officeDocument/2006/relationships/hyperlink" Target="https://www.sec.gov/ix?doc=/Archives/edgar/data/1820302/000119312524070368/d794298d8k.htm" TargetMode="External"/><Relationship Id="rId51" Type="http://schemas.openxmlformats.org/officeDocument/2006/relationships/hyperlink" Target="https://www.sec.gov/ix?doc=/Archives/edgar/data/1820302/000119312524070368/d794298d8k.htm" TargetMode="External"/><Relationship Id="rId52" Type="http://schemas.openxmlformats.org/officeDocument/2006/relationships/hyperlink" Target="https://www.sec.gov/ix?doc=/Archives/edgar/data/1820302/000119312524070368/d794298d8k.htm" TargetMode="External"/><Relationship Id="rId53" Type="http://schemas.openxmlformats.org/officeDocument/2006/relationships/hyperlink" Target="https://www.sec.gov/ix?doc=/Archives/edgar/data/1820302/000119312524070368/d794298d8k.htm" TargetMode="External"/><Relationship Id="rId54" Type="http://schemas.openxmlformats.org/officeDocument/2006/relationships/hyperlink" Target="https://www.sec.gov/Archives/edgar/data/1820302/000182030222000005/a1018-marcdannunzioemplo.htm" TargetMode="External"/><Relationship Id="rId55" Type="http://schemas.openxmlformats.org/officeDocument/2006/relationships/hyperlink" Target="https://www.sec.gov/Archives/edgar/data/1820302/000119312522200875/d367953dex101.htm" TargetMode="External"/><Relationship Id="rId56" Type="http://schemas.openxmlformats.org/officeDocument/2006/relationships/hyperlink" Target="https://www.sec.gov/Archives/edgar/data/1820302/000119312522242987/d277417dex101.htm" TargetMode="External"/><Relationship Id="rId57" Type="http://schemas.openxmlformats.org/officeDocument/2006/relationships/hyperlink" Target="https://www.sec.gov/Archives/edgar/data/1820302/000119312522242987/d277417dex102.htm" TargetMode="External"/><Relationship Id="rId58" Type="http://schemas.openxmlformats.org/officeDocument/2006/relationships/hyperlink" Target="https://www.sec.gov/Archives/edgar/data/1820302/000182030222000036/exhibit102directorcompensa.htm" TargetMode="External"/><Relationship Id="rId59" Type="http://schemas.openxmlformats.org/officeDocument/2006/relationships/hyperlink" Target="https://www.sec.gov/Archives/edgar/data/1820302/000119312522261792/d391874dex101.htm" TargetMode="External"/><Relationship Id="rId60" Type="http://schemas.openxmlformats.org/officeDocument/2006/relationships/hyperlink" Target="https://www.sec.gov/Archives/edgar/data/1820302/000119312523089016/d482123dex41.htm" TargetMode="External"/><Relationship Id="rId61" Type="http://schemas.openxmlformats.org/officeDocument/2006/relationships/hyperlink" Target="https://www.sec.gov/Archives/edgar/data/1820302/000119312523089016/d482123dex41.htm" TargetMode="External"/><Relationship Id="rId62" Type="http://schemas.openxmlformats.org/officeDocument/2006/relationships/hyperlink" Target="https://www.sec.gov/Archives/edgar/data/1820302/000119312523089016/d482123dex41.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92704</Words>
  <Characters>515835</Characters>
  <CharactersWithSpaces>605268</CharactersWithSpaces>
  <Paragraphs>4628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