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843280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868680</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March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13" w:right="339" w:bottom="1440" w:gutter="0" w:footer="0" w:header="0"/>
          <w:type w:val="continuous"/>
        </w:sectPr>
      </w:pPr>
    </w:p>
    <w:tbl>
      <w:tblPr>
        <w:tblLayout w:type="fixed"/>
        <w:tblInd w:w="1240" w:type="dxa"/>
        <w:tblCellMar>
          <w:top w:w="0" w:type="dxa"/>
          <w:left w:w="0" w:type="dxa"/>
          <w:bottom w:w="0" w:type="dxa"/>
          <w:right w:w="0" w:type="dxa"/>
        </w:tblCellMar>
      </w:tblPr>
      <w:tr>
        <w:trPr>
          <w:trHeight w:val="207"/>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2600" w:type="dxa"/>
            <w:vAlign w:val="bottom"/>
          </w:tcPr>
          <w:p>
            <w:pPr>
              <w:spacing w:after="0"/>
              <w:rPr>
                <w:sz w:val="17"/>
                <w:szCs w:val="17"/>
                <w:color w:val="auto"/>
              </w:rPr>
            </w:pPr>
          </w:p>
        </w:tc>
      </w:tr>
      <w:tr>
        <w:trPr>
          <w:trHeight w:val="216"/>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1 Liberty Street, Floor 3, Suite 305-306,</w:t>
            </w: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38"/>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00" w:type="dxa"/>
            <w:vAlign w:val="bottom"/>
          </w:tcPr>
          <w:p>
            <w:pPr>
              <w:spacing w:after="0"/>
              <w:rPr>
                <w:sz w:val="20"/>
                <w:szCs w:val="20"/>
                <w:color w:val="auto"/>
              </w:rPr>
            </w:pPr>
          </w:p>
        </w:tc>
      </w:tr>
      <w:tr>
        <w:trPr>
          <w:trHeight w:val="206"/>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16, 2026 Bakkt, Inc. (the “Company”) issued a Shareholder Letter (the “Letter”) announcing its financial results for the the full year ended December 31, 2025. The Company also posted supplemental presentation materials on its investor relations website (investors.bakkt.com). A copy of this Letter is furnished as Exhibit 99.1 to this current report on Form 8-K and is incorporated herein by reference.</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furnished pursuant to Item 2.02 on this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6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16, 2026 the Company issued Letter announcing its financial results for the the full year ended December 31, 2025. The Company also posted supplemental presentation materials on its investor relations website (investors.bakkt.com). A copy of the shareholder letter is furnished as Exhibit 99.1 to this Current Report on Form 8-K.</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20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0" w:type="dxa"/>
            <w:vAlign w:val="bottom"/>
            <w:tcBorders>
              <w:top w:val="single" w:sz="8" w:color="auto"/>
            </w:tcBorders>
          </w:tcPr>
          <w:p>
            <w:pPr>
              <w:spacing w:after="0"/>
              <w:rPr>
                <w:sz w:val="15"/>
                <w:szCs w:val="15"/>
                <w:color w:val="auto"/>
              </w:rPr>
            </w:pPr>
          </w:p>
        </w:tc>
        <w:tc>
          <w:tcPr>
            <w:tcW w:w="30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Shareholder Letter, dated March 16, 2026</w:t>
            </w:r>
          </w:p>
        </w:tc>
        <w:tc>
          <w:tcPr>
            <w:tcW w:w="5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22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2"/>
        </w:trPr>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2026</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40"/>
          </w:cols>
          <w:pgMar w:left="320" w:top="1413" w:right="339" w:bottom="1440" w:gutter="0" w:footer="0" w:header="0"/>
        </w:sectPr>
      </w:pPr>
    </w:p>
    <w:bookmarkStart w:id="4" w:name="page5"/>
    <w:bookmarkEnd w:id="4"/>
    <w:p>
      <w:pPr>
        <w:jc w:val="center"/>
        <w:ind w:left="380" w:right="320"/>
        <w:spacing w:after="0" w:line="307" w:lineRule="auto"/>
        <w:rPr>
          <w:sz w:val="20"/>
          <w:szCs w:val="20"/>
          <w:color w:val="auto"/>
        </w:rPr>
      </w:pPr>
      <w:r>
        <w:rPr>
          <w:rFonts w:ascii="Times New Roman" w:cs="Times New Roman" w:eastAsia="Times New Roman" w:hAnsi="Times New Roman"/>
          <w:sz w:val="29"/>
          <w:szCs w:val="29"/>
          <w:b w:val="1"/>
          <w:bCs w:val="1"/>
          <w:color w:val="auto"/>
        </w:rPr>
        <w:t>UPDATED: Bakkt Releases Shareholder Letter and Reports Full Year 2025 Financial Results</w:t>
      </w:r>
    </w:p>
    <w:p>
      <w:pPr>
        <w:spacing w:after="0" w:line="90" w:lineRule="exact"/>
        <w:rPr>
          <w:sz w:val="20"/>
          <w:szCs w:val="20"/>
          <w:color w:val="auto"/>
        </w:rPr>
      </w:pPr>
    </w:p>
    <w:p>
      <w:pPr>
        <w:jc w:val="both"/>
        <w:ind w:right="36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NEW YORK, NY </w:t>
      </w:r>
      <w:r>
        <w:rPr>
          <w:rFonts w:ascii="Times New Roman" w:cs="Times New Roman" w:eastAsia="Times New Roman" w:hAnsi="Times New Roman"/>
          <w:sz w:val="20"/>
          <w:szCs w:val="20"/>
          <w:color w:val="auto"/>
        </w:rPr>
        <w:t>– March 16, 2026 – Bakkt, Inc. (“Bakkt” or the “Company”) (NYSE:BKKT) today released a shareholder letter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Executive Officer Akshay Naheta and reported its financial results for the full year ended December 31, 2025. The Company will discuss its results and 2026 strategic priorities at its Investor Day on March 17,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our Shareholders: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Fellow Shareholders,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am writing to you for the first time as CEO of Bakkt.</w:t>
      </w:r>
    </w:p>
    <w:p>
      <w:pPr>
        <w:spacing w:after="0" w:line="202" w:lineRule="exact"/>
        <w:rPr>
          <w:sz w:val="20"/>
          <w:szCs w:val="20"/>
          <w:color w:val="auto"/>
        </w:rPr>
      </w:pPr>
    </w:p>
    <w:p>
      <w:pPr>
        <w:jc w:val="both"/>
        <w:ind w:right="540"/>
        <w:spacing w:after="0" w:line="286" w:lineRule="auto"/>
        <w:rPr>
          <w:sz w:val="20"/>
          <w:szCs w:val="20"/>
          <w:color w:val="auto"/>
        </w:rPr>
      </w:pPr>
      <w:r>
        <w:rPr>
          <w:rFonts w:ascii="Times New Roman" w:cs="Times New Roman" w:eastAsia="Times New Roman" w:hAnsi="Times New Roman"/>
          <w:sz w:val="20"/>
          <w:szCs w:val="20"/>
          <w:color w:val="auto"/>
        </w:rPr>
        <w:t>When I joined the company, it was clear that significant rebuilding was required. Bakkt possessed something rare — a deep regulatory foundation and institutional pedigree rooted in its origins within Intercontinental Exchange — but the company itself had accumulated complexity over time. Strategy had become fragmented, resources were spread across non-core activities, and the platform lacked the technology architecture required for the financial system now emerging.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Much of 2025 was therefore spent doing the work required to rebuild the foundation.</w:t>
      </w:r>
    </w:p>
    <w:p>
      <w:pPr>
        <w:spacing w:after="0" w:line="2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This work was substantial and, at times, more difficult than anticipated. But it was necessary. Our objective was not simply to improve Bakkt as it existed — it was to reposition the company for the financial system that is now beginning to take shape.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The System That Is Changing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Periods in which the architecture of money changes are rare. When they occur, the effects extend far beyond currencies themselves.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the coming decade, three structural forces are likely to reshape global finance.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global debt levels across major economies are historically high. Monetary systems rarely remain static under those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Second, new digital systems are redefining how value can be stored, transferred, and programmed.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artificial intelligence is accelerating both financial infrastructure and capital markets themselves.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money evolves, two other systems evolve with it: how markets trade and how money moves.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Stablecoins are beginning to reshape payment rails.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Tokenization is shortening the distance between asset creation and settlement.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Digital assets are entering institutional portfolios.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Taken together, these changes represent a gradual re-platforming of global financial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the next ten years will see that transition accelerate – exponentially.</w:t>
      </w:r>
    </w:p>
    <w:p>
      <w:pPr>
        <w:sectPr>
          <w:pgSz w:w="11900" w:h="16838" w:orient="portrait"/>
          <w:cols w:equalWidth="0" w:num="1">
            <w:col w:w="11200"/>
          </w:cols>
          <w:pgMar w:left="320" w:top="11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Rebuilding Bakkt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strategy begins with a simple premise: infrastructure matters most during periods of systemic change.</w:t>
      </w:r>
    </w:p>
    <w:p>
      <w:pPr>
        <w:spacing w:after="0" w:line="216"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20"/>
          <w:szCs w:val="20"/>
          <w:color w:val="auto"/>
        </w:rPr>
        <w:t>Bakkt already possessed a valuable regulatory and institutional framework. What it lacked was the modern technology layer required to activate 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2025 we focused on building that foundation.</w:t>
      </w:r>
    </w:p>
    <w:p>
      <w:pPr>
        <w:spacing w:after="0" w:line="216"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20"/>
          <w:szCs w:val="20"/>
          <w:color w:val="auto"/>
        </w:rPr>
        <w:t>We simplified the company, exited businesses that did not support our long-term direction, eliminated debt, and strengthened governance through the addition of Mike Alfred, Lyn Alden, and Richard Galvin to the Board.</w:t>
      </w:r>
    </w:p>
    <w:p>
      <w:pPr>
        <w:spacing w:after="0" w:line="13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20"/>
          <w:szCs w:val="20"/>
          <w:color w:val="auto"/>
        </w:rPr>
        <w:t>At the same time, Bakkt began integrating the technology architecture developed by Distributed Technologies Research (DTR). That architecture introduces programmable financial infrastructure and AI-native systems capable of supporting modern payment flows, digital assets, and tokenized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simple terms: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provides the regulatory and institutional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DTR provides the technology engine.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Together they form the foundation for what Bakkt can become.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The Platform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is now being built as an integrated financial infrastructure platform with three operating engines.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Markets provides regulated market access, trading infrastructure, and liquidity for digital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Agent enables programmable money movement and financial services through modular financial rails and AI-native architecture.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Global extends this infrastructure internationally through disciplined expansion into high-growth markets.</w:t>
      </w:r>
    </w:p>
    <w:p>
      <w:pPr>
        <w:spacing w:after="0" w:line="202"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Each engine serves a distinct function. Together they allow institutions, companies, and developers to access modern financial infrastructure without building the regulatory or technological stack themselves.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focus now is execution — expanding adoption, strengthening partnerships, and building durable infrastructure revenue over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results for 2025 reflect a company in transition.</w:t>
      </w:r>
    </w:p>
    <w:p>
      <w:pPr>
        <w:spacing w:after="0" w:line="216" w:lineRule="exact"/>
        <w:rPr>
          <w:sz w:val="20"/>
          <w:szCs w:val="20"/>
          <w:color w:val="auto"/>
        </w:rPr>
      </w:pPr>
    </w:p>
    <w:p>
      <w:pPr>
        <w:ind w:right="200"/>
        <w:spacing w:after="0" w:line="311" w:lineRule="auto"/>
        <w:rPr>
          <w:sz w:val="20"/>
          <w:szCs w:val="20"/>
          <w:color w:val="auto"/>
        </w:rPr>
      </w:pPr>
      <w:r>
        <w:rPr>
          <w:rFonts w:ascii="Times New Roman" w:cs="Times New Roman" w:eastAsia="Times New Roman" w:hAnsi="Times New Roman"/>
          <w:sz w:val="20"/>
          <w:szCs w:val="20"/>
          <w:color w:val="auto"/>
        </w:rPr>
        <w:t>They include the effects of restructuring and the exit of businesses that historically defined Bakkt but no longer represent its future. These actions impacted near-term results but were necessary to rebuild the company around a focused infrastructure platform.</w:t>
      </w:r>
    </w:p>
    <w:p>
      <w:pPr>
        <w:spacing w:after="0" w:line="11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20"/>
          <w:szCs w:val="20"/>
          <w:color w:val="auto"/>
        </w:rPr>
        <w:t>During the second half of the year we began to see early contributions from the rebuilt business and the first signs of our international strategy taking shape.</w:t>
      </w:r>
    </w:p>
    <w:p>
      <w:pPr>
        <w:sectPr>
          <w:pgSz w:w="11900" w:h="16838" w:orient="portrait"/>
          <w:cols w:equalWidth="0" w:num="1">
            <w:col w:w="11120"/>
          </w:cols>
          <w:pgMar w:left="320" w:top="109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As we move through 2026, our financial profile should increasingly reflect the underlying economics of this new platform.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Looking Ahead</w:t>
      </w:r>
    </w:p>
    <w:p>
      <w:pPr>
        <w:spacing w:after="0" w:line="247"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20"/>
          <w:szCs w:val="20"/>
          <w:color w:val="auto"/>
        </w:rPr>
        <w:t>Looking ahead to 2026 and beyond, each component of the platform is positioned to scale alongside the structural shifts taking place in global finance.</w:t>
      </w:r>
    </w:p>
    <w:p>
      <w:pPr>
        <w:spacing w:after="0" w:line="14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20"/>
          <w:szCs w:val="20"/>
          <w:color w:val="auto"/>
        </w:rPr>
        <w:t>Bakkt Markets will focus on stablecoin on-ramp and off-ramp infrastructure — one of the fastest-growing segments in digital finance. As fintech platforms, payment companies, and banks expand their digital asset capabilities, they increasingly require regulated partners for compliant fiat-to-stablecoin conversion. Bakkt Markets is positioned to power these rails for institutions building on stablecoin networks worldwide.</w:t>
      </w:r>
    </w:p>
    <w:p>
      <w:pPr>
        <w:spacing w:after="0" w:line="173" w:lineRule="exact"/>
        <w:rPr>
          <w:sz w:val="20"/>
          <w:szCs w:val="20"/>
          <w:color w:val="auto"/>
        </w:rPr>
      </w:pPr>
    </w:p>
    <w:p>
      <w:pPr>
        <w:ind w:right="200"/>
        <w:spacing w:after="0" w:line="340" w:lineRule="auto"/>
        <w:rPr>
          <w:sz w:val="20"/>
          <w:szCs w:val="20"/>
          <w:color w:val="auto"/>
        </w:rPr>
      </w:pPr>
      <w:r>
        <w:rPr>
          <w:rFonts w:ascii="Times New Roman" w:cs="Times New Roman" w:eastAsia="Times New Roman" w:hAnsi="Times New Roman"/>
          <w:sz w:val="19"/>
          <w:szCs w:val="19"/>
          <w:color w:val="auto"/>
        </w:rPr>
        <w:t>Bakkt Agent will roll out programmable financial capabilities built on modern payment rails — enabling companies to integrate stablecoin rails directly into their products and supporting programmable payments, financial automation, and AI-native financial services.</w:t>
      </w:r>
    </w:p>
    <w:p>
      <w:pPr>
        <w:spacing w:after="0" w:line="12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0"/>
          <w:szCs w:val="20"/>
          <w:color w:val="auto"/>
        </w:rPr>
        <w:t>Bakkt Global remains in its early stages, but we have already established meaningful shareholder value through our investments in Japan and India. As these companies execute their business plans and scale their platforms, we expect the value of these investments to grow substantially.</w:t>
      </w:r>
    </w:p>
    <w:p>
      <w:pPr>
        <w:spacing w:after="0" w:line="18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auto"/>
        </w:rPr>
        <w:t>Taken together, these three engines form a single platform: regulated market infrastructure, programmable payment rails, and a high-growth global strategy. Our task in the years ahead is to scale each layer steadily and responsibly as the financial system evolves.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Closing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was a year of rebuilding.</w:t>
      </w:r>
    </w:p>
    <w:p>
      <w:pPr>
        <w:spacing w:after="0" w:line="202"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20"/>
          <w:szCs w:val="20"/>
          <w:color w:val="auto"/>
        </w:rPr>
        <w:t>Much of the heavy lifting is now behind us. What lies ahead is the work of execution — steady, disciplined, and focused on long-term value creation.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continued trust. We look forward to updating you on our progress. Stay tuned.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Akshay Naheta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FY 2025 and Recent Operational Highlights:</w:t>
      </w:r>
    </w:p>
    <w:p>
      <w:pPr>
        <w:spacing w:after="0" w:line="20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Strengthened balance sheet simplified structure:</w:t>
      </w:r>
    </w:p>
    <w:p>
      <w:pPr>
        <w:spacing w:after="0" w:line="44" w:lineRule="exact"/>
        <w:rPr>
          <w:sz w:val="20"/>
          <w:szCs w:val="20"/>
          <w:color w:val="auto"/>
        </w:rPr>
      </w:pPr>
    </w:p>
    <w:p>
      <w:pPr>
        <w:ind w:left="1300" w:hanging="320"/>
        <w:spacing w:after="0" w:line="280" w:lineRule="auto"/>
        <w:tabs>
          <w:tab w:leader="none" w:pos="1300" w:val="left"/>
        </w:tabs>
        <w:numPr>
          <w:ilvl w:val="0"/>
          <w:numId w:val="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In 2025, Bakkt completed strategic capital raises totaling approximately $100 million, enhancing its liquidity and supporting its strategic repositioning. During the year, the Company also eliminated its long-term debt, resulting in a debt-free balance sheet and significantly improving financial flexibility. On November 3, 2025, Bakkt completed the collapse of its legacy Up-C structure and transitioned to a single-class common stock</w:t>
      </w:r>
    </w:p>
    <w:p>
      <w:pPr>
        <w:sectPr>
          <w:pgSz w:w="11900" w:h="16838" w:orient="portrait"/>
          <w:cols w:equalWidth="0" w:num="1">
            <w:col w:w="11200"/>
          </w:cols>
          <w:pgMar w:left="320" w:top="1102" w:right="379" w:bottom="1440" w:gutter="0" w:footer="0" w:header="0"/>
        </w:sectPr>
      </w:pPr>
    </w:p>
    <w:bookmarkStart w:id="7" w:name="page8"/>
    <w:bookmarkEnd w:id="7"/>
    <w:p>
      <w:pPr>
        <w:ind w:left="1300" w:right="360"/>
        <w:spacing w:after="0" w:line="275" w:lineRule="auto"/>
        <w:rPr>
          <w:sz w:val="20"/>
          <w:szCs w:val="20"/>
          <w:color w:val="auto"/>
        </w:rPr>
      </w:pPr>
      <w:r>
        <w:rPr>
          <w:rFonts w:ascii="Times New Roman" w:cs="Times New Roman" w:eastAsia="Times New Roman" w:hAnsi="Times New Roman"/>
          <w:sz w:val="20"/>
          <w:szCs w:val="20"/>
          <w:color w:val="auto"/>
        </w:rPr>
        <w:t>structure, simplifying its corporate organization, improving transparency, and aligning the Company with public market investors.</w:t>
      </w:r>
    </w:p>
    <w:p>
      <w:pPr>
        <w:spacing w:after="0" w:line="1"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Completed divestiture of non-core custody and loyalty businesses:</w:t>
      </w:r>
    </w:p>
    <w:p>
      <w:pPr>
        <w:spacing w:after="0" w:line="38" w:lineRule="exact"/>
        <w:rPr>
          <w:sz w:val="20"/>
          <w:szCs w:val="20"/>
          <w:color w:val="auto"/>
        </w:rPr>
      </w:pPr>
    </w:p>
    <w:p>
      <w:pPr>
        <w:ind w:left="1300" w:right="60" w:hanging="320"/>
        <w:spacing w:after="0" w:line="272" w:lineRule="auto"/>
        <w:tabs>
          <w:tab w:leader="none" w:pos="1300" w:val="left"/>
        </w:tabs>
        <w:numPr>
          <w:ilvl w:val="1"/>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As part of its strategic transformation, Bakkt exited non-core operations in 2025, signing a definitive agreement in Q1 2025 to divest its Custody business to ICE and entering into a definitive agreement on July 23, 2025 to sell its Loyalty business. The sale of the Loyalty business closed on October 1, 2025 and was reclassified as discontinued operations. These actions streamlined the Company’s structure and sharpened focus on core digital asset trading, payments, and infrastructure initiatives.</w:t>
      </w:r>
    </w:p>
    <w:p>
      <w:pPr>
        <w:spacing w:after="0" w:line="2"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Launched new business solutions and rebrand:</w:t>
      </w:r>
    </w:p>
    <w:p>
      <w:pPr>
        <w:spacing w:after="0" w:line="34" w:lineRule="exact"/>
        <w:rPr>
          <w:rFonts w:ascii="Times New Roman" w:cs="Times New Roman" w:eastAsia="Times New Roman" w:hAnsi="Times New Roman"/>
          <w:sz w:val="20"/>
          <w:szCs w:val="20"/>
          <w:color w:val="auto"/>
        </w:rPr>
      </w:pPr>
    </w:p>
    <w:p>
      <w:pPr>
        <w:ind w:left="1300" w:hanging="320"/>
        <w:spacing w:after="0" w:line="273" w:lineRule="auto"/>
        <w:tabs>
          <w:tab w:leader="none" w:pos="1300" w:val="left"/>
        </w:tabs>
        <w:numPr>
          <w:ilvl w:val="1"/>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 xml:space="preserve">During 2025, Bakkt launched its unified strategic platform, including </w:t>
      </w:r>
      <w:r>
        <w:rPr>
          <w:rFonts w:ascii="Times New Roman" w:cs="Times New Roman" w:eastAsia="Times New Roman" w:hAnsi="Times New Roman"/>
          <w:sz w:val="20"/>
          <w:szCs w:val="20"/>
          <w:b w:val="1"/>
          <w:bCs w:val="1"/>
          <w:color w:val="auto"/>
        </w:rPr>
        <w:t>Bakkt Markets, Bakkt Agent, and Bakkt Global</w:t>
      </w:r>
      <w:r>
        <w:rPr>
          <w:rFonts w:ascii="Times New Roman" w:cs="Times New Roman" w:eastAsia="Times New Roman" w:hAnsi="Times New Roman"/>
          <w:sz w:val="20"/>
          <w:szCs w:val="20"/>
          <w:color w:val="auto"/>
        </w:rPr>
        <w:t>, to deliver regulated digital asset trading infrastructure, embedded financial solutions, and international expansion capabilities. Bakkt also completed a comprehensive corporate rebrand and website refresh in the fourth quarter of 2025, reflecting the Company’s evolution into a next-generation digital financial infrastructure provider and aligning its public identity with its strategic direction.</w:t>
      </w:r>
    </w:p>
    <w:p>
      <w:pPr>
        <w:spacing w:after="0" w:line="1"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Strengthened Board of Directors:</w:t>
      </w:r>
    </w:p>
    <w:p>
      <w:pPr>
        <w:spacing w:after="0" w:line="38" w:lineRule="exact"/>
        <w:rPr>
          <w:rFonts w:ascii="Times New Roman" w:cs="Times New Roman" w:eastAsia="Times New Roman" w:hAnsi="Times New Roman"/>
          <w:sz w:val="20"/>
          <w:szCs w:val="20"/>
          <w:color w:val="auto"/>
        </w:rPr>
      </w:pPr>
    </w:p>
    <w:p>
      <w:pPr>
        <w:ind w:left="1300" w:right="20" w:hanging="320"/>
        <w:spacing w:after="0" w:line="272" w:lineRule="auto"/>
        <w:tabs>
          <w:tab w:leader="none" w:pos="1300" w:val="left"/>
        </w:tabs>
        <w:numPr>
          <w:ilvl w:val="1"/>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During 2025, Bakkt enhanced its corporate governance and strategic leadership with key Board appointments, including the appointment of Mike Alfred, Lyn Alden, and Richard Galvin to its Board of Directors, bringing extensive experience in global capital markets, digital assets, and financial infrastructure. These additions strengthened oversight and strategic guidance as the Company executes its long-term growth initiatives.</w:t>
      </w: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Announced agreement to acquire Distributed Technologies Research (DTR):</w:t>
      </w:r>
    </w:p>
    <w:p>
      <w:pPr>
        <w:spacing w:after="0" w:line="32" w:lineRule="exact"/>
        <w:rPr>
          <w:rFonts w:ascii="Times New Roman" w:cs="Times New Roman" w:eastAsia="Times New Roman" w:hAnsi="Times New Roman"/>
          <w:sz w:val="20"/>
          <w:szCs w:val="20"/>
          <w:color w:val="auto"/>
        </w:rPr>
      </w:pPr>
    </w:p>
    <w:p>
      <w:pPr>
        <w:jc w:val="both"/>
        <w:ind w:left="1300" w:right="120" w:hanging="320"/>
        <w:spacing w:after="0" w:line="284" w:lineRule="auto"/>
        <w:tabs>
          <w:tab w:leader="none" w:pos="1300" w:val="left"/>
        </w:tabs>
        <w:numPr>
          <w:ilvl w:val="1"/>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On January 11, 2026, Bakkt entered into a definitive Share Purchase Agreement to acquire DTR, a global digital payments infrastructure provider focused on enabling secure and compliant movement of value across fiat and crypto payment rails. The acquisition is expected to expand Bakkt’s stablecoin payment capabilities and strengthen its position in global digital financial infrastructure.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FY 2025 Financial Results (unaudited):</w:t>
      </w:r>
    </w:p>
    <w:p>
      <w:pPr>
        <w:spacing w:after="0" w:line="220"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revenue was $2,335.2 million, down 32.1% year-over-year, driven by decreased crypto trading volume.</w:t>
      </w:r>
    </w:p>
    <w:p>
      <w:pPr>
        <w:spacing w:after="0" w:line="40" w:lineRule="exact"/>
        <w:rPr>
          <w:rFonts w:ascii="Times New Roman" w:cs="Times New Roman" w:eastAsia="Times New Roman" w:hAnsi="Times New Roman"/>
          <w:sz w:val="20"/>
          <w:szCs w:val="20"/>
          <w:color w:val="auto"/>
        </w:rPr>
      </w:pPr>
    </w:p>
    <w:p>
      <w:pPr>
        <w:ind w:left="660" w:right="700" w:hanging="328"/>
        <w:spacing w:after="0" w:line="274"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operating expenses were $2,483.1 million, down 29.5% year-over-year primarily due to a decrease in crypto costs and execution, clearing and brokerage fees as a result of lower trading volume.</w:t>
      </w:r>
    </w:p>
    <w:p>
      <w:pPr>
        <w:spacing w:after="0" w:line="1" w:lineRule="exact"/>
        <w:rPr>
          <w:rFonts w:ascii="Times New Roman" w:cs="Times New Roman" w:eastAsia="Times New Roman" w:hAnsi="Times New Roman"/>
          <w:sz w:val="20"/>
          <w:szCs w:val="20"/>
          <w:color w:val="auto"/>
        </w:rPr>
      </w:pPr>
    </w:p>
    <w:p>
      <w:pPr>
        <w:ind w:left="660" w:right="40" w:hanging="328"/>
        <w:spacing w:after="0" w:line="289" w:lineRule="auto"/>
        <w:tabs>
          <w:tab w:leader="none" w:pos="64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GAAP net loss from continuing operations was $97.7 million, primarily driven by the increase in share-based compensation booked in Q4 2025 for the option plan approved in the year and the TRA settlement expenses related to the collapse of the Up-C structure.</w:t>
      </w:r>
    </w:p>
    <w:p>
      <w:pPr>
        <w:ind w:left="660" w:right="120" w:hanging="328"/>
        <w:spacing w:after="0" w:line="274"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was $132.2 million, primarily driven by the loss from discontinued operations of $34.6 million, from the sale of the Loyalty business in 2025.</w:t>
      </w:r>
    </w:p>
    <w:p>
      <w:pPr>
        <w:spacing w:after="0" w:line="1" w:lineRule="exact"/>
        <w:rPr>
          <w:rFonts w:ascii="Times New Roman" w:cs="Times New Roman" w:eastAsia="Times New Roman" w:hAnsi="Times New Roman"/>
          <w:sz w:val="20"/>
          <w:szCs w:val="20"/>
          <w:color w:val="auto"/>
        </w:rPr>
      </w:pPr>
    </w:p>
    <w:p>
      <w:pPr>
        <w:ind w:left="660" w:right="600" w:hanging="328"/>
        <w:spacing w:after="0" w:line="297"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(non-GAAP) was negative $32.7 million, improving 42.9% year-over-year primarily due to $24.5 million increase in other income primarily from derivative asset and $11.7 million reduction in SG&amp;A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Information</w:t>
      </w:r>
    </w:p>
    <w:p>
      <w:pPr>
        <w:sectPr>
          <w:pgSz w:w="11900" w:h="16838" w:orient="portrait"/>
          <w:cols w:equalWidth="0" w:num="1">
            <w:col w:w="11140"/>
          </w:cols>
          <w:pgMar w:left="320" w:top="1102" w:right="439" w:bottom="1440" w:gutter="0" w:footer="0" w:header="0"/>
        </w:sectPr>
      </w:pPr>
    </w:p>
    <w:bookmarkStart w:id="8" w:name="page9"/>
    <w:bookmarkEnd w:id="8"/>
    <w:p>
      <w:pPr>
        <w:spacing w:after="0" w:line="289" w:lineRule="auto"/>
        <w:rPr>
          <w:sz w:val="20"/>
          <w:szCs w:val="20"/>
          <w:color w:val="auto"/>
        </w:rPr>
      </w:pPr>
      <w:r>
        <w:rPr>
          <w:rFonts w:ascii="Times New Roman" w:cs="Times New Roman" w:eastAsia="Times New Roman" w:hAnsi="Times New Roman"/>
          <w:sz w:val="20"/>
          <w:szCs w:val="20"/>
          <w:color w:val="auto"/>
        </w:rPr>
        <w:t>Bakkt will host its Investor Day Presentation, reviewing the results for the year and other business and strategic updates tomorrow, March 17, 2026 at 9:30 AM EST. The presentation will be webcast live and archived on the investor relations section of Bakkt’s corporate website under the ‘News &amp; Events’ section, along with any related earnings materials. Attendance information is provided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Day Presentation Details:</w:t>
      </w:r>
    </w:p>
    <w:p>
      <w:pPr>
        <w:spacing w:after="0" w:line="220"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March 17, 2026</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9:30 AM EST</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Webcast: https://vimeo.com/event/5728178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Bakkt</w:t>
      </w:r>
    </w:p>
    <w:p>
      <w:pPr>
        <w:spacing w:after="0" w:line="202" w:lineRule="exact"/>
        <w:rPr>
          <w:sz w:val="20"/>
          <w:szCs w:val="20"/>
          <w:color w:val="auto"/>
        </w:rPr>
      </w:pPr>
    </w:p>
    <w:p>
      <w:pPr>
        <w:ind w:right="20"/>
        <w:spacing w:after="0" w:line="292" w:lineRule="auto"/>
        <w:rPr>
          <w:sz w:val="20"/>
          <w:szCs w:val="20"/>
          <w:color w:val="auto"/>
        </w:rPr>
      </w:pPr>
      <w:r>
        <w:rPr>
          <w:rFonts w:ascii="Arial" w:cs="Arial" w:eastAsia="Arial" w:hAnsi="Arial"/>
          <w:sz w:val="22"/>
          <w:szCs w:val="22"/>
          <w:color w:val="auto"/>
        </w:rPr>
        <w:t>F</w:t>
      </w:r>
      <w:r>
        <w:rPr>
          <w:rFonts w:ascii="Times New Roman" w:cs="Times New Roman" w:eastAsia="Times New Roman" w:hAnsi="Times New Roman"/>
          <w:sz w:val="19"/>
          <w:szCs w:val="19"/>
          <w:color w:val="auto"/>
        </w:rPr>
        <w:t>ounded in 2018, Bakkt, Inc. is a regulated financial technology company building infrastructure for the future of finance. Bakkt's platform</w:t>
      </w:r>
      <w:r>
        <w:rPr>
          <w:rFonts w:ascii="Arial" w:cs="Arial" w:eastAsia="Arial" w:hAnsi="Arial"/>
          <w:sz w:val="22"/>
          <w:szCs w:val="22"/>
          <w:color w:val="auto"/>
        </w:rPr>
        <w:t xml:space="preserve"> </w:t>
      </w:r>
      <w:r>
        <w:rPr>
          <w:rFonts w:ascii="Times New Roman" w:cs="Times New Roman" w:eastAsia="Times New Roman" w:hAnsi="Times New Roman"/>
          <w:sz w:val="19"/>
          <w:szCs w:val="19"/>
          <w:color w:val="auto"/>
        </w:rPr>
        <w:t>serves financial institutions, fintechs, and consumer finance products — providing the compliance, security, and scale required to deliver trusted financial services at a global level. Through its core business pillars, Bakkt powers institutional-grade trading capabilities, AI-enabled programmable finance, and cross-border payment infrastructure.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is headquartered in New York, NY.</w:t>
      </w:r>
    </w:p>
    <w:p>
      <w:pPr>
        <w:spacing w:after="0" w:line="216" w:lineRule="exact"/>
        <w:rPr>
          <w:sz w:val="20"/>
          <w:szCs w:val="20"/>
          <w:color w:val="auto"/>
        </w:rPr>
      </w:pPr>
    </w:p>
    <w:p>
      <w:pPr>
        <w:ind w:right="5020"/>
        <w:spacing w:after="0" w:line="420" w:lineRule="auto"/>
        <w:rPr>
          <w:sz w:val="20"/>
          <w:szCs w:val="20"/>
          <w:color w:val="auto"/>
        </w:rPr>
      </w:pPr>
      <w:r>
        <w:rPr>
          <w:rFonts w:ascii="Times New Roman" w:cs="Times New Roman" w:eastAsia="Times New Roman" w:hAnsi="Times New Roman"/>
          <w:sz w:val="20"/>
          <w:szCs w:val="20"/>
          <w:color w:val="auto"/>
        </w:rPr>
        <w:t xml:space="preserve">For more information, visit: https://www.bakkt.com/ | X | LinkedIn | Instagram </w:t>
      </w:r>
      <w:r>
        <w:rPr>
          <w:rFonts w:ascii="Times New Roman" w:cs="Times New Roman" w:eastAsia="Times New Roman" w:hAnsi="Times New Roman"/>
          <w:sz w:val="20"/>
          <w:szCs w:val="20"/>
          <w:b w:val="1"/>
          <w:bCs w:val="1"/>
          <w:color w:val="auto"/>
        </w:rPr>
        <w:t>For investor and media inquiries, please contact: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Yujia Zhai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OG Advisory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67886"/>
        </w:rPr>
        <w:t>bakkt@orangegroupadvisors.com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Luna PR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bakkt@lunapr.io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This release and accompanying remarks contain “forward-looking statements” within the meaning of Section 27A of the U.S. Securities Act of 1933, as amended, and Section 21E of the U.S. Securities Exchange Act of 1934, as amended. Forward-looking statements can be identified by words such as “will,” “likely,” “expect,” “continue,” “anticipate,” “estimate,” “believe,” “intend,” “plan,” “projection,” “outlook,” “grow,” “progress,” “potential” or other variations of these terms, as well as similar expressions that discuss future plans, actions, or events. The absence of such words does not mean that a statement is not forward-looking. These statements are based on the current beliefs and expectations of Bakkt, Inc. (the “Company”) and are inherently subject to significant business, economic, and competitive uncertainties and contingencies—many of which are difficult to predict and are beyond the Company’s control. Forward-looking statements in this release may include, for example, statements about: expectations regarding the Company’s strategic transformation and completion thereof; future financial and operational performance; expansion of Bakkt Markets, Agent, and Global; anticipated benefits of investment in international markets; product launches and scalability; cost optimization and</w:t>
      </w:r>
    </w:p>
    <w:p>
      <w:pPr>
        <w:sectPr>
          <w:pgSz w:w="11900" w:h="16838" w:orient="portrait"/>
          <w:cols w:equalWidth="0" w:num="1">
            <w:col w:w="11220"/>
          </w:cols>
          <w:pgMar w:left="320" w:top="1102"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capital structure; industry growth in stablecoins, tokenization and digital assets; governance initiatives; and regulatory developments.</w:t>
      </w:r>
    </w:p>
    <w:p>
      <w:pPr>
        <w:spacing w:after="0" w:line="21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9"/>
          <w:szCs w:val="19"/>
          <w:color w:val="auto"/>
        </w:rPr>
        <w:t>Actual results and the timing of events may differ materially from those anticipated due to a number of factors, including but not limited to: the Company’s ability to grow and manage growth profitably; the Company's ability to complete its acquisition of Distributed Technologies Research Global Ltd. (“DTR”), which remains subject to customary closing conditions, including shareholder vote; whether the Company will be able to successfully integrate its operations with those of DTR, including its infrastructure, and achieve the expected benefits therefrom; the regulatory environment for digital assets and digital stablecoin payments; changes in the Company’s business strategy; the Company's adoption of its updated Investment Policy (“Investment Policy”) and related treasury strategy, including the Company’s ability to successfully consummate acquisitions, integrate or manage investments in potential acquisition targets and investees;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sources and uses of cash, including funds to satisfy its liquidity needs; the Company’s ability to raise capital and investments in us, including</w:t>
      </w:r>
    </w:p>
    <w:p>
      <w:pPr>
        <w:sectPr>
          <w:pgSz w:w="11900" w:h="16838" w:orient="portrait"/>
          <w:cols w:equalWidth="0" w:num="1">
            <w:col w:w="11200"/>
          </w:cols>
          <w:pgMar w:left="320" w:top="1102" w:right="379" w:bottom="1440" w:gutter="0" w:footer="0" w:header="0"/>
        </w:sectPr>
      </w:pPr>
    </w:p>
    <w:bookmarkStart w:id="10" w:name="page11"/>
    <w:bookmarkEnd w:id="10"/>
    <w:p>
      <w:pPr>
        <w:spacing w:after="0" w:line="277" w:lineRule="auto"/>
        <w:rPr>
          <w:sz w:val="20"/>
          <w:szCs w:val="20"/>
          <w:color w:val="auto"/>
        </w:rPr>
      </w:pPr>
      <w:r>
        <w:rPr>
          <w:rFonts w:ascii="Times New Roman" w:cs="Times New Roman" w:eastAsia="Times New Roman" w:hAnsi="Times New Roman"/>
          <w:sz w:val="20"/>
          <w:szCs w:val="20"/>
          <w:color w:val="auto"/>
        </w:rPr>
        <w:t>by our chief executive officer; changes in the market in which the Company competes, including with respect to its competitive landscape, technology evolution or changes in applicable laws or regulations; changes in the markets that the Company targets; volatility and disruptions in the digital asset, digital payments and stablecoin markets that subject the Company to additional risks, including the risk that banks may not provide banking services to the Company and market sentiments regarding digital assets,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digital assets;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the Company’s ability to maintain the listing of its securities on the New York Stock Exchange.</w:t>
      </w:r>
    </w:p>
    <w:p>
      <w:pPr>
        <w:spacing w:after="0" w:line="154"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20"/>
          <w:szCs w:val="20"/>
          <w:color w:val="auto"/>
        </w:rPr>
        <w:t>These and other risks are detailed in the Company’s filings with the U.S. Securities and Exchange Commission (“SEC”), including its most recent Annual Report on Form 10-K for the year ended December 31, 2024, its Quarterly Reports on Form 10-Q for the quarters</w:t>
      </w:r>
    </w:p>
    <w:p>
      <w:pPr>
        <w:spacing w:after="0" w:line="1"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20"/>
          <w:szCs w:val="20"/>
          <w:color w:val="auto"/>
        </w:rPr>
        <w:t>ended March 31, 2025, June 30, 2025 and September 30, 2025, and the risk factors regarding the Company’s treasury strategy set forth in Exhibit 99.1 to its Current Report on Form 8-K, filed June 10,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are cautioned not to place undue reliance on forward-looking statements. These statements speak only as of the date of this release,</w:t>
      </w:r>
    </w:p>
    <w:p>
      <w:pPr>
        <w:spacing w:after="0" w:line="4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and Bakkt undertakes no obligation to update or revise any forward-looking statements, whether as a result of new information, future events, or otherwise, except as required by law.</w:t>
      </w:r>
    </w:p>
    <w:p>
      <w:pPr>
        <w:sectPr>
          <w:pgSz w:w="11900" w:h="16838" w:orient="portrait"/>
          <w:cols w:equalWidth="0" w:num="1">
            <w:col w:w="11240"/>
          </w:cols>
          <w:pgMar w:left="320" w:top="1102" w:right="339" w:bottom="1440" w:gutter="0" w:footer="0" w:header="0"/>
        </w:sectPr>
      </w:pPr>
    </w:p>
    <w:bookmarkStart w:id="11" w:name="page12"/>
    <w:bookmarkEnd w:id="11"/>
    <w:p>
      <w:pPr>
        <w:ind w:left="3520"/>
        <w:spacing w:after="0"/>
        <w:rPr>
          <w:sz w:val="20"/>
          <w:szCs w:val="20"/>
          <w:color w:val="auto"/>
        </w:rPr>
      </w:pPr>
      <w:r>
        <w:rPr>
          <w:rFonts w:ascii="Times New Roman" w:cs="Times New Roman" w:eastAsia="Times New Roman" w:hAnsi="Times New Roman"/>
          <w:sz w:val="20"/>
          <w:szCs w:val="20"/>
          <w:b w:val="1"/>
          <w:bCs w:val="1"/>
          <w:color w:val="auto"/>
        </w:rPr>
        <w:t>Bakkt Holdings, Inc. Consolidated Balance Sheets</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and 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2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4"/>
        </w:trPr>
        <w:tc>
          <w:tcPr>
            <w:tcW w:w="8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39,049</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88,566</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insurance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Assets of businesses held for sale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183,845</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of businesses held for sale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payable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88,566</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Due to related party</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 of businesses held for sale</w:t>
            </w: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07"/>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137,719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 of businesses held for sale</w:t>
            </w: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206,524</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($0.0001 par value, 560,000,000 shares authorized, 25,523,039 and 6,510,885 shares issued and</w:t>
            </w:r>
          </w:p>
        </w:tc>
        <w:tc>
          <w:tcPr>
            <w:tcW w:w="3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 and December 31, 2024, respectively)</w:t>
            </w:r>
          </w:p>
        </w:tc>
        <w:tc>
          <w:tcPr>
            <w:tcW w:w="3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V common stock ($0.0001 par value, 10,000,000 shares authorized, 0 and 7,178,303 shares</w:t>
            </w:r>
          </w:p>
        </w:tc>
        <w:tc>
          <w:tcPr>
            <w:tcW w:w="3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December 31, 2025 and December 31, 2024, respectively)</w:t>
            </w: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832,693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(797,960)</w:t>
            </w:r>
          </w:p>
        </w:tc>
        <w:tc>
          <w:tcPr>
            <w:tcW w:w="0" w:type="dxa"/>
            <w:vAlign w:val="bottom"/>
          </w:tcPr>
          <w:p>
            <w:pPr>
              <w:spacing w:after="0"/>
              <w:rPr>
                <w:sz w:val="1"/>
                <w:szCs w:val="1"/>
                <w:color w:val="auto"/>
              </w:rPr>
            </w:pPr>
          </w:p>
        </w:tc>
      </w:tr>
      <w:tr>
        <w:trPr>
          <w:trHeight w:val="207"/>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28,959</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112,782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62,853</w:t>
            </w: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Bakkt Holdings, Inc. Consolidated Statements of Operations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and 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726,988</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726,988</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 (See Note 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718,511</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45,494</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 settlement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883,232</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 in earnings of affiliates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before equity in net earnings of affiliates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(72,159)</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(225,812)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(150,958)</w:t>
            </w:r>
          </w:p>
        </w:tc>
        <w:tc>
          <w:tcPr>
            <w:tcW w:w="0" w:type="dxa"/>
            <w:vAlign w:val="bottom"/>
          </w:tcPr>
          <w:p>
            <w:pPr>
              <w:spacing w:after="0"/>
              <w:rPr>
                <w:sz w:val="1"/>
                <w:szCs w:val="1"/>
                <w:color w:val="auto"/>
              </w:rPr>
            </w:pP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Inc.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Class A common stockholders: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basic net loss per share attributable to Class A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 attributable to Class A common stockholders: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diluted net loss per share attributable to Class A common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8" w:right="339" w:bottom="1440" w:gutter="0" w:footer="0" w:header="0"/>
        </w:sectPr>
      </w:pPr>
    </w:p>
    <w:bookmarkStart w:id="13" w:name="page14"/>
    <w:bookmarkEnd w:id="13"/>
    <w:p>
      <w:pPr>
        <w:ind w:left="3060"/>
        <w:spacing w:after="0"/>
        <w:rPr>
          <w:sz w:val="20"/>
          <w:szCs w:val="20"/>
          <w:color w:val="auto"/>
        </w:rPr>
      </w:pPr>
      <w:r>
        <w:rPr>
          <w:rFonts w:ascii="Times New Roman" w:cs="Times New Roman" w:eastAsia="Times New Roman" w:hAnsi="Times New Roman"/>
          <w:sz w:val="20"/>
          <w:szCs w:val="20"/>
          <w:b w:val="1"/>
          <w:bCs w:val="1"/>
          <w:color w:val="auto"/>
        </w:rPr>
        <w:t>Bakkt Holdings, Inc. Consolidated Statements of Cash Flows</w:t>
      </w:r>
    </w:p>
    <w:p>
      <w:pPr>
        <w:spacing w:after="0" w:line="4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and 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2"/>
                <w:szCs w:val="12"/>
                <w:color w:val="auto"/>
              </w:rPr>
            </w:pPr>
          </w:p>
        </w:tc>
        <w:tc>
          <w:tcPr>
            <w:tcW w:w="13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(225,812)</w:t>
            </w: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contingent consideration liability</w:t>
            </w:r>
          </w:p>
        </w:tc>
        <w:tc>
          <w:tcPr>
            <w:tcW w:w="3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lease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15,452</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Forfeiture and cancellation of common units</w:t>
            </w:r>
          </w:p>
        </w:tc>
        <w:tc>
          <w:tcPr>
            <w:tcW w:w="3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sale of businesses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lease terminations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Goodwill and intangible assets impairments</w:t>
            </w:r>
          </w:p>
        </w:tc>
        <w:tc>
          <w:tcPr>
            <w:tcW w:w="3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60,499</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extinguishment of convertible debenture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(gain) from change in fair value of warrant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derivative assets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Equity Method Investee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6600" w:type="dxa"/>
            <w:vAlign w:val="bottom"/>
          </w:tcPr>
          <w:p>
            <w:pPr>
              <w:ind w:left="20"/>
              <w:spacing w:after="0"/>
              <w:rPr>
                <w:sz w:val="20"/>
                <w:szCs w:val="20"/>
                <w:color w:val="auto"/>
              </w:rPr>
            </w:pPr>
            <w:r>
              <w:rPr>
                <w:rFonts w:ascii="Arial" w:cs="Arial" w:eastAsia="Arial" w:hAnsi="Arial"/>
                <w:sz w:val="13"/>
                <w:szCs w:val="13"/>
                <w:color w:val="auto"/>
              </w:rPr>
              <w:t>TRA Equity Settlement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Accounts receivable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(10,036)</w:t>
            </w:r>
          </w:p>
        </w:tc>
        <w:tc>
          <w:tcPr>
            <w:tcW w:w="0" w:type="dxa"/>
            <w:vAlign w:val="bottom"/>
          </w:tcPr>
          <w:p>
            <w:pPr>
              <w:spacing w:after="0"/>
              <w:rPr>
                <w:sz w:val="1"/>
                <w:szCs w:val="1"/>
                <w:color w:val="auto"/>
              </w:rPr>
            </w:pPr>
          </w:p>
        </w:tc>
      </w:tr>
      <w:tr>
        <w:trPr>
          <w:trHeight w:val="170"/>
        </w:trPr>
        <w:tc>
          <w:tcPr>
            <w:tcW w:w="66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Prepaid insurance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Deposits with clearinghouse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14,991</w:t>
            </w:r>
          </w:p>
        </w:tc>
        <w:tc>
          <w:tcPr>
            <w:tcW w:w="0" w:type="dxa"/>
            <w:vAlign w:val="bottom"/>
          </w:tcPr>
          <w:p>
            <w:pPr>
              <w:spacing w:after="0"/>
              <w:rPr>
                <w:sz w:val="1"/>
                <w:szCs w:val="1"/>
                <w:color w:val="auto"/>
              </w:rPr>
            </w:pPr>
          </w:p>
        </w:tc>
      </w:tr>
      <w:tr>
        <w:trPr>
          <w:trHeight w:val="170"/>
        </w:trPr>
        <w:tc>
          <w:tcPr>
            <w:tcW w:w="66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Due to related party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0" w:type="dxa"/>
            <w:vAlign w:val="bottom"/>
          </w:tcPr>
          <w:p>
            <w:pPr>
              <w:spacing w:after="0"/>
              <w:rPr>
                <w:sz w:val="1"/>
                <w:szCs w:val="1"/>
                <w:color w:val="auto"/>
              </w:rPr>
            </w:pPr>
          </w:p>
        </w:tc>
      </w:tr>
      <w:tr>
        <w:trPr>
          <w:trHeight w:val="170"/>
        </w:trPr>
        <w:tc>
          <w:tcPr>
            <w:tcW w:w="66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revenue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w:t>
            </w:r>
          </w:p>
        </w:tc>
        <w:tc>
          <w:tcPr>
            <w:tcW w:w="0" w:type="dxa"/>
            <w:vAlign w:val="bottom"/>
          </w:tcPr>
          <w:p>
            <w:pPr>
              <w:spacing w:after="0"/>
              <w:rPr>
                <w:sz w:val="1"/>
                <w:szCs w:val="1"/>
                <w:color w:val="auto"/>
              </w:rPr>
            </w:pPr>
          </w:p>
        </w:tc>
      </w:tr>
      <w:tr>
        <w:trPr>
          <w:trHeight w:val="170"/>
        </w:trPr>
        <w:tc>
          <w:tcPr>
            <w:tcW w:w="66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Customer funds payable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32,334</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Assets and liabilities of businesses held for sale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3,394</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(153,399)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(60,697)</w:t>
            </w:r>
          </w:p>
        </w:tc>
        <w:tc>
          <w:tcPr>
            <w:tcW w:w="0" w:type="dxa"/>
            <w:vAlign w:val="bottom"/>
          </w:tcPr>
          <w:p>
            <w:pPr>
              <w:spacing w:after="0"/>
              <w:rPr>
                <w:sz w:val="1"/>
                <w:szCs w:val="1"/>
                <w:color w:val="auto"/>
              </w:rPr>
            </w:pPr>
          </w:p>
        </w:tc>
      </w:tr>
      <w:tr>
        <w:trPr>
          <w:trHeight w:val="151"/>
        </w:trPr>
        <w:tc>
          <w:tcPr>
            <w:tcW w:w="6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(9,433)</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marketable securities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(61,829)</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the maturity of marketable securities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185,765</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Sale of Bakkt Trust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equity method investment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Loyalty divestiture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advance for Loyalty Buyer</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proceeds from derivative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Acquisition of Bumped Financial, LLC</w:t>
            </w:r>
          </w:p>
        </w:tc>
        <w:tc>
          <w:tcPr>
            <w:tcW w:w="3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Acquisition of Apex Crypto LLC, net of cash acquired</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(47,902)</w:t>
            </w:r>
          </w:p>
        </w:tc>
        <w:tc>
          <w:tcPr>
            <w:tcW w:w="0" w:type="dxa"/>
            <w:vAlign w:val="bottom"/>
          </w:tcPr>
          <w:p>
            <w:pPr>
              <w:spacing w:after="0"/>
              <w:rPr>
                <w:sz w:val="1"/>
                <w:szCs w:val="1"/>
                <w:color w:val="auto"/>
              </w:rPr>
            </w:pPr>
          </w:p>
        </w:tc>
      </w:tr>
      <w:tr>
        <w:trPr>
          <w:trHeight w:val="16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(38,122)</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65,970</w:t>
            </w:r>
          </w:p>
        </w:tc>
        <w:tc>
          <w:tcPr>
            <w:tcW w:w="0" w:type="dxa"/>
            <w:vAlign w:val="bottom"/>
          </w:tcPr>
          <w:p>
            <w:pPr>
              <w:spacing w:after="0"/>
              <w:rPr>
                <w:sz w:val="1"/>
                <w:szCs w:val="1"/>
                <w:color w:val="auto"/>
              </w:rPr>
            </w:pPr>
          </w:p>
        </w:tc>
      </w:tr>
      <w:tr>
        <w:trPr>
          <w:trHeight w:val="16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Concurrent Offerings, net of issuance costs</w:t>
            </w:r>
          </w:p>
        </w:tc>
        <w:tc>
          <w:tcPr>
            <w:tcW w:w="3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Withholding tax payments on net share settlements on equity awards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the exercise of warrants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Exercise of exercise of stock options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Common Stock Issuance, net of issuance cost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pre-funded warrants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 of Convertible Debenture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6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Repayments on revolving credit facility</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financing fees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convertible debentures, net of discounts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82,084</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43,818</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0" w:type="dxa"/>
            <w:vAlign w:val="bottom"/>
          </w:tcPr>
          <w:p>
            <w:pPr>
              <w:spacing w:after="0"/>
              <w:rPr>
                <w:sz w:val="1"/>
                <w:szCs w:val="1"/>
                <w:color w:val="auto"/>
              </w:rPr>
            </w:pPr>
          </w:p>
        </w:tc>
      </w:tr>
      <w:tr>
        <w:trPr>
          <w:trHeight w:val="16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increase (decrease) in cash, cash equivalents, deposits, restricted cash and customer funds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(108,844)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0" w:type="dxa"/>
            <w:vAlign w:val="bottom"/>
          </w:tcPr>
          <w:p>
            <w:pPr>
              <w:spacing w:after="0"/>
              <w:rPr>
                <w:sz w:val="1"/>
                <w:szCs w:val="1"/>
                <w:color w:val="auto"/>
              </w:rPr>
            </w:pPr>
          </w:p>
        </w:tc>
      </w:tr>
      <w:tr>
        <w:trPr>
          <w:trHeight w:val="17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deposits, restricted cash and customer funds at the beginning of the period</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153,746</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118,498</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115,423</w:t>
            </w:r>
          </w:p>
        </w:tc>
        <w:tc>
          <w:tcPr>
            <w:tcW w:w="0" w:type="dxa"/>
            <w:vAlign w:val="bottom"/>
          </w:tcPr>
          <w:p>
            <w:pPr>
              <w:spacing w:after="0"/>
              <w:rPr>
                <w:sz w:val="1"/>
                <w:szCs w:val="1"/>
                <w:color w:val="auto"/>
              </w:rPr>
            </w:pPr>
          </w:p>
        </w:tc>
      </w:tr>
      <w:tr>
        <w:trPr>
          <w:trHeight w:val="20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deposits, restricted cash and customer funds at the end of the period</w:t>
            </w: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44,902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153,746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118,498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6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71"/>
        </w:trPr>
        <w:tc>
          <w:tcPr>
            <w:tcW w:w="6600" w:type="dxa"/>
            <w:vAlign w:val="bottom"/>
          </w:tcPr>
          <w:p>
            <w:pPr>
              <w:ind w:left="20"/>
              <w:spacing w:after="0"/>
              <w:rPr>
                <w:sz w:val="20"/>
                <w:szCs w:val="20"/>
                <w:color w:val="auto"/>
              </w:rPr>
            </w:pPr>
            <w:r>
              <w:rPr>
                <w:rFonts w:ascii="Arial" w:cs="Arial" w:eastAsia="Arial" w:hAnsi="Arial"/>
                <w:sz w:val="13"/>
                <w:szCs w:val="13"/>
                <w:color w:val="auto"/>
              </w:rPr>
              <w:t>Non-cash operating lease right-of-use asset acquired</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0" w:type="dxa"/>
            <w:vAlign w:val="bottom"/>
          </w:tcPr>
          <w:p>
            <w:pPr>
              <w:ind w:left="20"/>
              <w:spacing w:after="0" w:line="122" w:lineRule="exact"/>
              <w:rPr>
                <w:sz w:val="20"/>
                <w:szCs w:val="20"/>
                <w:color w:val="auto"/>
              </w:rPr>
            </w:pPr>
            <w:r>
              <w:rPr>
                <w:rFonts w:ascii="Arial" w:cs="Arial" w:eastAsia="Arial" w:hAnsi="Arial"/>
                <w:sz w:val="13"/>
                <w:szCs w:val="13"/>
                <w:color w:val="auto"/>
                <w:w w:val="97"/>
              </w:rPr>
              <w:t>Capitalized internal-use software development costs and other capital expenditures included in accounts payable and</w:t>
            </w: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accrued liabilities</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29"/>
        </w:trPr>
        <w:tc>
          <w:tcPr>
            <w:tcW w:w="6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Reconciliation of cash, cash equivalents, deposits, restricted cash and customer funds to consolidated balance</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sheets:</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26,962</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39,049</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52,882</w:t>
            </w: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31,838</w:t>
            </w:r>
          </w:p>
        </w:tc>
        <w:tc>
          <w:tcPr>
            <w:tcW w:w="0" w:type="dxa"/>
            <w:vAlign w:val="bottom"/>
          </w:tcPr>
          <w:p>
            <w:pPr>
              <w:spacing w:after="0"/>
              <w:rPr>
                <w:sz w:val="1"/>
                <w:szCs w:val="1"/>
                <w:color w:val="auto"/>
              </w:rPr>
            </w:pPr>
          </w:p>
        </w:tc>
      </w:tr>
      <w:tr>
        <w:trPr>
          <w:trHeight w:val="171"/>
        </w:trPr>
        <w:tc>
          <w:tcPr>
            <w:tcW w:w="6600" w:type="dxa"/>
            <w:vAlign w:val="bottom"/>
          </w:tcPr>
          <w:p>
            <w:pPr>
              <w:ind w:left="20"/>
              <w:spacing w:after="0"/>
              <w:rPr>
                <w:sz w:val="20"/>
                <w:szCs w:val="20"/>
                <w:color w:val="auto"/>
              </w:rPr>
            </w:pPr>
            <w:r>
              <w:rPr>
                <w:rFonts w:ascii="Arial" w:cs="Arial" w:eastAsia="Arial" w:hAnsi="Arial"/>
                <w:sz w:val="13"/>
                <w:szCs w:val="13"/>
                <w:color w:val="auto"/>
              </w:rPr>
              <w:t>Customer funds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32,925</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Deposits (See Note 7)</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0" w:type="dxa"/>
            <w:vAlign w:val="bottom"/>
          </w:tcPr>
          <w:p>
            <w:pPr>
              <w:spacing w:after="0"/>
              <w:rPr>
                <w:sz w:val="1"/>
                <w:szCs w:val="1"/>
                <w:color w:val="auto"/>
              </w:rPr>
            </w:pPr>
          </w:p>
        </w:tc>
      </w:tr>
      <w:tr>
        <w:trPr>
          <w:trHeight w:val="174"/>
        </w:trPr>
        <w:tc>
          <w:tcPr>
            <w:tcW w:w="6600" w:type="dxa"/>
            <w:vAlign w:val="bottom"/>
          </w:tcPr>
          <w:p>
            <w:pPr>
              <w:ind w:left="20"/>
              <w:spacing w:after="0"/>
              <w:rPr>
                <w:sz w:val="20"/>
                <w:szCs w:val="20"/>
                <w:color w:val="auto"/>
              </w:rPr>
            </w:pPr>
            <w:r>
              <w:rPr>
                <w:rFonts w:ascii="Arial" w:cs="Arial" w:eastAsia="Arial" w:hAnsi="Arial"/>
                <w:sz w:val="13"/>
                <w:szCs w:val="13"/>
                <w:color w:val="auto"/>
              </w:rPr>
              <w:t>Total cash, cash equivalents, deposits, restricted cash and customer funds</w:t>
            </w: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44,902</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153,746</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118,498</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17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This release includes discussions of non-GAAP financial measures such as EBITDA and Adjusted EBITDA, which are financial measures that are not calculated in accordance accounting principles generally accepted in the United States of America ("GAAP"). These non-GAAP measures have no standardized meaning and are not defined under GAAP and, therefore, may not be comparable to similar measures presented by other companies. The presentation of these non-GAAP measures is not intended to be considered in isolation from, as a substitute for, or as superior to the financial information presented in accordance with GAAP. The Company uses non-GAAP financial measures to assist in evaluating its performance for purposes of business decision-making. The Company believes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 These measures are provided on a supplemental basis for transparency and comparability, and do not modify reported GAAP revenue.</w:t>
      </w:r>
    </w:p>
    <w:p>
      <w:pPr>
        <w:spacing w:after="0" w:line="130" w:lineRule="exact"/>
        <w:rPr>
          <w:sz w:val="20"/>
          <w:szCs w:val="20"/>
          <w:color w:val="auto"/>
        </w:rPr>
      </w:pPr>
    </w:p>
    <w:p>
      <w:pPr>
        <w:ind w:right="800"/>
        <w:spacing w:after="0" w:line="311" w:lineRule="auto"/>
        <w:rPr>
          <w:sz w:val="20"/>
          <w:szCs w:val="20"/>
          <w:color w:val="auto"/>
        </w:rPr>
      </w:pPr>
      <w:r>
        <w:rPr>
          <w:rFonts w:ascii="Times New Roman" w:cs="Times New Roman" w:eastAsia="Times New Roman" w:hAnsi="Times New Roman"/>
          <w:sz w:val="20"/>
          <w:szCs w:val="20"/>
          <w:color w:val="auto"/>
        </w:rPr>
        <w:t>These non-GAAP financial measures should be considered alongside other financial performance measures, including net loss from continuing operations and our other financial results presented in accordance with GAAP.</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EBITDA and Adjusted EBITDA Reconciliation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81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assignments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Bakkt Trust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convertible debenture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 Settlements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2026-03-17T07:39:11Z</dcterms:created>
  <dcterms:modified xsi:type="dcterms:W3CDTF">2026-03-17T07:39:11Z</dcterms:modified>
</cp:coreProperties>
</file>