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1428750</wp:posOffset>
            </wp:positionH>
            <wp:positionV relativeFrom="page">
              <wp:posOffset>733425</wp:posOffset>
            </wp:positionV>
            <wp:extent cx="46907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90745" cy="8255"/>
                    </a:xfrm>
                    <a:prstGeom prst="rect">
                      <a:avLst/>
                    </a:prstGeom>
                    <a:noFill/>
                  </pic:spPr>
                </pic:pic>
              </a:graphicData>
            </a:graphic>
          </wp:anchor>
        </w:drawing>
        <w:drawing>
          <wp:anchor simplePos="0" relativeHeight="251657728" behindDoc="1" locked="0" layoutInCell="0" allowOverlap="1">
            <wp:simplePos x="0" y="0"/>
            <wp:positionH relativeFrom="page">
              <wp:posOffset>1428750</wp:posOffset>
            </wp:positionH>
            <wp:positionV relativeFrom="page">
              <wp:posOffset>758825</wp:posOffset>
            </wp:positionV>
            <wp:extent cx="46907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90745" cy="8255"/>
                    </a:xfrm>
                    <a:prstGeom prst="rect">
                      <a:avLst/>
                    </a:prstGeom>
                    <a:noFill/>
                  </pic:spPr>
                </pic:pic>
              </a:graphicData>
            </a:graphic>
          </wp:anchor>
        </w:drawing>
        <w:t>UNITED STATES</w:t>
      </w:r>
    </w:p>
    <w:p>
      <w:pPr>
        <w:jc w:val="center"/>
        <w:spacing w:after="0" w:line="210"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3041015</wp:posOffset>
            </wp:positionH>
            <wp:positionV relativeFrom="paragraph">
              <wp:posOffset>78105</wp:posOffset>
            </wp:positionV>
            <wp:extent cx="10515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1560" cy="8255"/>
                    </a:xfrm>
                    <a:prstGeom prst="rect">
                      <a:avLst/>
                    </a:prstGeom>
                    <a:noFill/>
                  </pic:spPr>
                </pic:pic>
              </a:graphicData>
            </a:graphic>
          </wp:anchor>
        </w:drawing>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3312795</wp:posOffset>
            </wp:positionH>
            <wp:positionV relativeFrom="paragraph">
              <wp:posOffset>93345</wp:posOffset>
            </wp:positionV>
            <wp:extent cx="5086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8635" cy="8255"/>
                    </a:xfrm>
                    <a:prstGeom prst="rect">
                      <a:avLst/>
                    </a:prstGeom>
                    <a:noFill/>
                  </pic:spPr>
                </pic:pic>
              </a:graphicData>
            </a:graphic>
          </wp:anchor>
        </w:drawing>
      </w:r>
    </w:p>
    <w:p>
      <w:pPr>
        <w:spacing w:after="0" w:line="30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2" w:lineRule="exact"/>
        <w:rPr>
          <w:sz w:val="24"/>
          <w:szCs w:val="24"/>
          <w:color w:val="auto"/>
        </w:rPr>
      </w:pPr>
    </w:p>
    <w:p>
      <w:pPr>
        <w:ind w:left="520" w:hanging="495"/>
        <w:spacing w:after="0"/>
        <w:tabs>
          <w:tab w:leader="none" w:pos="52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2025</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0" w:lineRule="exact"/>
        <w:rPr>
          <w:sz w:val="24"/>
          <w:szCs w:val="24"/>
          <w:color w:val="auto"/>
        </w:rPr>
      </w:pPr>
    </w:p>
    <w:p>
      <w:pPr>
        <w:ind w:left="520" w:hanging="495"/>
        <w:spacing w:after="0"/>
        <w:tabs>
          <w:tab w:leader="none" w:pos="5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96"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 to ________</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001-39544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3312795</wp:posOffset>
            </wp:positionH>
            <wp:positionV relativeFrom="paragraph">
              <wp:posOffset>247650</wp:posOffset>
            </wp:positionV>
            <wp:extent cx="5086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08635"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3312795</wp:posOffset>
            </wp:positionH>
            <wp:positionV relativeFrom="paragraph">
              <wp:posOffset>71120</wp:posOffset>
            </wp:positionV>
            <wp:extent cx="5086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08635" cy="825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p>
      <w:pPr>
        <w:spacing w:after="0" w:line="200" w:lineRule="exact"/>
        <w:rPr>
          <w:sz w:val="24"/>
          <w:szCs w:val="24"/>
          <w:color w:val="auto"/>
        </w:rPr>
      </w:pPr>
    </w:p>
    <w:p>
      <w:pPr>
        <w:spacing w:after="0" w:line="277"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1"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7"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98-1550750</w:t>
      </w:r>
    </w:p>
    <w:p>
      <w:pPr>
        <w:spacing w:after="0" w:line="3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1" w:lineRule="exact"/>
        <w:rPr>
          <w:sz w:val="24"/>
          <w:szCs w:val="24"/>
          <w:color w:val="auto"/>
        </w:rPr>
      </w:pPr>
    </w:p>
    <w:p>
      <w:pPr>
        <w:sectPr>
          <w:pgSz w:w="11900" w:h="16838" w:orient="portrait"/>
          <w:cols w:equalWidth="0" w:num="2">
            <w:col w:w="7220" w:space="720"/>
            <w:col w:w="3300"/>
          </w:cols>
          <w:pgMar w:left="320" w:top="1343" w:right="339" w:bottom="1440" w:gutter="0" w:footer="0" w:header="0"/>
          <w:type w:val="continuous"/>
        </w:sectPr>
      </w:pPr>
    </w:p>
    <w:tbl>
      <w:tblPr>
        <w:tblLayout w:type="fixed"/>
        <w:tblInd w:w="1440" w:type="dxa"/>
        <w:tblCellMar>
          <w:top w:w="0" w:type="dxa"/>
          <w:left w:w="0" w:type="dxa"/>
          <w:bottom w:w="0" w:type="dxa"/>
          <w:right w:w="0" w:type="dxa"/>
        </w:tblCellMar>
      </w:tblPr>
      <w:tr>
        <w:trPr>
          <w:trHeight w:val="207"/>
        </w:trPr>
        <w:tc>
          <w:tcPr>
            <w:tcW w:w="4720" w:type="dxa"/>
            <w:vAlign w:val="bottom"/>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8"/>
              </w:rPr>
              <w:t>10000 Avalon Boulevard, Suite 1000</w:t>
            </w:r>
          </w:p>
        </w:tc>
        <w:tc>
          <w:tcPr>
            <w:tcW w:w="2560" w:type="dxa"/>
            <w:vAlign w:val="bottom"/>
          </w:tcPr>
          <w:p>
            <w:pPr>
              <w:spacing w:after="0"/>
              <w:rPr>
                <w:sz w:val="18"/>
                <w:szCs w:val="18"/>
                <w:color w:val="auto"/>
              </w:rPr>
            </w:pPr>
          </w:p>
        </w:tc>
      </w:tr>
      <w:tr>
        <w:trPr>
          <w:trHeight w:val="256"/>
        </w:trPr>
        <w:tc>
          <w:tcPr>
            <w:tcW w:w="4720" w:type="dxa"/>
            <w:vAlign w:val="bottom"/>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9"/>
              </w:rPr>
              <w:t>Alpharetta, Georgia</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30009</w:t>
            </w:r>
          </w:p>
        </w:tc>
      </w:tr>
      <w:tr>
        <w:trPr>
          <w:trHeight w:val="165"/>
        </w:trPr>
        <w:tc>
          <w:tcPr>
            <w:tcW w:w="4720" w:type="dxa"/>
            <w:vAlign w:val="bottom"/>
          </w:tcPr>
          <w:p>
            <w:pPr>
              <w:jc w:val="center"/>
              <w:ind w:right="190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w:t>
            </w:r>
          </w:p>
        </w:tc>
        <w:tc>
          <w:tcPr>
            <w:tcW w:w="2560" w:type="dxa"/>
            <w:vAlign w:val="bottom"/>
          </w:tcPr>
          <w:p>
            <w:pPr>
              <w:jc w:val="center"/>
              <w:ind w:left="1904"/>
              <w:spacing w:after="0"/>
              <w:rPr>
                <w:sz w:val="20"/>
                <w:szCs w:val="20"/>
                <w:color w:val="auto"/>
              </w:rPr>
            </w:pPr>
            <w:r>
              <w:rPr>
                <w:rFonts w:ascii="Times New Roman" w:cs="Times New Roman" w:eastAsia="Times New Roman" w:hAnsi="Times New Roman"/>
                <w:sz w:val="12"/>
                <w:szCs w:val="12"/>
                <w:b w:val="1"/>
                <w:bCs w:val="1"/>
                <w:color w:val="auto"/>
              </w:rPr>
              <w:t>(Zip Code)</w:t>
            </w:r>
          </w:p>
        </w:tc>
      </w:tr>
    </w:tbl>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3312795</wp:posOffset>
            </wp:positionH>
            <wp:positionV relativeFrom="paragraph">
              <wp:posOffset>86360</wp:posOffset>
            </wp:positionV>
            <wp:extent cx="5086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08635" cy="8255"/>
                    </a:xfrm>
                    <a:prstGeom prst="rect">
                      <a:avLst/>
                    </a:prstGeom>
                    <a:noFill/>
                  </pic:spPr>
                </pic:pic>
              </a:graphicData>
            </a:graphic>
          </wp:anchor>
        </w:drawing>
      </w:r>
    </w:p>
    <w:p>
      <w:pPr>
        <w:spacing w:after="0" w:line="26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59"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4780" w:type="dxa"/>
            <w:vAlign w:val="bottom"/>
            <w:gridSpan w:val="2"/>
          </w:tcPr>
          <w:p>
            <w:pPr>
              <w:ind w:left="17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Trading Symbol (s)</w:t>
            </w: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5"/>
        </w:trPr>
        <w:tc>
          <w:tcPr>
            <w:tcW w:w="4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180"/>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Class A Common Stock, par value $0.0001 per share</w:t>
            </w:r>
          </w:p>
        </w:tc>
        <w:tc>
          <w:tcPr>
            <w:tcW w:w="16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BKKT</w:t>
            </w:r>
          </w:p>
        </w:tc>
        <w:tc>
          <w:tcPr>
            <w:tcW w:w="160" w:type="dxa"/>
            <w:vAlign w:val="bottom"/>
          </w:tcPr>
          <w:p>
            <w:pPr>
              <w:spacing w:after="0"/>
              <w:rPr>
                <w:sz w:val="15"/>
                <w:szCs w:val="15"/>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r>
        <w:trPr>
          <w:trHeight w:val="189"/>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Warrants to purchase Class A Common Stock</w:t>
            </w:r>
          </w:p>
        </w:tc>
        <w:tc>
          <w:tcPr>
            <w:tcW w:w="2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BKKT WS</w:t>
            </w: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bl>
    <w:p>
      <w:pPr>
        <w:spacing w:after="0" w:line="158" w:lineRule="exact"/>
        <w:rPr>
          <w:sz w:val="24"/>
          <w:szCs w:val="24"/>
          <w:color w:val="auto"/>
        </w:rPr>
      </w:pPr>
    </w:p>
    <w:p>
      <w:pPr>
        <w:ind w:right="120" w:firstLine="513"/>
        <w:spacing w:after="0" w:line="214"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2" w:lineRule="exact"/>
        <w:rPr>
          <w:sz w:val="24"/>
          <w:szCs w:val="24"/>
          <w:color w:val="auto"/>
        </w:rPr>
      </w:pPr>
    </w:p>
    <w:p>
      <w:pPr>
        <w:ind w:firstLine="513"/>
        <w:spacing w:after="0" w:line="207"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right="420" w:firstLine="513"/>
        <w:spacing w:after="0" w:line="22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0" w:lineRule="exact"/>
        <w:rPr>
          <w:sz w:val="24"/>
          <w:szCs w:val="24"/>
          <w:color w:val="auto"/>
        </w:rPr>
      </w:pPr>
    </w:p>
    <w:tbl>
      <w:tblPr>
        <w:tblLayout w:type="fixed"/>
        <w:tblInd w:w="20" w:type="dxa"/>
        <w:tblCellMar>
          <w:top w:w="0" w:type="dxa"/>
          <w:left w:w="0" w:type="dxa"/>
          <w:bottom w:w="0" w:type="dxa"/>
          <w:right w:w="0" w:type="dxa"/>
        </w:tblCellMar>
      </w:tblPr>
      <w:tr>
        <w:trPr>
          <w:trHeight w:val="267"/>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7"/>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1"/>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286" w:lineRule="exact"/>
        <w:rPr>
          <w:sz w:val="24"/>
          <w:szCs w:val="24"/>
          <w:color w:val="auto"/>
        </w:rPr>
      </w:pPr>
    </w:p>
    <w:p>
      <w:pPr>
        <w:jc w:val="both"/>
        <w:ind w:right="180" w:firstLine="513"/>
        <w:spacing w:after="0" w:line="19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4"/>
          <w:szCs w:val="14"/>
          <w:color w:val="auto"/>
        </w:rPr>
        <w:t>☒</w:t>
      </w:r>
    </w:p>
    <w:p>
      <w:pPr>
        <w:spacing w:after="0" w:line="49" w:lineRule="exact"/>
        <w:rPr>
          <w:sz w:val="24"/>
          <w:szCs w:val="24"/>
          <w:color w:val="auto"/>
        </w:rPr>
      </w:pPr>
    </w:p>
    <w:p>
      <w:pPr>
        <w:ind w:right="280" w:firstLine="513"/>
        <w:spacing w:after="0" w:line="241" w:lineRule="auto"/>
        <w:rPr>
          <w:sz w:val="20"/>
          <w:szCs w:val="20"/>
          <w:color w:val="auto"/>
        </w:rPr>
      </w:pPr>
      <w:r>
        <w:rPr>
          <w:rFonts w:ascii="Times New Roman" w:cs="Times New Roman" w:eastAsia="Times New Roman" w:hAnsi="Times New Roman"/>
          <w:sz w:val="16"/>
          <w:szCs w:val="16"/>
          <w:color w:val="auto"/>
        </w:rPr>
        <w:t>As of August 8, 2025, there were 14,373,519 shares of the registrant’s Class A Common Stock, 7,177,076 shares of Class V Common Stock, and 7,140,383 public warrants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711835</wp:posOffset>
            </wp:positionV>
            <wp:extent cx="71589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drawing>
          <wp:anchor simplePos="0" relativeHeight="251657728" behindDoc="1" locked="0" layoutInCell="0" allowOverlap="1">
            <wp:simplePos x="0" y="0"/>
            <wp:positionH relativeFrom="column">
              <wp:posOffset>1225550</wp:posOffset>
            </wp:positionH>
            <wp:positionV relativeFrom="paragraph">
              <wp:posOffset>53975</wp:posOffset>
            </wp:positionV>
            <wp:extent cx="46907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90745" cy="8255"/>
                    </a:xfrm>
                    <a:prstGeom prst="rect">
                      <a:avLst/>
                    </a:prstGeom>
                    <a:noFill/>
                  </pic:spPr>
                </pic:pic>
              </a:graphicData>
            </a:graphic>
          </wp:anchor>
        </w:drawing>
        <w:drawing>
          <wp:anchor simplePos="0" relativeHeight="251657728" behindDoc="1" locked="0" layoutInCell="0" allowOverlap="1">
            <wp:simplePos x="0" y="0"/>
            <wp:positionH relativeFrom="column">
              <wp:posOffset>1225550</wp:posOffset>
            </wp:positionH>
            <wp:positionV relativeFrom="paragraph">
              <wp:posOffset>79375</wp:posOffset>
            </wp:positionV>
            <wp:extent cx="46907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90745" cy="825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7"/>
        </w:trPr>
        <w:tc>
          <w:tcPr>
            <w:tcW w:w="1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2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5"/>
        </w:trPr>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4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E32E1"/>
                <w:w w:val="97"/>
              </w:rPr>
              <w:t>FINANCIAL INFORMATION</w:t>
            </w:r>
          </w:p>
        </w:tc>
        <w:tc>
          <w:tcPr>
            <w:tcW w:w="6980" w:type="dxa"/>
            <w:vAlign w:val="bottom"/>
            <w:gridSpan w:val="11"/>
            <w:vMerge w:val="restart"/>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1140" w:type="dxa"/>
            <w:vAlign w:val="bottom"/>
            <w:vMerge w:val="continue"/>
          </w:tcPr>
          <w:p>
            <w:pPr>
              <w:spacing w:after="0"/>
              <w:rPr>
                <w:sz w:val="14"/>
                <w:szCs w:val="14"/>
                <w:color w:val="auto"/>
              </w:rPr>
            </w:pPr>
          </w:p>
        </w:tc>
        <w:tc>
          <w:tcPr>
            <w:tcW w:w="2240" w:type="dxa"/>
            <w:vAlign w:val="bottom"/>
            <w:tcBorders>
              <w:bottom w:val="single" w:sz="8" w:color="0E32E1"/>
            </w:tcBorders>
            <w:gridSpan w:val="10"/>
            <w:vMerge w:val="continue"/>
          </w:tcPr>
          <w:p>
            <w:pPr>
              <w:spacing w:after="0"/>
              <w:rPr>
                <w:sz w:val="14"/>
                <w:szCs w:val="14"/>
                <w:color w:val="auto"/>
              </w:rPr>
            </w:pPr>
          </w:p>
        </w:tc>
        <w:tc>
          <w:tcPr>
            <w:tcW w:w="6980" w:type="dxa"/>
            <w:vAlign w:val="bottom"/>
            <w:gridSpan w:val="11"/>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380" w:type="dxa"/>
            <w:vAlign w:val="bottom"/>
            <w:tcBorders>
              <w:bottom w:val="single" w:sz="8" w:color="0E32E1"/>
            </w:tcBorders>
            <w:gridSpan w:val="15"/>
          </w:tcPr>
          <w:p>
            <w:pPr>
              <w:spacing w:after="0"/>
              <w:rPr>
                <w:sz w:val="20"/>
                <w:szCs w:val="20"/>
                <w:color w:val="auto"/>
              </w:rPr>
            </w:pPr>
            <w:r>
              <w:rPr>
                <w:rFonts w:ascii="Times New Roman" w:cs="Times New Roman" w:eastAsia="Times New Roman" w:hAnsi="Times New Roman"/>
                <w:sz w:val="18"/>
                <w:szCs w:val="18"/>
                <w:color w:val="0E32E1"/>
                <w:w w:val="98"/>
              </w:rPr>
              <w:t>Consolidated Financial Statements (Unaudited)</w:t>
            </w:r>
          </w:p>
        </w:tc>
        <w:tc>
          <w:tcPr>
            <w:tcW w:w="5840" w:type="dxa"/>
            <w:vAlign w:val="bottom"/>
            <w:gridSpan w:val="6"/>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Consolidated Balance Sheets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tcPr>
          <w:p>
            <w:pPr>
              <w:spacing w:after="0"/>
              <w:rPr>
                <w:sz w:val="18"/>
                <w:szCs w:val="18"/>
                <w:color w:val="auto"/>
              </w:rPr>
            </w:pP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Consolidated Statements of Operations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40" w:type="dxa"/>
            <w:vAlign w:val="bottom"/>
            <w:gridSpan w:val="3"/>
            <w:shd w:val="clear" w:color="auto" w:fill="0E32E1"/>
          </w:tcPr>
          <w:p>
            <w:pPr>
              <w:spacing w:after="0" w:line="20" w:lineRule="exact"/>
              <w:rPr>
                <w:sz w:val="1"/>
                <w:szCs w:val="1"/>
                <w:color w:val="auto"/>
              </w:rPr>
            </w:pPr>
          </w:p>
        </w:tc>
        <w:tc>
          <w:tcPr>
            <w:tcW w:w="48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tcPr>
          <w:p>
            <w:pPr>
              <w:spacing w:after="0"/>
              <w:rPr>
                <w:sz w:val="18"/>
                <w:szCs w:val="18"/>
                <w:color w:val="auto"/>
              </w:rPr>
            </w:pP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Consolidated Statements of Comprehensive Loss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500" w:type="dxa"/>
            <w:vAlign w:val="bottom"/>
            <w:tcBorders>
              <w:top w:val="single" w:sz="8" w:color="0E32E1"/>
            </w:tcBorders>
            <w:gridSpan w:val="16"/>
          </w:tcPr>
          <w:p>
            <w:pPr>
              <w:spacing w:after="0"/>
              <w:rPr>
                <w:sz w:val="20"/>
                <w:szCs w:val="20"/>
                <w:color w:val="auto"/>
              </w:rPr>
            </w:pPr>
            <w:r>
              <w:rPr>
                <w:rFonts w:ascii="Times New Roman" w:cs="Times New Roman" w:eastAsia="Times New Roman" w:hAnsi="Times New Roman"/>
                <w:sz w:val="18"/>
                <w:szCs w:val="18"/>
                <w:color w:val="0E32E1"/>
              </w:rPr>
              <w:t>Consolidated Statements of Changes in Equity</w:t>
            </w:r>
          </w:p>
        </w:tc>
        <w:tc>
          <w:tcPr>
            <w:tcW w:w="5720" w:type="dxa"/>
            <w:vAlign w:val="bottom"/>
            <w:gridSpan w:val="5"/>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3320" w:type="dxa"/>
            <w:vAlign w:val="bottom"/>
            <w:tcBorders>
              <w:top w:val="single" w:sz="8" w:color="0E32E1"/>
            </w:tcBorders>
            <w:gridSpan w:val="14"/>
          </w:tcPr>
          <w:p>
            <w:pPr>
              <w:spacing w:after="0"/>
              <w:rPr>
                <w:sz w:val="20"/>
                <w:szCs w:val="20"/>
                <w:color w:val="auto"/>
              </w:rPr>
            </w:pPr>
            <w:r>
              <w:rPr>
                <w:rFonts w:ascii="Times New Roman" w:cs="Times New Roman" w:eastAsia="Times New Roman" w:hAnsi="Times New Roman"/>
                <w:sz w:val="18"/>
                <w:szCs w:val="18"/>
                <w:color w:val="0E32E1"/>
              </w:rPr>
              <w:t>Consolidated Statements of Cash Flows</w:t>
            </w:r>
          </w:p>
        </w:tc>
        <w:tc>
          <w:tcPr>
            <w:tcW w:w="5900" w:type="dxa"/>
            <w:vAlign w:val="bottom"/>
            <w:gridSpan w:val="7"/>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40" w:type="dxa"/>
            <w:vAlign w:val="bottom"/>
            <w:gridSpan w:val="3"/>
            <w:shd w:val="clear" w:color="auto" w:fill="0E32E1"/>
          </w:tcPr>
          <w:p>
            <w:pPr>
              <w:spacing w:after="0" w:line="20" w:lineRule="exact"/>
              <w:rPr>
                <w:sz w:val="1"/>
                <w:szCs w:val="1"/>
                <w:color w:val="auto"/>
              </w:rPr>
            </w:pPr>
          </w:p>
        </w:tc>
        <w:tc>
          <w:tcPr>
            <w:tcW w:w="540" w:type="dxa"/>
            <w:vAlign w:val="bottom"/>
            <w:gridSpan w:val="2"/>
            <w:shd w:val="clear" w:color="auto" w:fill="0E32E1"/>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tcPr>
          <w:p>
            <w:pPr>
              <w:spacing w:after="0"/>
              <w:rPr>
                <w:sz w:val="18"/>
                <w:szCs w:val="18"/>
                <w:color w:val="auto"/>
              </w:rPr>
            </w:pP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Notes to Unaudited Consolidated Financial Statements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4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440" w:type="dxa"/>
            <w:vAlign w:val="bottom"/>
            <w:gridSpan w:val="3"/>
            <w:shd w:val="clear" w:color="auto" w:fill="0E32E1"/>
          </w:tcPr>
          <w:p>
            <w:pPr>
              <w:spacing w:after="0" w:line="20" w:lineRule="exact"/>
              <w:rPr>
                <w:sz w:val="1"/>
                <w:szCs w:val="1"/>
                <w:color w:val="auto"/>
              </w:rPr>
            </w:pPr>
          </w:p>
        </w:tc>
        <w:tc>
          <w:tcPr>
            <w:tcW w:w="1600" w:type="dxa"/>
            <w:vAlign w:val="bottom"/>
            <w:gridSpan w:val="6"/>
            <w:shd w:val="clear" w:color="auto" w:fill="0E32E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00" w:type="dxa"/>
            <w:vAlign w:val="bottom"/>
            <w:tcBorders>
              <w:bottom w:val="single" w:sz="8" w:color="0E32E1"/>
            </w:tcBorders>
            <w:gridSpan w:val="19"/>
          </w:tcPr>
          <w:p>
            <w:pPr>
              <w:spacing w:after="0"/>
              <w:rPr>
                <w:sz w:val="20"/>
                <w:szCs w:val="20"/>
                <w:color w:val="auto"/>
              </w:rPr>
            </w:pPr>
            <w:r>
              <w:rPr>
                <w:rFonts w:ascii="Times New Roman" w:cs="Times New Roman" w:eastAsia="Times New Roman" w:hAnsi="Times New Roman"/>
                <w:sz w:val="18"/>
                <w:szCs w:val="18"/>
                <w:color w:val="0E32E1"/>
                <w:w w:val="98"/>
              </w:rPr>
              <w:t>Management’s Discussion and Analysis of Financial Condition and Results of Operations</w:t>
            </w:r>
          </w:p>
        </w:tc>
        <w:tc>
          <w:tcPr>
            <w:tcW w:w="2820" w:type="dxa"/>
            <w:vAlign w:val="bottom"/>
            <w:gridSpan w:val="2"/>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20" w:type="dxa"/>
            <w:vAlign w:val="bottom"/>
            <w:tcBorders>
              <w:bottom w:val="single" w:sz="8" w:color="0E32E1"/>
            </w:tcBorders>
            <w:gridSpan w:val="18"/>
          </w:tcPr>
          <w:p>
            <w:pPr>
              <w:spacing w:after="0"/>
              <w:rPr>
                <w:sz w:val="20"/>
                <w:szCs w:val="20"/>
                <w:color w:val="auto"/>
              </w:rPr>
            </w:pPr>
            <w:r>
              <w:rPr>
                <w:rFonts w:ascii="Times New Roman" w:cs="Times New Roman" w:eastAsia="Times New Roman" w:hAnsi="Times New Roman"/>
                <w:sz w:val="18"/>
                <w:szCs w:val="18"/>
                <w:color w:val="0E32E1"/>
                <w:w w:val="98"/>
              </w:rPr>
              <w:t>Quantitative and Qualitative Disclosures About Market Risk</w:t>
            </w:r>
          </w:p>
        </w:tc>
        <w:tc>
          <w:tcPr>
            <w:tcW w:w="4900" w:type="dxa"/>
            <w:vAlign w:val="bottom"/>
            <w:gridSpan w:val="3"/>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E32E1"/>
            </w:tcBorders>
            <w:gridSpan w:val="7"/>
          </w:tcPr>
          <w:p>
            <w:pPr>
              <w:spacing w:after="0"/>
              <w:rPr>
                <w:sz w:val="20"/>
                <w:szCs w:val="20"/>
                <w:color w:val="auto"/>
              </w:rPr>
            </w:pPr>
            <w:r>
              <w:rPr>
                <w:rFonts w:ascii="Times New Roman" w:cs="Times New Roman" w:eastAsia="Times New Roman" w:hAnsi="Times New Roman"/>
                <w:sz w:val="18"/>
                <w:szCs w:val="18"/>
                <w:color w:val="0E32E1"/>
                <w:w w:val="99"/>
              </w:rPr>
              <w:t>Controls and Procedures</w:t>
            </w:r>
          </w:p>
        </w:tc>
        <w:tc>
          <w:tcPr>
            <w:tcW w:w="7440" w:type="dxa"/>
            <w:vAlign w:val="bottom"/>
            <w:gridSpan w:val="14"/>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OTHER INFORMATION</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860" w:type="dxa"/>
            <w:vAlign w:val="bottom"/>
            <w:tcBorders>
              <w:top w:val="single" w:sz="8" w:color="0E32E1"/>
            </w:tcBorders>
            <w:gridSpan w:val="8"/>
          </w:tcPr>
          <w:p>
            <w:pPr>
              <w:spacing w:after="0"/>
              <w:rPr>
                <w:sz w:val="20"/>
                <w:szCs w:val="20"/>
                <w:color w:val="auto"/>
              </w:rPr>
            </w:pPr>
            <w:r>
              <w:rPr>
                <w:rFonts w:ascii="Times New Roman" w:cs="Times New Roman" w:eastAsia="Times New Roman" w:hAnsi="Times New Roman"/>
                <w:sz w:val="18"/>
                <w:szCs w:val="18"/>
                <w:color w:val="0E32E1"/>
              </w:rPr>
              <w:t>Legal Proceedings</w:t>
            </w:r>
          </w:p>
        </w:tc>
        <w:tc>
          <w:tcPr>
            <w:tcW w:w="7360" w:type="dxa"/>
            <w:vAlign w:val="bottom"/>
            <w:gridSpan w:val="13"/>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E32E1"/>
              <w:bottom w:val="single" w:sz="8" w:color="0E32E1"/>
            </w:tcBorders>
            <w:gridSpan w:val="3"/>
          </w:tcPr>
          <w:p>
            <w:pPr>
              <w:spacing w:after="0"/>
              <w:rPr>
                <w:sz w:val="20"/>
                <w:szCs w:val="20"/>
                <w:color w:val="auto"/>
              </w:rPr>
            </w:pPr>
            <w:r>
              <w:rPr>
                <w:rFonts w:ascii="Times New Roman" w:cs="Times New Roman" w:eastAsia="Times New Roman" w:hAnsi="Times New Roman"/>
                <w:sz w:val="18"/>
                <w:szCs w:val="18"/>
                <w:color w:val="0E32E1"/>
                <w:w w:val="97"/>
              </w:rPr>
              <w:t>Risk Factors</w:t>
            </w:r>
          </w:p>
        </w:tc>
        <w:tc>
          <w:tcPr>
            <w:tcW w:w="420" w:type="dxa"/>
            <w:vAlign w:val="bottom"/>
            <w:tcBorders>
              <w:top w:val="single" w:sz="8" w:color="0E32E1"/>
            </w:tcBorders>
            <w:gridSpan w:val="2"/>
          </w:tcPr>
          <w:p>
            <w:pPr>
              <w:spacing w:after="0"/>
              <w:rPr>
                <w:sz w:val="18"/>
                <w:szCs w:val="18"/>
                <w:color w:val="auto"/>
              </w:rPr>
            </w:pPr>
          </w:p>
        </w:tc>
        <w:tc>
          <w:tcPr>
            <w:tcW w:w="7900" w:type="dxa"/>
            <w:vAlign w:val="bottom"/>
            <w:gridSpan w:val="16"/>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080" w:type="dxa"/>
            <w:vAlign w:val="bottom"/>
            <w:tcBorders>
              <w:bottom w:val="single" w:sz="8" w:color="0E32E1"/>
            </w:tcBorders>
            <w:gridSpan w:val="20"/>
          </w:tcPr>
          <w:p>
            <w:pPr>
              <w:spacing w:after="0"/>
              <w:rPr>
                <w:sz w:val="20"/>
                <w:szCs w:val="20"/>
                <w:color w:val="auto"/>
              </w:rPr>
            </w:pPr>
            <w:r>
              <w:rPr>
                <w:rFonts w:ascii="Times New Roman" w:cs="Times New Roman" w:eastAsia="Times New Roman" w:hAnsi="Times New Roman"/>
                <w:sz w:val="18"/>
                <w:szCs w:val="18"/>
                <w:color w:val="0E32E1"/>
                <w:w w:val="98"/>
              </w:rPr>
              <w:t>Unregistered Sales of Equity Securities, Use of Proceeds, and Issuer Purchases of Equity Securities</w:t>
            </w:r>
          </w:p>
        </w:tc>
        <w:tc>
          <w:tcPr>
            <w:tcW w:w="2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Defaults Upon Senior Securities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top w:val="single" w:sz="8" w:color="0E32E1"/>
              <w:bottom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w w:val="98"/>
              </w:rPr>
              <w:t>Mine Safety Disclosures</w:t>
            </w:r>
          </w:p>
        </w:tc>
        <w:tc>
          <w:tcPr>
            <w:tcW w:w="540" w:type="dxa"/>
            <w:vAlign w:val="bottom"/>
            <w:tcBorders>
              <w:top w:val="single" w:sz="8" w:color="0E32E1"/>
            </w:tcBorders>
            <w:gridSpan w:val="5"/>
          </w:tcPr>
          <w:p>
            <w:pPr>
              <w:spacing w:after="0"/>
              <w:rPr>
                <w:sz w:val="18"/>
                <w:szCs w:val="18"/>
                <w:color w:val="auto"/>
              </w:rPr>
            </w:pPr>
          </w:p>
        </w:tc>
        <w:tc>
          <w:tcPr>
            <w:tcW w:w="6920" w:type="dxa"/>
            <w:vAlign w:val="bottom"/>
            <w:gridSpan w:val="10"/>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Other Information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E32E1"/>
              <w:bottom w:val="single" w:sz="8" w:color="0E32E1"/>
            </w:tcBorders>
          </w:tcPr>
          <w:p>
            <w:pPr>
              <w:spacing w:after="0"/>
              <w:rPr>
                <w:sz w:val="20"/>
                <w:szCs w:val="20"/>
                <w:color w:val="auto"/>
              </w:rPr>
            </w:pPr>
            <w:r>
              <w:rPr>
                <w:rFonts w:ascii="Times New Roman" w:cs="Times New Roman" w:eastAsia="Times New Roman" w:hAnsi="Times New Roman"/>
                <w:sz w:val="18"/>
                <w:szCs w:val="18"/>
                <w:color w:val="0E32E1"/>
                <w:w w:val="96"/>
              </w:rPr>
              <w:t>Exhibits</w:t>
            </w:r>
          </w:p>
        </w:tc>
        <w:tc>
          <w:tcPr>
            <w:tcW w:w="700" w:type="dxa"/>
            <w:vAlign w:val="bottom"/>
            <w:tcBorders>
              <w:top w:val="single" w:sz="8" w:color="0E32E1"/>
            </w:tcBorders>
            <w:gridSpan w:val="3"/>
          </w:tcPr>
          <w:p>
            <w:pPr>
              <w:spacing w:after="0"/>
              <w:rPr>
                <w:sz w:val="18"/>
                <w:szCs w:val="18"/>
                <w:color w:val="auto"/>
              </w:rPr>
            </w:pPr>
          </w:p>
        </w:tc>
        <w:tc>
          <w:tcPr>
            <w:tcW w:w="7920" w:type="dxa"/>
            <w:vAlign w:val="bottom"/>
            <w:gridSpan w:val="17"/>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8"/>
                <w:szCs w:val="18"/>
                <w:color w:val="auto"/>
              </w:rPr>
            </w:pPr>
          </w:p>
        </w:tc>
        <w:tc>
          <w:tcPr>
            <w:tcW w:w="760" w:type="dxa"/>
            <w:vAlign w:val="bottom"/>
            <w:tcBorders>
              <w:bottom w:val="single" w:sz="8" w:color="0E32E1"/>
            </w:tcBorders>
            <w:gridSpan w:val="2"/>
          </w:tcPr>
          <w:p>
            <w:pPr>
              <w:spacing w:after="0"/>
              <w:rPr>
                <w:sz w:val="20"/>
                <w:szCs w:val="20"/>
                <w:color w:val="auto"/>
              </w:rPr>
            </w:pPr>
            <w:r>
              <w:rPr>
                <w:rFonts w:ascii="Times New Roman" w:cs="Times New Roman" w:eastAsia="Times New Roman" w:hAnsi="Times New Roman"/>
                <w:sz w:val="18"/>
                <w:szCs w:val="18"/>
                <w:color w:val="0E32E1"/>
                <w:w w:val="97"/>
              </w:rPr>
              <w:t>Signatures</w:t>
            </w:r>
          </w:p>
        </w:tc>
        <w:tc>
          <w:tcPr>
            <w:tcW w:w="8460" w:type="dxa"/>
            <w:vAlign w:val="bottom"/>
            <w:gridSpan w:val="19"/>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53975</wp:posOffset>
            </wp:positionV>
            <wp:extent cx="71589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60"/>
          </w:cols>
          <w:pgMar w:left="380" w:top="905"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2" w:lineRule="exact"/>
        <w:rPr>
          <w:sz w:val="20"/>
          <w:szCs w:val="20"/>
          <w:color w:val="auto"/>
        </w:rPr>
      </w:pPr>
    </w:p>
    <w:p>
      <w:pPr>
        <w:jc w:val="both"/>
        <w:ind w:right="20" w:firstLine="641"/>
        <w:spacing w:after="0" w:line="310"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to “Bakkt,” “we,” “us,” “our,” or the “Company” in this Quarterly Report on Form 10-Q (this “Report”) refer to Bakkt Holdings, Inc. and its subsidiaries.</w:t>
      </w:r>
    </w:p>
    <w:p>
      <w:pPr>
        <w:spacing w:after="0" w:line="175"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Report may include, for example, statements about:</w:t>
      </w:r>
    </w:p>
    <w:p>
      <w:pPr>
        <w:spacing w:after="0" w:line="130" w:lineRule="exact"/>
        <w:rPr>
          <w:sz w:val="20"/>
          <w:szCs w:val="20"/>
          <w:color w:val="auto"/>
        </w:rPr>
      </w:pPr>
    </w:p>
    <w:p>
      <w:pPr>
        <w:ind w:left="720" w:hanging="232"/>
        <w:spacing w:after="0"/>
        <w:tabs>
          <w:tab w:leader="none" w:pos="7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future financial performance;</w:t>
      </w:r>
    </w:p>
    <w:p>
      <w:pPr>
        <w:spacing w:after="0" w:line="153" w:lineRule="exact"/>
        <w:rPr>
          <w:rFonts w:ascii="Times New Roman" w:cs="Times New Roman" w:eastAsia="Times New Roman" w:hAnsi="Times New Roman"/>
          <w:sz w:val="18"/>
          <w:szCs w:val="18"/>
          <w:color w:val="231F20"/>
        </w:rPr>
      </w:pPr>
    </w:p>
    <w:p>
      <w:pPr>
        <w:ind w:left="720" w:hanging="232"/>
        <w:spacing w:after="0"/>
        <w:tabs>
          <w:tab w:leader="none" w:pos="7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market for our products and services;</w:t>
      </w:r>
    </w:p>
    <w:p>
      <w:pPr>
        <w:spacing w:after="0" w:line="140"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growth of the crypto industry and the improving regulatory environment for crypto:</w:t>
      </w:r>
    </w:p>
    <w:p>
      <w:pPr>
        <w:spacing w:after="0" w:line="25"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expected impacts from the adoption of our investment policy (“Investment Policy”) and related treasury strategy; and</w:t>
      </w:r>
    </w:p>
    <w:p>
      <w:pPr>
        <w:spacing w:after="0" w:line="94" w:lineRule="exact"/>
        <w:rPr>
          <w:rFonts w:ascii="Times New Roman" w:cs="Times New Roman" w:eastAsia="Times New Roman" w:hAnsi="Times New Roman"/>
          <w:sz w:val="18"/>
          <w:szCs w:val="18"/>
          <w:color w:val="231F20"/>
        </w:rPr>
      </w:pPr>
    </w:p>
    <w:p>
      <w:pPr>
        <w:ind w:left="720" w:hanging="232"/>
        <w:spacing w:after="0"/>
        <w:tabs>
          <w:tab w:leader="none" w:pos="72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and expansion plans and opportunities.</w:t>
      </w:r>
    </w:p>
    <w:p>
      <w:pPr>
        <w:spacing w:after="0" w:line="261"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231F20"/>
        </w:rPr>
        <w:t xml:space="preserve">These forward-looking statements are based on information available as of the date of this </w:t>
      </w:r>
      <w:r>
        <w:rPr>
          <w:rFonts w:ascii="Times New Roman" w:cs="Times New Roman" w:eastAsia="Times New Roman" w:hAnsi="Times New Roman"/>
          <w:sz w:val="18"/>
          <w:szCs w:val="18"/>
          <w:color w:val="000000"/>
        </w:rPr>
        <w:t>Report</w:t>
      </w:r>
      <w:r>
        <w:rPr>
          <w:rFonts w:ascii="Times New Roman" w:cs="Times New Roman" w:eastAsia="Times New Roman" w:hAnsi="Times New Roman"/>
          <w:sz w:val="18"/>
          <w:szCs w:val="18"/>
          <w:color w:val="231F20"/>
        </w:rPr>
        <w:t xml:space="preserve"> 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79" w:lineRule="exact"/>
        <w:rPr>
          <w:sz w:val="20"/>
          <w:szCs w:val="20"/>
          <w:color w:val="auto"/>
        </w:rPr>
      </w:pPr>
    </w:p>
    <w:p>
      <w:pPr>
        <w:jc w:val="both"/>
        <w:ind w:right="40" w:firstLine="641"/>
        <w:spacing w:after="0" w:line="301" w:lineRule="auto"/>
        <w:rPr>
          <w:sz w:val="20"/>
          <w:szCs w:val="20"/>
          <w:color w:val="auto"/>
        </w:rPr>
      </w:pPr>
      <w:r>
        <w:rPr>
          <w:rFonts w:ascii="Times New Roman" w:cs="Times New Roman" w:eastAsia="Times New Roman" w:hAnsi="Times New Roman"/>
          <w:sz w:val="18"/>
          <w:szCs w:val="18"/>
          <w:color w:val="231F20"/>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183" w:lineRule="exact"/>
        <w:rPr>
          <w:sz w:val="20"/>
          <w:szCs w:val="20"/>
          <w:color w:val="auto"/>
        </w:rPr>
      </w:pPr>
    </w:p>
    <w:p>
      <w:pPr>
        <w:ind w:left="800" w:hanging="312"/>
        <w:spacing w:after="0"/>
        <w:tabs>
          <w:tab w:leader="none" w:pos="8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Company’s ability to continue as a going concern;</w:t>
      </w:r>
    </w:p>
    <w:p>
      <w:pPr>
        <w:spacing w:after="0" w:line="140"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Company’s ability to grow and manage growth profitably;</w:t>
      </w:r>
    </w:p>
    <w:p>
      <w:pPr>
        <w:spacing w:after="0" w:line="153" w:lineRule="exact"/>
        <w:rPr>
          <w:rFonts w:ascii="Times New Roman" w:cs="Times New Roman" w:eastAsia="Times New Roman" w:hAnsi="Times New Roman"/>
          <w:sz w:val="18"/>
          <w:szCs w:val="18"/>
          <w:color w:val="231F20"/>
        </w:rPr>
      </w:pPr>
    </w:p>
    <w:p>
      <w:pPr>
        <w:ind w:left="800" w:hanging="312"/>
        <w:spacing w:after="0" w:line="308" w:lineRule="auto"/>
        <w:tabs>
          <w:tab w:leader="none" w:pos="795"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possibility that the Company may be unable to obtain the applicable regulatory approvals to execute on the commercial agreement with Distributed Technologies Research Global Ltd. (“DTR”);</w:t>
      </w:r>
    </w:p>
    <w:p>
      <w:pPr>
        <w:spacing w:after="0" w:line="69" w:lineRule="exact"/>
        <w:rPr>
          <w:rFonts w:ascii="Times New Roman" w:cs="Times New Roman" w:eastAsia="Times New Roman" w:hAnsi="Times New Roman"/>
          <w:sz w:val="18"/>
          <w:szCs w:val="18"/>
          <w:color w:val="231F20"/>
        </w:rPr>
      </w:pPr>
    </w:p>
    <w:p>
      <w:pPr>
        <w:ind w:left="800" w:hanging="312"/>
        <w:spacing w:after="0" w:line="324" w:lineRule="auto"/>
        <w:tabs>
          <w:tab w:leader="none" w:pos="795"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whether the Company will be able to successfully integrate its operations with those of DTR, including its infrastructure, and achieve the expected benefits therefrom;</w:t>
      </w:r>
    </w:p>
    <w:p>
      <w:pPr>
        <w:spacing w:after="0" w:line="42"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regulatory environment for crypto currencies and digital stablecoin payments;</w:t>
      </w:r>
    </w:p>
    <w:p>
      <w:pPr>
        <w:spacing w:after="0" w:line="153" w:lineRule="exact"/>
        <w:rPr>
          <w:rFonts w:ascii="Times New Roman" w:cs="Times New Roman" w:eastAsia="Times New Roman" w:hAnsi="Times New Roman"/>
          <w:sz w:val="18"/>
          <w:szCs w:val="18"/>
          <w:color w:val="231F20"/>
        </w:rPr>
      </w:pPr>
    </w:p>
    <w:p>
      <w:pPr>
        <w:jc w:val="both"/>
        <w:ind w:left="800" w:hanging="312"/>
        <w:spacing w:after="0" w:line="301" w:lineRule="auto"/>
        <w:tabs>
          <w:tab w:leader="none" w:pos="795"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Company’s business strategy, including its adoption of its updated Investment Policy (“Investment Policy”) and related treasury strategy, including the Company’s ability to successfully consummate acquisitions, integrate or manage investments in potential acquisition targets, including MarushoHotta Co.;</w:t>
      </w:r>
    </w:p>
    <w:p>
      <w:pPr>
        <w:spacing w:after="0" w:line="62"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price of digital assets, including Bitcoin;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00" w:hanging="312"/>
        <w:spacing w:after="0"/>
        <w:tabs>
          <w:tab w:leader="none" w:pos="800" w:val="left"/>
        </w:tabs>
        <w:numPr>
          <w:ilvl w:val="0"/>
          <w:numId w:val="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risks associated with owning digital assets, including Bitcoin, including price volatility, limited liquidity and trading volumes, relative anonymity,</w:t>
      </w:r>
    </w:p>
    <w:p>
      <w:pPr>
        <w:spacing w:after="0" w:line="58" w:lineRule="exact"/>
        <w:rPr>
          <w:rFonts w:ascii="Times New Roman" w:cs="Times New Roman" w:eastAsia="Times New Roman" w:hAnsi="Times New Roman"/>
          <w:sz w:val="17"/>
          <w:szCs w:val="17"/>
          <w:color w:val="231F20"/>
        </w:rPr>
      </w:pPr>
    </w:p>
    <w:p>
      <w:pPr>
        <w:ind w:left="800"/>
        <w:spacing w:after="0" w:line="308"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231F20"/>
        </w:rPr>
        <w:t>potential widespread susceptibility to market abuse and manipulation, compliance and internal control failures at exchanges and other risks inherent in its entirely electronic, virtual, form and decentralized network;</w:t>
      </w:r>
    </w:p>
    <w:p>
      <w:pPr>
        <w:spacing w:after="0" w:line="69" w:lineRule="exact"/>
        <w:rPr>
          <w:rFonts w:ascii="Times New Roman" w:cs="Times New Roman" w:eastAsia="Times New Roman" w:hAnsi="Times New Roman"/>
          <w:sz w:val="17"/>
          <w:szCs w:val="17"/>
          <w:color w:val="231F20"/>
        </w:rPr>
      </w:pPr>
    </w:p>
    <w:p>
      <w:pPr>
        <w:ind w:left="800" w:hanging="312"/>
        <w:spacing w:after="0"/>
        <w:tabs>
          <w:tab w:leader="none" w:pos="80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fluctuation of the Company’s operating results, including because the Company may be required to account for its digital assets at fair value;</w:t>
      </w:r>
    </w:p>
    <w:p>
      <w:pPr>
        <w:spacing w:after="0" w:line="140"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Company’s ability to time the price of its purchase of digital assets pursuant to its strategy;</w:t>
      </w:r>
    </w:p>
    <w:p>
      <w:pPr>
        <w:spacing w:after="0" w:line="153"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the market value of digital assets on the Company’s ability to satisfy its financial obligations, including any debt financings;</w:t>
      </w:r>
    </w:p>
    <w:p>
      <w:pPr>
        <w:spacing w:after="0" w:line="140"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unrealized fair value gains on its digital asset holdings subjecting the Company to the corporate alternative minimum tax;</w:t>
      </w:r>
    </w:p>
    <w:p>
      <w:pPr>
        <w:spacing w:after="0" w:line="153" w:lineRule="exact"/>
        <w:rPr>
          <w:rFonts w:ascii="Times New Roman" w:cs="Times New Roman" w:eastAsia="Times New Roman" w:hAnsi="Times New Roman"/>
          <w:sz w:val="18"/>
          <w:szCs w:val="18"/>
          <w:color w:val="231F20"/>
        </w:rPr>
      </w:pPr>
    </w:p>
    <w:p>
      <w:pPr>
        <w:jc w:val="both"/>
        <w:ind w:left="800" w:hanging="312"/>
        <w:spacing w:after="0" w:line="301" w:lineRule="auto"/>
        <w:tabs>
          <w:tab w:leader="none" w:pos="795"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legal, commercial, regulatory and technical uncertainty regarding digital assets and enhanced regulatory oversight of companies holding digital assets including the possibility that regulators reclassify any digital assets the Company holds, including Bitcoin, as a security causing the Company to be in violation of securities laws and be classified as an “investment company” under the Investment Company Act of 1940;</w:t>
      </w:r>
    </w:p>
    <w:p>
      <w:pPr>
        <w:spacing w:after="0" w:line="62"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competition by other Bitcoin treasury companies and the availability of spot-traded products for Bitcoin;</w:t>
      </w:r>
    </w:p>
    <w:p>
      <w:pPr>
        <w:spacing w:after="0" w:line="153"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enhanced regulatory oversight as a result of the Company’s Investment Policy and related treasury strategy;</w:t>
      </w:r>
    </w:p>
    <w:p>
      <w:pPr>
        <w:spacing w:after="0" w:line="140"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possibility of experiencing greater fraud, security failures or operational problems on digital asset trading venues compared to trading venues</w:t>
      </w:r>
    </w:p>
    <w:p>
      <w:pPr>
        <w:spacing w:after="0" w:line="46" w:lineRule="exact"/>
        <w:rPr>
          <w:rFonts w:ascii="Times New Roman" w:cs="Times New Roman" w:eastAsia="Times New Roman" w:hAnsi="Times New Roman"/>
          <w:sz w:val="18"/>
          <w:szCs w:val="18"/>
          <w:color w:val="231F20"/>
        </w:rPr>
      </w:pPr>
    </w:p>
    <w:p>
      <w:pPr>
        <w:ind w:left="800"/>
        <w:spacing w:after="0" w:line="308"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more established asset classes, and any malfunction, breakdown or abandonment of the underlying blockchain protocols, or other technological difficulties, may prevent access to or use of such digital assets;</w:t>
      </w:r>
    </w:p>
    <w:p>
      <w:pPr>
        <w:spacing w:after="0" w:line="69"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concentration of the Company’s expected digital asset holdings relative to non-digital assets;</w:t>
      </w:r>
    </w:p>
    <w:p>
      <w:pPr>
        <w:spacing w:after="0" w:line="153" w:lineRule="exact"/>
        <w:rPr>
          <w:rFonts w:ascii="Times New Roman" w:cs="Times New Roman" w:eastAsia="Times New Roman" w:hAnsi="Times New Roman"/>
          <w:sz w:val="18"/>
          <w:szCs w:val="18"/>
          <w:color w:val="231F20"/>
        </w:rPr>
      </w:pPr>
    </w:p>
    <w:p>
      <w:pPr>
        <w:ind w:left="800" w:hanging="312"/>
        <w:spacing w:after="0" w:line="308" w:lineRule="auto"/>
        <w:tabs>
          <w:tab w:leader="none" w:pos="795"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inability to use the Company’s digital asset holdings as a source of liquidity to the same extent as cash and cash equivalents, due to, for example, risks associated with digital assets and other risks inherent to its entirely electronic, virtual form and decentralized network;</w:t>
      </w:r>
    </w:p>
    <w:p>
      <w:pPr>
        <w:spacing w:after="0" w:line="69" w:lineRule="exact"/>
        <w:rPr>
          <w:rFonts w:ascii="Times New Roman" w:cs="Times New Roman" w:eastAsia="Times New Roman" w:hAnsi="Times New Roman"/>
          <w:sz w:val="18"/>
          <w:szCs w:val="18"/>
          <w:color w:val="231F20"/>
        </w:rPr>
      </w:pPr>
    </w:p>
    <w:p>
      <w:pPr>
        <w:ind w:left="800" w:right="20" w:hanging="312"/>
        <w:spacing w:after="0" w:line="308" w:lineRule="auto"/>
        <w:tabs>
          <w:tab w:leader="none" w:pos="795"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 or a third-party service provider experiencing a security breach or cyber-attack where unauthorized parties obtain access to its digital assets;</w:t>
      </w:r>
    </w:p>
    <w:p>
      <w:pPr>
        <w:spacing w:after="0" w:line="69" w:lineRule="exact"/>
        <w:rPr>
          <w:rFonts w:ascii="Times New Roman" w:cs="Times New Roman" w:eastAsia="Times New Roman" w:hAnsi="Times New Roman"/>
          <w:sz w:val="18"/>
          <w:szCs w:val="18"/>
          <w:color w:val="231F20"/>
        </w:rPr>
      </w:pPr>
    </w:p>
    <w:p>
      <w:pPr>
        <w:jc w:val="both"/>
        <w:ind w:left="800" w:hanging="312"/>
        <w:spacing w:after="0" w:line="303" w:lineRule="auto"/>
        <w:tabs>
          <w:tab w:leader="none" w:pos="795" w:val="left"/>
        </w:tabs>
        <w:numPr>
          <w:ilvl w:val="0"/>
          <w:numId w:val="5"/>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the loss of access to or theft or data loss of the Company’s digital assets, which could be unrecoverable due to the immutable nature of blockchain transactions; if the Company elects to hold its digital assets through a third-party custodian, the loss of direct control over its digital assets and</w:t>
      </w:r>
    </w:p>
    <w:p>
      <w:pPr>
        <w:jc w:val="both"/>
        <w:ind w:left="800"/>
        <w:spacing w:after="0" w:line="301" w:lineRule="auto"/>
        <w:rPr>
          <w:rFonts w:ascii="Times New Roman" w:cs="Times New Roman" w:eastAsia="Times New Roman" w:hAnsi="Times New Roman"/>
          <w:sz w:val="17"/>
          <w:szCs w:val="17"/>
          <w:color w:val="231F20"/>
        </w:rPr>
      </w:pPr>
      <w:r>
        <w:rPr>
          <w:rFonts w:ascii="Times New Roman" w:cs="Times New Roman" w:eastAsia="Times New Roman" w:hAnsi="Times New Roman"/>
          <w:sz w:val="18"/>
          <w:szCs w:val="18"/>
          <w:color w:val="231F20"/>
        </w:rPr>
        <w:t>dependence on the custodian’s security practices and operational integrity which may lead to the loss of its digital assets as a result of the insolvency of the custodian, theft by employees or insiders of the custodian or if the custodian’s security measures are comprised, including as a result of a cyber-attack;</w:t>
      </w:r>
    </w:p>
    <w:p>
      <w:pPr>
        <w:spacing w:after="0" w:line="62" w:lineRule="exact"/>
        <w:rPr>
          <w:rFonts w:ascii="Times New Roman" w:cs="Times New Roman" w:eastAsia="Times New Roman" w:hAnsi="Times New Roman"/>
          <w:sz w:val="17"/>
          <w:szCs w:val="17"/>
          <w:color w:val="231F20"/>
        </w:rPr>
      </w:pPr>
    </w:p>
    <w:p>
      <w:pPr>
        <w:ind w:left="800" w:hanging="312"/>
        <w:spacing w:after="0" w:line="324" w:lineRule="auto"/>
        <w:tabs>
          <w:tab w:leader="none" w:pos="795"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 not being subject to the legal and regulatory protections applicable to investment companies such as mutual funds and exchange-traded funds, or to obligations applicable to investment advisers;</w:t>
      </w:r>
    </w:p>
    <w:p>
      <w:pPr>
        <w:spacing w:after="0" w:line="42" w:lineRule="exact"/>
        <w:rPr>
          <w:rFonts w:ascii="Times New Roman" w:cs="Times New Roman" w:eastAsia="Times New Roman" w:hAnsi="Times New Roman"/>
          <w:sz w:val="18"/>
          <w:szCs w:val="18"/>
          <w:color w:val="231F20"/>
        </w:rPr>
      </w:pPr>
    </w:p>
    <w:p>
      <w:pPr>
        <w:ind w:left="800" w:hanging="312"/>
        <w:spacing w:after="0" w:line="324" w:lineRule="auto"/>
        <w:tabs>
          <w:tab w:leader="none" w:pos="795"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non-performance, breach of contract or other violations by counterparties assisting the Company in effecting its Investment Policy and related treasury strategy;</w:t>
      </w:r>
    </w:p>
    <w:p>
      <w:pPr>
        <w:spacing w:after="0" w:line="42"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Company’s future capital requirements and sources and uses of cash, including funds to satisfy its liquidity needs;</w:t>
      </w:r>
    </w:p>
    <w:p>
      <w:pPr>
        <w:spacing w:after="0" w:line="153" w:lineRule="exact"/>
        <w:rPr>
          <w:rFonts w:ascii="Times New Roman" w:cs="Times New Roman" w:eastAsia="Times New Roman" w:hAnsi="Times New Roman"/>
          <w:sz w:val="18"/>
          <w:szCs w:val="18"/>
          <w:color w:val="231F20"/>
        </w:rPr>
      </w:pPr>
    </w:p>
    <w:p>
      <w:pPr>
        <w:ind w:left="800" w:right="20" w:hanging="312"/>
        <w:spacing w:after="0" w:line="308" w:lineRule="auto"/>
        <w:tabs>
          <w:tab w:leader="none" w:pos="795"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market in which the Company competes, including with respect to its competitive landscape, technology evolution or changes in applicable laws or regulations;</w:t>
      </w:r>
    </w:p>
    <w:p>
      <w:pPr>
        <w:spacing w:after="0" w:line="69"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markets that the Company targets;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800" w:hanging="312"/>
        <w:spacing w:after="0"/>
        <w:tabs>
          <w:tab w:leader="none" w:pos="8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volatility and disruptions in the crypto, digital payments and stablecoin markets that subject the Company to additional risks, including the risk</w:t>
      </w:r>
    </w:p>
    <w:p>
      <w:pPr>
        <w:spacing w:after="0" w:line="46" w:lineRule="exact"/>
        <w:rPr>
          <w:rFonts w:ascii="Times New Roman" w:cs="Times New Roman" w:eastAsia="Times New Roman" w:hAnsi="Times New Roman"/>
          <w:sz w:val="18"/>
          <w:szCs w:val="18"/>
          <w:color w:val="231F20"/>
        </w:rPr>
      </w:pPr>
    </w:p>
    <w:p>
      <w:pPr>
        <w:ind w:left="800"/>
        <w:spacing w:after="0" w:line="308"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that banks may not provide banking services to the Company and market sentiments regarding crypto currencies, digital payments and stablecoins;</w:t>
      </w:r>
    </w:p>
    <w:p>
      <w:pPr>
        <w:spacing w:after="0" w:line="69"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possibility that the Company may be adversely affected by other macroeconomic, geopolitical, business, and/or competitive factors;</w:t>
      </w:r>
    </w:p>
    <w:p>
      <w:pPr>
        <w:spacing w:after="0" w:line="140" w:lineRule="exact"/>
        <w:rPr>
          <w:rFonts w:ascii="Times New Roman" w:cs="Times New Roman" w:eastAsia="Times New Roman" w:hAnsi="Times New Roman"/>
          <w:sz w:val="18"/>
          <w:szCs w:val="18"/>
          <w:color w:val="231F20"/>
        </w:rPr>
      </w:pPr>
    </w:p>
    <w:p>
      <w:pPr>
        <w:ind w:left="800" w:hanging="312"/>
        <w:spacing w:after="0" w:line="324" w:lineRule="auto"/>
        <w:tabs>
          <w:tab w:leader="none" w:pos="795"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Company’s ability to launch new services and products, including with its expected commercial partners, or to profitably expand into new markets and services;</w:t>
      </w:r>
    </w:p>
    <w:p>
      <w:pPr>
        <w:spacing w:after="0" w:line="42" w:lineRule="exact"/>
        <w:rPr>
          <w:rFonts w:ascii="Times New Roman" w:cs="Times New Roman" w:eastAsia="Times New Roman" w:hAnsi="Times New Roman"/>
          <w:sz w:val="18"/>
          <w:szCs w:val="18"/>
          <w:color w:val="231F20"/>
        </w:rPr>
      </w:pPr>
    </w:p>
    <w:p>
      <w:pPr>
        <w:ind w:left="800" w:hanging="312"/>
        <w:spacing w:after="0" w:line="324" w:lineRule="auto"/>
        <w:tabs>
          <w:tab w:leader="none" w:pos="795"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Company’s ability to execute its growth strategies, including identifying and executing acquisitions and divestitures and the Company’s initiatives to add new clients;</w:t>
      </w:r>
    </w:p>
    <w:p>
      <w:pPr>
        <w:spacing w:after="0" w:line="42"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Company’s ability to reach definitive agreements with its expected commercial counterparties;</w:t>
      </w:r>
    </w:p>
    <w:p>
      <w:pPr>
        <w:spacing w:after="0" w:line="153"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Company’s failure to comply with extensive government regulations, oversight, licensure and appraisals;</w:t>
      </w:r>
    </w:p>
    <w:p>
      <w:pPr>
        <w:spacing w:after="0" w:line="140"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uncertain and evolving regulatory regime governing blockchain technologies, stablecoins, digital payments and crypto;</w:t>
      </w:r>
    </w:p>
    <w:p>
      <w:pPr>
        <w:spacing w:after="0" w:line="153"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Company’s ability to establish and maintain effective internal controls and procedures;</w:t>
      </w:r>
    </w:p>
    <w:p>
      <w:pPr>
        <w:spacing w:after="0" w:line="140"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exposure to any liability, protracted and costly litigation or reputational damage relating to the Company’s data security;</w:t>
      </w:r>
    </w:p>
    <w:p>
      <w:pPr>
        <w:spacing w:after="0" w:line="153"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impact of any goodwill or other intangible assets impairments on the Company’s operating results;</w:t>
      </w:r>
    </w:p>
    <w:p>
      <w:pPr>
        <w:spacing w:after="0" w:line="140"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Company’s ability to maintain the listing of its securities on the New York Stock Exchange;</w:t>
      </w:r>
    </w:p>
    <w:p>
      <w:pPr>
        <w:spacing w:after="0" w:line="153" w:lineRule="exact"/>
        <w:rPr>
          <w:rFonts w:ascii="Times New Roman" w:cs="Times New Roman" w:eastAsia="Times New Roman" w:hAnsi="Times New Roman"/>
          <w:sz w:val="18"/>
          <w:szCs w:val="18"/>
          <w:color w:val="231F20"/>
        </w:rPr>
      </w:pPr>
    </w:p>
    <w:p>
      <w:pPr>
        <w:ind w:left="800" w:hanging="312"/>
        <w:spacing w:after="0"/>
        <w:tabs>
          <w:tab w:leader="none" w:pos="800" w:val="left"/>
        </w:tabs>
        <w:numPr>
          <w:ilvl w:val="0"/>
          <w:numId w:val="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and other risks and uncertainties indicated in the Company’s filings with the SEC, including its most recent Annual Report on Form 10-K for the</w:t>
      </w:r>
    </w:p>
    <w:p>
      <w:pPr>
        <w:spacing w:after="0" w:line="46" w:lineRule="exact"/>
        <w:rPr>
          <w:rFonts w:ascii="Times New Roman" w:cs="Times New Roman" w:eastAsia="Times New Roman" w:hAnsi="Times New Roman"/>
          <w:sz w:val="18"/>
          <w:szCs w:val="18"/>
          <w:color w:val="231F20"/>
        </w:rPr>
      </w:pPr>
    </w:p>
    <w:p>
      <w:pPr>
        <w:jc w:val="both"/>
        <w:ind w:left="800"/>
        <w:spacing w:after="0" w:line="301" w:lineRule="auto"/>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year ended December 31, 2024, its quarterly report on Form 10-Q for the quarter ended March 31, 2025, the risks regarding the Company’s adoption of its Investment Policy set forth in Exhibit 99.1 to the Company’s Current Report on Form 8-K, filed with the U.S. Securities and Exchange Commission on June 10, 2025 and the risks set forth under Part II – Item 1A Risk Factors of this Quarterly Report on Form 10-Q.</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 (Unaudited).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jc w:val="center"/>
        <w:spacing w:after="0" w:line="201" w:lineRule="auto"/>
        <w:rPr>
          <w:sz w:val="20"/>
          <w:szCs w:val="20"/>
          <w:color w:val="auto"/>
        </w:rPr>
      </w:pPr>
      <w:r>
        <w:rPr>
          <w:rFonts w:ascii="Times New Roman" w:cs="Times New Roman" w:eastAsia="Times New Roman" w:hAnsi="Times New Roman"/>
          <w:sz w:val="18"/>
          <w:szCs w:val="18"/>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tbl>
      <w:tblPr>
        <w:tblLayout w:type="fixed"/>
        <w:tblInd w:w="0" w:type="dxa"/>
        <w:tblCellMar>
          <w:top w:w="0" w:type="dxa"/>
          <w:left w:w="0" w:type="dxa"/>
          <w:bottom w:w="0" w:type="dxa"/>
          <w:right w:w="0" w:type="dxa"/>
        </w:tblCellMar>
      </w:tblPr>
      <w:tr>
        <w:trPr>
          <w:trHeight w:val="152"/>
        </w:trPr>
        <w:tc>
          <w:tcPr>
            <w:tcW w:w="7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gridSpan w:val="2"/>
          </w:tcPr>
          <w:p>
            <w:pPr>
              <w:jc w:val="center"/>
              <w:ind w:right="380"/>
              <w:spacing w:after="0" w:line="152" w:lineRule="exact"/>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Pr>
          <w:p>
            <w:pPr>
              <w:spacing w:after="0"/>
              <w:rPr>
                <w:sz w:val="13"/>
                <w:szCs w:val="13"/>
                <w:color w:val="auto"/>
              </w:rPr>
            </w:pPr>
          </w:p>
        </w:tc>
        <w:tc>
          <w:tcPr>
            <w:tcW w:w="1520" w:type="dxa"/>
            <w:vAlign w:val="bottom"/>
          </w:tcPr>
          <w:p>
            <w:pPr>
              <w:jc w:val="right"/>
              <w:ind w:right="629"/>
              <w:spacing w:after="0" w:line="152"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36"/>
        </w:trPr>
        <w:tc>
          <w:tcPr>
            <w:tcW w:w="7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40" w:type="dxa"/>
            <w:vAlign w:val="bottom"/>
            <w:gridSpan w:val="2"/>
          </w:tcPr>
          <w:p>
            <w:pPr>
              <w:jc w:val="center"/>
              <w:ind w:right="380"/>
              <w:spacing w:after="0" w:line="136" w:lineRule="exact"/>
              <w:rPr>
                <w:sz w:val="20"/>
                <w:szCs w:val="20"/>
                <w:color w:val="auto"/>
              </w:rPr>
            </w:pPr>
            <w:r>
              <w:rPr>
                <w:rFonts w:ascii="Times New Roman" w:cs="Times New Roman" w:eastAsia="Times New Roman" w:hAnsi="Times New Roman"/>
                <w:sz w:val="14"/>
                <w:szCs w:val="14"/>
                <w:b w:val="1"/>
                <w:bCs w:val="1"/>
                <w:color w:val="auto"/>
              </w:rPr>
              <w:t>June 30, 2025</w:t>
            </w:r>
          </w:p>
        </w:tc>
        <w:tc>
          <w:tcPr>
            <w:tcW w:w="180" w:type="dxa"/>
            <w:vAlign w:val="bottom"/>
          </w:tcPr>
          <w:p>
            <w:pPr>
              <w:spacing w:after="0"/>
              <w:rPr>
                <w:sz w:val="11"/>
                <w:szCs w:val="11"/>
                <w:color w:val="auto"/>
              </w:rPr>
            </w:pPr>
          </w:p>
        </w:tc>
        <w:tc>
          <w:tcPr>
            <w:tcW w:w="1520" w:type="dxa"/>
            <w:vAlign w:val="bottom"/>
          </w:tcPr>
          <w:p>
            <w:pPr>
              <w:jc w:val="right"/>
              <w:ind w:right="209"/>
              <w:spacing w:after="0" w:line="136" w:lineRule="exact"/>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87"/>
        </w:trPr>
        <w:tc>
          <w:tcPr>
            <w:tcW w:w="7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39,049</w:t>
            </w:r>
          </w:p>
        </w:tc>
        <w:tc>
          <w:tcPr>
            <w:tcW w:w="0" w:type="dxa"/>
            <w:vAlign w:val="bottom"/>
          </w:tcPr>
          <w:p>
            <w:pPr>
              <w:spacing w:after="0"/>
              <w:rPr>
                <w:sz w:val="1"/>
                <w:szCs w:val="1"/>
                <w:color w:val="auto"/>
              </w:rPr>
            </w:pPr>
          </w:p>
        </w:tc>
      </w:tr>
      <w:tr>
        <w:trPr>
          <w:trHeight w:val="193"/>
        </w:trPr>
        <w:tc>
          <w:tcPr>
            <w:tcW w:w="7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Restricted cash</w:t>
            </w:r>
          </w:p>
        </w:tc>
        <w:tc>
          <w:tcPr>
            <w:tcW w:w="2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17,965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24,889</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Customer funds</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88,566</w:t>
            </w:r>
          </w:p>
        </w:tc>
        <w:tc>
          <w:tcPr>
            <w:tcW w:w="0" w:type="dxa"/>
            <w:vAlign w:val="bottom"/>
          </w:tcPr>
          <w:p>
            <w:pPr>
              <w:spacing w:after="0"/>
              <w:rPr>
                <w:sz w:val="1"/>
                <w:szCs w:val="1"/>
                <w:color w:val="auto"/>
              </w:rPr>
            </w:pPr>
          </w:p>
        </w:tc>
      </w:tr>
      <w:tr>
        <w:trPr>
          <w:trHeight w:val="193"/>
        </w:trPr>
        <w:tc>
          <w:tcPr>
            <w:tcW w:w="7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Accounts receivable, net</w:t>
            </w:r>
          </w:p>
        </w:tc>
        <w:tc>
          <w:tcPr>
            <w:tcW w:w="2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24,648</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Prepaid insurance</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3,972</w:t>
            </w:r>
          </w:p>
        </w:tc>
        <w:tc>
          <w:tcPr>
            <w:tcW w:w="0" w:type="dxa"/>
            <w:vAlign w:val="bottom"/>
          </w:tcPr>
          <w:p>
            <w:pPr>
              <w:spacing w:after="0"/>
              <w:rPr>
                <w:sz w:val="1"/>
                <w:szCs w:val="1"/>
                <w:color w:val="auto"/>
              </w:rPr>
            </w:pPr>
          </w:p>
        </w:tc>
      </w:tr>
      <w:tr>
        <w:trPr>
          <w:trHeight w:val="194"/>
        </w:trPr>
        <w:tc>
          <w:tcPr>
            <w:tcW w:w="7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 current assets</w:t>
            </w: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2,294</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2,721</w:t>
            </w:r>
          </w:p>
        </w:tc>
        <w:tc>
          <w:tcPr>
            <w:tcW w:w="0" w:type="dxa"/>
            <w:vAlign w:val="bottom"/>
          </w:tcPr>
          <w:p>
            <w:pPr>
              <w:spacing w:after="0"/>
              <w:rPr>
                <w:sz w:val="1"/>
                <w:szCs w:val="1"/>
                <w:color w:val="auto"/>
              </w:rPr>
            </w:pPr>
          </w:p>
        </w:tc>
      </w:tr>
      <w:tr>
        <w:trPr>
          <w:trHeight w:val="200"/>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current assets</w:t>
            </w: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110,462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183,845</w:t>
            </w:r>
          </w:p>
        </w:tc>
        <w:tc>
          <w:tcPr>
            <w:tcW w:w="0" w:type="dxa"/>
            <w:vAlign w:val="bottom"/>
          </w:tcPr>
          <w:p>
            <w:pPr>
              <w:spacing w:after="0"/>
              <w:rPr>
                <w:sz w:val="1"/>
                <w:szCs w:val="1"/>
                <w:color w:val="auto"/>
              </w:rPr>
            </w:pP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equipment and software, net</w:t>
            </w:r>
          </w:p>
        </w:tc>
        <w:tc>
          <w:tcPr>
            <w:tcW w:w="2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2,064</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68,001</w:t>
            </w:r>
          </w:p>
        </w:tc>
        <w:tc>
          <w:tcPr>
            <w:tcW w:w="0" w:type="dxa"/>
            <w:vAlign w:val="bottom"/>
          </w:tcPr>
          <w:p>
            <w:pPr>
              <w:spacing w:after="0"/>
              <w:rPr>
                <w:sz w:val="1"/>
                <w:szCs w:val="1"/>
                <w:color w:val="auto"/>
              </w:rPr>
            </w:pP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w:t>
            </w:r>
          </w:p>
        </w:tc>
        <w:tc>
          <w:tcPr>
            <w:tcW w:w="2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0" w:type="dxa"/>
            <w:vAlign w:val="bottom"/>
          </w:tcPr>
          <w:p>
            <w:pPr>
              <w:spacing w:after="0"/>
              <w:rPr>
                <w:sz w:val="1"/>
                <w:szCs w:val="1"/>
                <w:color w:val="auto"/>
              </w:rPr>
            </w:pPr>
          </w:p>
        </w:tc>
      </w:tr>
      <w:tr>
        <w:trPr>
          <w:trHeight w:val="201"/>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10,281</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12,567</w:t>
            </w:r>
          </w:p>
        </w:tc>
        <w:tc>
          <w:tcPr>
            <w:tcW w:w="0" w:type="dxa"/>
            <w:vAlign w:val="bottom"/>
          </w:tcPr>
          <w:p>
            <w:pPr>
              <w:spacing w:after="0"/>
              <w:rPr>
                <w:sz w:val="1"/>
                <w:szCs w:val="1"/>
                <w:color w:val="auto"/>
              </w:rPr>
            </w:pPr>
          </w:p>
        </w:tc>
      </w:tr>
      <w:tr>
        <w:trPr>
          <w:trHeight w:val="20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190,140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269,377</w:t>
            </w:r>
          </w:p>
        </w:tc>
        <w:tc>
          <w:tcPr>
            <w:tcW w:w="0" w:type="dxa"/>
            <w:vAlign w:val="bottom"/>
          </w:tcPr>
          <w:p>
            <w:pPr>
              <w:spacing w:after="0"/>
              <w:rPr>
                <w:sz w:val="1"/>
                <w:szCs w:val="1"/>
                <w:color w:val="auto"/>
              </w:rPr>
            </w:pP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2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2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42,683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39,911</w:t>
            </w:r>
          </w:p>
        </w:tc>
        <w:tc>
          <w:tcPr>
            <w:tcW w:w="0" w:type="dxa"/>
            <w:vAlign w:val="bottom"/>
          </w:tcPr>
          <w:p>
            <w:pPr>
              <w:spacing w:after="0"/>
              <w:rPr>
                <w:sz w:val="1"/>
                <w:szCs w:val="1"/>
                <w:color w:val="auto"/>
              </w:rPr>
            </w:pPr>
          </w:p>
        </w:tc>
      </w:tr>
      <w:tr>
        <w:trPr>
          <w:trHeight w:val="193"/>
        </w:trPr>
        <w:tc>
          <w:tcPr>
            <w:tcW w:w="7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Customer funds payable</w:t>
            </w:r>
          </w:p>
        </w:tc>
        <w:tc>
          <w:tcPr>
            <w:tcW w:w="2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21,336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88,566</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revenue, current</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0" w:type="dxa"/>
            <w:vAlign w:val="bottom"/>
          </w:tcPr>
          <w:p>
            <w:pPr>
              <w:spacing w:after="0"/>
              <w:rPr>
                <w:sz w:val="1"/>
                <w:szCs w:val="1"/>
                <w:color w:val="auto"/>
              </w:rPr>
            </w:pPr>
          </w:p>
        </w:tc>
      </w:tr>
      <w:tr>
        <w:trPr>
          <w:trHeight w:val="193"/>
        </w:trPr>
        <w:tc>
          <w:tcPr>
            <w:tcW w:w="772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Due to related party</w:t>
            </w:r>
          </w:p>
        </w:tc>
        <w:tc>
          <w:tcPr>
            <w:tcW w:w="28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2,360</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Convertible debentures, net</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77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5,236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5,277</w:t>
            </w:r>
          </w:p>
        </w:tc>
        <w:tc>
          <w:tcPr>
            <w:tcW w:w="0" w:type="dxa"/>
            <w:vAlign w:val="bottom"/>
          </w:tcPr>
          <w:p>
            <w:pPr>
              <w:spacing w:after="0"/>
              <w:rPr>
                <w:sz w:val="1"/>
                <w:szCs w:val="1"/>
                <w:color w:val="auto"/>
              </w:rPr>
            </w:pPr>
          </w:p>
        </w:tc>
      </w:tr>
      <w:tr>
        <w:trPr>
          <w:trHeight w:val="200"/>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93,192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137,719</w:t>
            </w:r>
          </w:p>
        </w:tc>
        <w:tc>
          <w:tcPr>
            <w:tcW w:w="0" w:type="dxa"/>
            <w:vAlign w:val="bottom"/>
          </w:tcPr>
          <w:p>
            <w:pPr>
              <w:spacing w:after="0"/>
              <w:rPr>
                <w:sz w:val="1"/>
                <w:szCs w:val="1"/>
                <w:color w:val="auto"/>
              </w:rPr>
            </w:pP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revenue, noncurrent</w:t>
            </w:r>
          </w:p>
        </w:tc>
        <w:tc>
          <w:tcPr>
            <w:tcW w:w="2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Warrant liability</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46,923</w:t>
            </w:r>
          </w:p>
        </w:tc>
        <w:tc>
          <w:tcPr>
            <w:tcW w:w="0" w:type="dxa"/>
            <w:vAlign w:val="bottom"/>
          </w:tcPr>
          <w:p>
            <w:pPr>
              <w:spacing w:after="0"/>
              <w:rPr>
                <w:sz w:val="1"/>
                <w:szCs w:val="1"/>
                <w:color w:val="auto"/>
              </w:rPr>
            </w:pPr>
          </w:p>
        </w:tc>
      </w:tr>
      <w:tr>
        <w:trPr>
          <w:trHeight w:val="194"/>
        </w:trPr>
        <w:tc>
          <w:tcPr>
            <w:tcW w:w="7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13,782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19,261</w:t>
            </w:r>
          </w:p>
        </w:tc>
        <w:tc>
          <w:tcPr>
            <w:tcW w:w="0" w:type="dxa"/>
            <w:vAlign w:val="bottom"/>
          </w:tcPr>
          <w:p>
            <w:pPr>
              <w:spacing w:after="0"/>
              <w:rPr>
                <w:sz w:val="1"/>
                <w:szCs w:val="1"/>
                <w:color w:val="auto"/>
              </w:rPr>
            </w:pPr>
          </w:p>
        </w:tc>
      </w:tr>
      <w:tr>
        <w:trPr>
          <w:trHeight w:val="200"/>
        </w:trPr>
        <w:tc>
          <w:tcPr>
            <w:tcW w:w="7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132,315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206,524</w:t>
            </w:r>
          </w:p>
        </w:tc>
        <w:tc>
          <w:tcPr>
            <w:tcW w:w="0" w:type="dxa"/>
            <w:vAlign w:val="bottom"/>
          </w:tcPr>
          <w:p>
            <w:pPr>
              <w:spacing w:after="0"/>
              <w:rPr>
                <w:sz w:val="1"/>
                <w:szCs w:val="1"/>
                <w:color w:val="auto"/>
              </w:rPr>
            </w:pPr>
          </w:p>
        </w:tc>
      </w:tr>
      <w:tr>
        <w:trPr>
          <w:trHeight w:val="17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14)</w:t>
            </w: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772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Class A Common Stock ($0.0001 par value, 60,000,000 shares authorized, 6,974,740 shares</w:t>
            </w:r>
          </w:p>
        </w:tc>
        <w:tc>
          <w:tcPr>
            <w:tcW w:w="2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72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issued and outstanding as of June 30, 2025 and 6,510,885 shares issued and outstanding</w:t>
            </w:r>
          </w:p>
        </w:tc>
        <w:tc>
          <w:tcPr>
            <w:tcW w:w="280" w:type="dxa"/>
            <w:vAlign w:val="bottom"/>
            <w:shd w:val="clear" w:color="auto" w:fill="CCEEFF"/>
          </w:tcPr>
          <w:p>
            <w:pPr>
              <w:spacing w:after="0"/>
              <w:rPr>
                <w:sz w:val="11"/>
                <w:szCs w:val="11"/>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0"/>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2024)</w:t>
            </w:r>
          </w:p>
        </w:tc>
        <w:tc>
          <w:tcPr>
            <w:tcW w:w="2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7720" w:type="dxa"/>
            <w:vAlign w:val="bottom"/>
          </w:tcPr>
          <w:p>
            <w:pPr>
              <w:ind w:left="20"/>
              <w:spacing w:after="0" w:line="134" w:lineRule="exact"/>
              <w:rPr>
                <w:sz w:val="20"/>
                <w:szCs w:val="20"/>
                <w:color w:val="auto"/>
              </w:rPr>
            </w:pPr>
            <w:r>
              <w:rPr>
                <w:rFonts w:ascii="Times New Roman" w:cs="Times New Roman" w:eastAsia="Times New Roman" w:hAnsi="Times New Roman"/>
                <w:sz w:val="14"/>
                <w:szCs w:val="14"/>
                <w:color w:val="auto"/>
              </w:rPr>
              <w:t>Class V Common Stock ($0.0001 par value, 10,000,000 shares authorized, 7,177,076 shares</w:t>
            </w:r>
          </w:p>
        </w:tc>
        <w:tc>
          <w:tcPr>
            <w:tcW w:w="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7720" w:type="dxa"/>
            <w:vAlign w:val="bottom"/>
          </w:tcPr>
          <w:p>
            <w:pPr>
              <w:ind w:left="20"/>
              <w:spacing w:after="0" w:line="138" w:lineRule="exact"/>
              <w:rPr>
                <w:sz w:val="20"/>
                <w:szCs w:val="20"/>
                <w:color w:val="auto"/>
              </w:rPr>
            </w:pPr>
            <w:r>
              <w:rPr>
                <w:rFonts w:ascii="Times New Roman" w:cs="Times New Roman" w:eastAsia="Times New Roman" w:hAnsi="Times New Roman"/>
                <w:sz w:val="14"/>
                <w:szCs w:val="14"/>
                <w:color w:val="auto"/>
              </w:rPr>
              <w:t>issued and outstanding as of June 30, 2025 and 7,178,303 shares issued and outstanding</w:t>
            </w:r>
          </w:p>
        </w:tc>
        <w:tc>
          <w:tcPr>
            <w:tcW w:w="280" w:type="dxa"/>
            <w:vAlign w:val="bottom"/>
          </w:tcPr>
          <w:p>
            <w:pPr>
              <w:spacing w:after="0"/>
              <w:rPr>
                <w:sz w:val="11"/>
                <w:szCs w:val="11"/>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5"/>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December 31, 2024)</w:t>
            </w:r>
          </w:p>
        </w:tc>
        <w:tc>
          <w:tcPr>
            <w:tcW w:w="2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7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840,671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832,693</w:t>
            </w:r>
          </w:p>
        </w:tc>
        <w:tc>
          <w:tcPr>
            <w:tcW w:w="0" w:type="dxa"/>
            <w:vAlign w:val="bottom"/>
          </w:tcPr>
          <w:p>
            <w:pPr>
              <w:spacing w:after="0"/>
              <w:rPr>
                <w:sz w:val="1"/>
                <w:szCs w:val="1"/>
                <w:color w:val="auto"/>
              </w:rPr>
            </w:pPr>
          </w:p>
        </w:tc>
      </w:tr>
      <w:tr>
        <w:trPr>
          <w:trHeight w:val="193"/>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(804,984)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(797,960)</w:t>
            </w:r>
          </w:p>
        </w:tc>
        <w:tc>
          <w:tcPr>
            <w:tcW w:w="0" w:type="dxa"/>
            <w:vAlign w:val="bottom"/>
          </w:tcPr>
          <w:p>
            <w:pPr>
              <w:spacing w:after="0"/>
              <w:rPr>
                <w:sz w:val="1"/>
                <w:szCs w:val="1"/>
                <w:color w:val="auto"/>
              </w:rPr>
            </w:pPr>
          </w:p>
        </w:tc>
      </w:tr>
      <w:tr>
        <w:trPr>
          <w:trHeight w:val="186"/>
        </w:trPr>
        <w:tc>
          <w:tcPr>
            <w:tcW w:w="772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Bakkt Holdings, Inc. stockholders' equity</w:t>
            </w:r>
          </w:p>
        </w:tc>
        <w:tc>
          <w:tcPr>
            <w:tcW w:w="2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35,294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33,894</w:t>
            </w:r>
          </w:p>
        </w:tc>
        <w:tc>
          <w:tcPr>
            <w:tcW w:w="0" w:type="dxa"/>
            <w:vAlign w:val="bottom"/>
          </w:tcPr>
          <w:p>
            <w:pPr>
              <w:spacing w:after="0"/>
              <w:rPr>
                <w:sz w:val="1"/>
                <w:szCs w:val="1"/>
                <w:color w:val="auto"/>
              </w:rPr>
            </w:pPr>
          </w:p>
        </w:tc>
      </w:tr>
      <w:tr>
        <w:trPr>
          <w:trHeight w:val="208"/>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22,531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28,959</w:t>
            </w:r>
          </w:p>
        </w:tc>
        <w:tc>
          <w:tcPr>
            <w:tcW w:w="0" w:type="dxa"/>
            <w:vAlign w:val="bottom"/>
          </w:tcPr>
          <w:p>
            <w:pPr>
              <w:spacing w:after="0"/>
              <w:rPr>
                <w:sz w:val="1"/>
                <w:szCs w:val="1"/>
                <w:color w:val="auto"/>
              </w:rPr>
            </w:pPr>
          </w:p>
        </w:tc>
      </w:tr>
      <w:tr>
        <w:trPr>
          <w:trHeight w:val="187"/>
        </w:trPr>
        <w:tc>
          <w:tcPr>
            <w:tcW w:w="77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4"/>
                <w:szCs w:val="14"/>
                <w:color w:val="auto"/>
              </w:rPr>
              <w:t>Total equity</w:t>
            </w: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57,825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62,853</w:t>
            </w:r>
          </w:p>
        </w:tc>
        <w:tc>
          <w:tcPr>
            <w:tcW w:w="0" w:type="dxa"/>
            <w:vAlign w:val="bottom"/>
          </w:tcPr>
          <w:p>
            <w:pPr>
              <w:spacing w:after="0"/>
              <w:rPr>
                <w:sz w:val="1"/>
                <w:szCs w:val="1"/>
                <w:color w:val="auto"/>
              </w:rPr>
            </w:pPr>
          </w:p>
        </w:tc>
      </w:tr>
      <w:tr>
        <w:trPr>
          <w:trHeight w:val="225"/>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equity</w:t>
            </w:r>
          </w:p>
        </w:tc>
        <w:tc>
          <w:tcPr>
            <w:tcW w:w="2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190,140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269,377</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jc w:val="center"/>
        <w:spacing w:after="0" w:line="216" w:lineRule="auto"/>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jc w:val="center"/>
        <w:spacing w:after="0" w:line="202" w:lineRule="auto"/>
        <w:rPr>
          <w:sz w:val="20"/>
          <w:szCs w:val="20"/>
          <w:color w:val="auto"/>
        </w:rPr>
      </w:pPr>
      <w:r>
        <w:rPr>
          <w:rFonts w:ascii="Times New Roman" w:cs="Times New Roman" w:eastAsia="Times New Roman" w:hAnsi="Times New Roman"/>
          <w:sz w:val="18"/>
          <w:szCs w:val="18"/>
          <w:b w:val="1"/>
          <w:bCs w:val="1"/>
          <w:color w:val="auto"/>
        </w:rPr>
        <w:t>(in thousands, except per share data)</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c>
          <w:tcPr>
            <w:tcW w:w="120" w:type="dxa"/>
            <w:vAlign w:val="bottom"/>
          </w:tcPr>
          <w:p>
            <w:pPr>
              <w:spacing w:after="0"/>
              <w:rPr>
                <w:sz w:val="16"/>
                <w:szCs w:val="16"/>
                <w:color w:val="auto"/>
              </w:rPr>
            </w:pPr>
          </w:p>
        </w:tc>
        <w:tc>
          <w:tcPr>
            <w:tcW w:w="140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r>
      <w:tr>
        <w:trPr>
          <w:trHeight w:val="211"/>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June 30, 2025</w:t>
            </w:r>
          </w:p>
        </w:tc>
        <w:tc>
          <w:tcPr>
            <w:tcW w:w="120" w:type="dxa"/>
            <w:vAlign w:val="bottom"/>
          </w:tcPr>
          <w:p>
            <w:pPr>
              <w:spacing w:after="0"/>
              <w:rPr>
                <w:sz w:val="18"/>
                <w:szCs w:val="18"/>
                <w:color w:val="auto"/>
              </w:rPr>
            </w:pPr>
          </w:p>
        </w:tc>
        <w:tc>
          <w:tcPr>
            <w:tcW w:w="140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194"/>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r>
      <w:tr>
        <w:trPr>
          <w:trHeight w:val="216"/>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Crypto services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568,103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497,141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1,633,859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1,338,481</w:t>
            </w:r>
          </w:p>
        </w:tc>
      </w:tr>
      <w:tr>
        <w:trPr>
          <w:trHeight w:val="211"/>
        </w:trPr>
        <w:tc>
          <w:tcPr>
            <w:tcW w:w="4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Loyalty services, net</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18,933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25,999</w:t>
            </w:r>
          </w:p>
        </w:tc>
      </w:tr>
      <w:tr>
        <w:trPr>
          <w:trHeight w:val="210"/>
        </w:trPr>
        <w:tc>
          <w:tcPr>
            <w:tcW w:w="4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577,882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509,898</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1,652,792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1,364,480</w:t>
            </w:r>
          </w:p>
        </w:tc>
      </w:tr>
      <w:tr>
        <w:trPr>
          <w:trHeight w:val="191"/>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6"/>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Crypto costs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561,074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491,701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1,615,709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1,323,673</w:t>
            </w:r>
          </w:p>
        </w:tc>
      </w:tr>
      <w:tr>
        <w:trPr>
          <w:trHeight w:val="211"/>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Execution, clearing and brokerage fees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9,022</w:t>
            </w:r>
          </w:p>
        </w:tc>
      </w:tr>
      <w:tr>
        <w:trPr>
          <w:trHeight w:val="216"/>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46,912</w:t>
            </w:r>
          </w:p>
        </w:tc>
      </w:tr>
      <w:tr>
        <w:trPr>
          <w:trHeight w:val="211"/>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Professional services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7,274</w:t>
            </w:r>
          </w:p>
        </w:tc>
      </w:tr>
      <w:tr>
        <w:trPr>
          <w:trHeight w:val="216"/>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Technology and communication</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9,423</w:t>
            </w:r>
          </w:p>
        </w:tc>
      </w:tr>
      <w:tr>
        <w:trPr>
          <w:trHeight w:val="211"/>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13,326</w:t>
            </w:r>
          </w:p>
        </w:tc>
      </w:tr>
      <w:tr>
        <w:trPr>
          <w:trHeight w:val="216"/>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11"/>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Related party expenses</w:t>
            </w: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16"/>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r>
      <w:tr>
        <w:trPr>
          <w:trHeight w:val="211"/>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Restructuring expenses</w:t>
            </w: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7,067</w:t>
            </w:r>
          </w:p>
        </w:tc>
      </w:tr>
      <w:tr>
        <w:trPr>
          <w:trHeight w:val="216"/>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r>
      <w:tr>
        <w:trPr>
          <w:trHeight w:val="205"/>
        </w:trPr>
        <w:tc>
          <w:tcPr>
            <w:tcW w:w="49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596,371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531,915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1,689,801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1,418,334</w:t>
            </w:r>
          </w:p>
        </w:tc>
      </w:tr>
      <w:tr>
        <w:trPr>
          <w:trHeight w:val="21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(53,854)</w:t>
            </w:r>
          </w:p>
        </w:tc>
      </w:tr>
      <w:tr>
        <w:trPr>
          <w:trHeight w:val="211"/>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net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w:t>
            </w:r>
          </w:p>
        </w:tc>
      </w:tr>
      <w:tr>
        <w:trPr>
          <w:trHeight w:val="216"/>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gain from change in fair value of warrant liability</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(6,068)</w:t>
            </w:r>
          </w:p>
        </w:tc>
      </w:tr>
      <w:tr>
        <w:trPr>
          <w:trHeight w:val="211"/>
        </w:trPr>
        <w:tc>
          <w:tcPr>
            <w:tcW w:w="4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1,164</w:t>
            </w:r>
          </w:p>
        </w:tc>
      </w:tr>
      <w:tr>
        <w:trPr>
          <w:trHeight w:val="21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(56,557)</w:t>
            </w:r>
          </w:p>
        </w:tc>
      </w:tr>
      <w:tr>
        <w:trPr>
          <w:trHeight w:val="211"/>
        </w:trPr>
        <w:tc>
          <w:tcPr>
            <w:tcW w:w="4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21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(56,787)</w:t>
            </w:r>
          </w:p>
        </w:tc>
      </w:tr>
      <w:tr>
        <w:trPr>
          <w:trHeight w:val="211"/>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loss attributable to noncontrolling interest</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(15,418)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(19,088)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(32,198)</w:t>
            </w:r>
          </w:p>
        </w:tc>
      </w:tr>
      <w:tr>
        <w:trPr>
          <w:trHeight w:val="235"/>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Bakkt Holdings, Inc.</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(24,589)</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4"/>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attributable to Class A Common Stockholders: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1"/>
        </w:trPr>
        <w:tc>
          <w:tcPr>
            <w:tcW w:w="4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r>
      <w:tr>
        <w:trPr>
          <w:trHeight w:val="216"/>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r>
    </w:tbl>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Bakkt Holdings, Inc.</w:t>
      </w:r>
    </w:p>
    <w:p>
      <w:pPr>
        <w:jc w:val="center"/>
        <w:spacing w:after="0" w:line="216" w:lineRule="auto"/>
        <w:rPr>
          <w:sz w:val="20"/>
          <w:szCs w:val="20"/>
          <w:color w:val="auto"/>
        </w:rPr>
      </w:pPr>
      <w:r>
        <w:rPr>
          <w:rFonts w:ascii="Times New Roman" w:cs="Times New Roman" w:eastAsia="Times New Roman" w:hAnsi="Times New Roman"/>
          <w:sz w:val="18"/>
          <w:szCs w:val="18"/>
          <w:b w:val="1"/>
          <w:bCs w:val="1"/>
          <w:color w:val="231F20"/>
        </w:rPr>
        <w:t>Consolidated Statements of Comprehensive Income (Loss)</w:t>
      </w:r>
    </w:p>
    <w:p>
      <w:pPr>
        <w:jc w:val="center"/>
        <w:spacing w:after="0" w:line="202" w:lineRule="auto"/>
        <w:rPr>
          <w:sz w:val="20"/>
          <w:szCs w:val="20"/>
          <w:color w:val="auto"/>
        </w:rPr>
      </w:pPr>
      <w:r>
        <w:rPr>
          <w:rFonts w:ascii="Times New Roman" w:cs="Times New Roman" w:eastAsia="Times New Roman" w:hAnsi="Times New Roman"/>
          <w:sz w:val="18"/>
          <w:szCs w:val="18"/>
          <w:b w:val="1"/>
          <w:bCs w:val="1"/>
          <w:color w:val="231F20"/>
        </w:rPr>
        <w:t>(in thousands)</w:t>
      </w:r>
    </w:p>
    <w:p>
      <w:pPr>
        <w:jc w:val="center"/>
        <w:spacing w:after="0"/>
        <w:rPr>
          <w:sz w:val="20"/>
          <w:szCs w:val="20"/>
          <w:color w:val="auto"/>
        </w:rPr>
      </w:pPr>
      <w:r>
        <w:rPr>
          <w:rFonts w:ascii="Times New Roman" w:cs="Times New Roman" w:eastAsia="Times New Roman" w:hAnsi="Times New Roman"/>
          <w:sz w:val="18"/>
          <w:szCs w:val="18"/>
          <w:b w:val="1"/>
          <w:bCs w:val="1"/>
          <w:color w:val="231F20"/>
        </w:rPr>
        <w:t>(Unaudited)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162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c>
          <w:tcPr>
            <w:tcW w:w="120" w:type="dxa"/>
            <w:vAlign w:val="bottom"/>
          </w:tcPr>
          <w:p>
            <w:pPr>
              <w:spacing w:after="0"/>
              <w:rPr>
                <w:sz w:val="16"/>
                <w:szCs w:val="16"/>
                <w:color w:val="auto"/>
              </w:rPr>
            </w:pPr>
          </w:p>
        </w:tc>
        <w:tc>
          <w:tcPr>
            <w:tcW w:w="140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r>
      <w:tr>
        <w:trPr>
          <w:trHeight w:val="212"/>
        </w:trPr>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0" w:type="dxa"/>
            <w:vAlign w:val="bottom"/>
          </w:tcPr>
          <w:p>
            <w:pPr>
              <w:spacing w:after="0"/>
              <w:rPr>
                <w:sz w:val="18"/>
                <w:szCs w:val="18"/>
                <w:color w:val="auto"/>
              </w:rPr>
            </w:pPr>
          </w:p>
        </w:tc>
        <w:tc>
          <w:tcPr>
            <w:tcW w:w="140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09"/>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(30,152)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(35,512)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(56,787)</w:t>
            </w:r>
          </w:p>
        </w:tc>
      </w:tr>
      <w:tr>
        <w:trPr>
          <w:trHeight w:val="211"/>
        </w:trPr>
        <w:tc>
          <w:tcPr>
            <w:tcW w:w="4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Currency translation adjustment, net of tax</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r>
      <w:tr>
        <w:trPr>
          <w:trHeight w:val="216"/>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gain (loss) on available-for-sale securities, net of tax</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5"/>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(29,266)</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(35,554)</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(13,000)</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(57,408)</w:t>
            </w:r>
          </w:p>
        </w:tc>
      </w:tr>
      <w:tr>
        <w:trPr>
          <w:trHeight w:val="214"/>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attributable to noncontrolling interest</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(32,580)</w:t>
            </w:r>
          </w:p>
        </w:tc>
      </w:tr>
      <w:tr>
        <w:trPr>
          <w:trHeight w:val="21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attributable to Bakkt Holdings, Inc.</w:t>
            </w: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(14,303)</w:t>
            </w:r>
          </w:p>
        </w:tc>
        <w:tc>
          <w:tcPr>
            <w:tcW w:w="100" w:type="dxa"/>
            <w:vAlign w:val="bottom"/>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(16,443)</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(24,828)</w:t>
            </w:r>
          </w:p>
        </w:tc>
      </w:tr>
      <w:tr>
        <w:trPr>
          <w:trHeight w:val="20"/>
        </w:trPr>
        <w:tc>
          <w:tcPr>
            <w:tcW w:w="4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right="180"/>
        <w:spacing w:after="0" w:line="250" w:lineRule="auto"/>
        <w:rPr>
          <w:sz w:val="20"/>
          <w:szCs w:val="20"/>
          <w:color w:val="auto"/>
        </w:rPr>
      </w:pPr>
      <w:r>
        <w:rPr>
          <w:rFonts w:ascii="Times New Roman" w:cs="Times New Roman" w:eastAsia="Times New Roman" w:hAnsi="Times New Roman"/>
          <w:sz w:val="14"/>
          <w:szCs w:val="14"/>
          <w:b w:val="1"/>
          <w:bCs w:val="1"/>
          <w:color w:val="auto"/>
        </w:rPr>
        <w:t>Balance as of December 31, 2024</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39" w:lineRule="exact"/>
        <w:rPr>
          <w:sz w:val="20"/>
          <w:szCs w:val="20"/>
          <w:color w:val="auto"/>
        </w:rPr>
      </w:pPr>
    </w:p>
    <w:p>
      <w:pPr>
        <w:jc w:val="both"/>
        <w:ind w:left="140"/>
        <w:spacing w:after="0" w:line="237" w:lineRule="auto"/>
        <w:rPr>
          <w:sz w:val="20"/>
          <w:szCs w:val="20"/>
          <w:color w:val="auto"/>
        </w:rPr>
      </w:pPr>
      <w:r>
        <w:rPr>
          <w:rFonts w:ascii="Times New Roman" w:cs="Times New Roman" w:eastAsia="Times New Roman" w:hAnsi="Times New Roman"/>
          <w:sz w:val="14"/>
          <w:szCs w:val="14"/>
          <w:color w:val="auto"/>
        </w:rPr>
        <w:t>Shares issued upon vesting of share-based awards, net of tax withholding</w:t>
      </w:r>
    </w:p>
    <w:p>
      <w:pPr>
        <w:spacing w:after="0" w:line="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Exercise of Warrants</w:t>
      </w:r>
    </w:p>
    <w:p>
      <w:pPr>
        <w:spacing w:after="0" w:line="39" w:lineRule="exact"/>
        <w:rPr>
          <w:sz w:val="20"/>
          <w:szCs w:val="20"/>
          <w:color w:val="auto"/>
        </w:rPr>
      </w:pPr>
    </w:p>
    <w:p>
      <w:pPr>
        <w:ind w:left="140" w:right="140"/>
        <w:spacing w:after="0" w:line="248" w:lineRule="auto"/>
        <w:rPr>
          <w:sz w:val="20"/>
          <w:szCs w:val="20"/>
          <w:color w:val="auto"/>
        </w:rPr>
      </w:pPr>
      <w:r>
        <w:rPr>
          <w:rFonts w:ascii="Times New Roman" w:cs="Times New Roman" w:eastAsia="Times New Roman" w:hAnsi="Times New Roman"/>
          <w:sz w:val="14"/>
          <w:szCs w:val="14"/>
          <w:color w:val="auto"/>
        </w:rPr>
        <w:t>Exchange of Class V shares for Class A shares</w:t>
      </w:r>
    </w:p>
    <w:p>
      <w:pPr>
        <w:spacing w:after="0" w:line="1" w:lineRule="exact"/>
        <w:rPr>
          <w:sz w:val="20"/>
          <w:szCs w:val="20"/>
          <w:color w:val="auto"/>
        </w:rPr>
      </w:pPr>
    </w:p>
    <w:p>
      <w:pPr>
        <w:ind w:left="140" w:right="500"/>
        <w:spacing w:after="0" w:line="248" w:lineRule="auto"/>
        <w:rPr>
          <w:sz w:val="20"/>
          <w:szCs w:val="20"/>
          <w:color w:val="auto"/>
        </w:rPr>
      </w:pPr>
      <w:r>
        <w:rPr>
          <w:rFonts w:ascii="Times New Roman" w:cs="Times New Roman" w:eastAsia="Times New Roman" w:hAnsi="Times New Roman"/>
          <w:sz w:val="14"/>
          <w:szCs w:val="14"/>
          <w:color w:val="auto"/>
        </w:rPr>
        <w:t>Currency translation adjustment, net of tax</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Net income</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2025</w:t>
      </w:r>
    </w:p>
    <w:p>
      <w:pPr>
        <w:spacing w:after="0" w:line="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39" w:lineRule="exact"/>
        <w:rPr>
          <w:sz w:val="20"/>
          <w:szCs w:val="20"/>
          <w:color w:val="auto"/>
        </w:rPr>
      </w:pPr>
    </w:p>
    <w:p>
      <w:pPr>
        <w:jc w:val="both"/>
        <w:ind w:left="140"/>
        <w:spacing w:after="0" w:line="237" w:lineRule="auto"/>
        <w:rPr>
          <w:sz w:val="20"/>
          <w:szCs w:val="20"/>
          <w:color w:val="auto"/>
        </w:rPr>
      </w:pPr>
      <w:r>
        <w:rPr>
          <w:rFonts w:ascii="Times New Roman" w:cs="Times New Roman" w:eastAsia="Times New Roman" w:hAnsi="Times New Roman"/>
          <w:sz w:val="14"/>
          <w:szCs w:val="14"/>
          <w:color w:val="auto"/>
        </w:rPr>
        <w:t>Shares issued upon vesting of share-based awards, net of tax withholding</w:t>
      </w:r>
    </w:p>
    <w:p>
      <w:pPr>
        <w:spacing w:after="0" w:line="4" w:lineRule="exact"/>
        <w:rPr>
          <w:sz w:val="20"/>
          <w:szCs w:val="20"/>
          <w:color w:val="auto"/>
        </w:rPr>
      </w:pPr>
    </w:p>
    <w:p>
      <w:pPr>
        <w:ind w:left="140" w:right="140"/>
        <w:spacing w:after="0" w:line="248" w:lineRule="auto"/>
        <w:rPr>
          <w:sz w:val="20"/>
          <w:szCs w:val="20"/>
          <w:color w:val="auto"/>
        </w:rPr>
      </w:pPr>
      <w:r>
        <w:rPr>
          <w:rFonts w:ascii="Times New Roman" w:cs="Times New Roman" w:eastAsia="Times New Roman" w:hAnsi="Times New Roman"/>
          <w:sz w:val="14"/>
          <w:szCs w:val="14"/>
          <w:color w:val="auto"/>
        </w:rPr>
        <w:t>Exchange of Class V shares for Class A shares</w:t>
      </w:r>
    </w:p>
    <w:p>
      <w:pPr>
        <w:spacing w:after="0" w:line="1" w:lineRule="exact"/>
        <w:rPr>
          <w:sz w:val="20"/>
          <w:szCs w:val="20"/>
          <w:color w:val="auto"/>
        </w:rPr>
      </w:pPr>
    </w:p>
    <w:p>
      <w:pPr>
        <w:ind w:left="140" w:right="500"/>
        <w:spacing w:after="0" w:line="248" w:lineRule="auto"/>
        <w:rPr>
          <w:sz w:val="20"/>
          <w:szCs w:val="20"/>
          <w:color w:val="auto"/>
        </w:rPr>
      </w:pPr>
      <w:r>
        <w:rPr>
          <w:rFonts w:ascii="Times New Roman" w:cs="Times New Roman" w:eastAsia="Times New Roman" w:hAnsi="Times New Roman"/>
          <w:sz w:val="14"/>
          <w:szCs w:val="14"/>
          <w:color w:val="auto"/>
        </w:rPr>
        <w:t>Currency translation adjustment, net of tax</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Net loss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40"/>
        <w:spacing w:after="0"/>
        <w:rPr>
          <w:sz w:val="20"/>
          <w:szCs w:val="20"/>
          <w:color w:val="auto"/>
        </w:rPr>
      </w:pPr>
      <w:r>
        <w:rPr>
          <w:rFonts w:ascii="Times New Roman" w:cs="Times New Roman" w:eastAsia="Times New Roman" w:hAnsi="Times New Roman"/>
          <w:sz w:val="18"/>
          <w:szCs w:val="18"/>
          <w:b w:val="1"/>
          <w:bCs w:val="1"/>
          <w:color w:val="231F20"/>
        </w:rPr>
        <w:t>Bakkt Holdings, Inc.</w:t>
      </w:r>
    </w:p>
    <w:p>
      <w:pPr>
        <w:jc w:val="center"/>
        <w:ind w:right="1940"/>
        <w:spacing w:after="0" w:line="216" w:lineRule="auto"/>
        <w:rPr>
          <w:sz w:val="20"/>
          <w:szCs w:val="20"/>
          <w:color w:val="auto"/>
        </w:rPr>
      </w:pPr>
      <w:r>
        <w:rPr>
          <w:rFonts w:ascii="Times New Roman" w:cs="Times New Roman" w:eastAsia="Times New Roman" w:hAnsi="Times New Roman"/>
          <w:sz w:val="18"/>
          <w:szCs w:val="18"/>
          <w:b w:val="1"/>
          <w:bCs w:val="1"/>
          <w:color w:val="231F20"/>
        </w:rPr>
        <w:t>Consolidated Statements of Changes in Equity</w:t>
      </w:r>
    </w:p>
    <w:p>
      <w:pPr>
        <w:jc w:val="center"/>
        <w:ind w:right="1940"/>
        <w:spacing w:after="0" w:line="202" w:lineRule="auto"/>
        <w:rPr>
          <w:sz w:val="20"/>
          <w:szCs w:val="20"/>
          <w:color w:val="auto"/>
        </w:rPr>
      </w:pPr>
      <w:r>
        <w:rPr>
          <w:rFonts w:ascii="Times New Roman" w:cs="Times New Roman" w:eastAsia="Times New Roman" w:hAnsi="Times New Roman"/>
          <w:sz w:val="18"/>
          <w:szCs w:val="18"/>
          <w:b w:val="1"/>
          <w:bCs w:val="1"/>
          <w:color w:val="231F20"/>
        </w:rPr>
        <w:t>(in thousands, except share data)</w:t>
      </w:r>
    </w:p>
    <w:p>
      <w:pPr>
        <w:jc w:val="center"/>
        <w:ind w:right="1940"/>
        <w:spacing w:after="0"/>
        <w:rPr>
          <w:sz w:val="20"/>
          <w:szCs w:val="20"/>
          <w:color w:val="auto"/>
        </w:rPr>
      </w:pPr>
      <w:r>
        <w:rPr>
          <w:rFonts w:ascii="Times New Roman" w:cs="Times New Roman" w:eastAsia="Times New Roman" w:hAnsi="Times New Roman"/>
          <w:sz w:val="18"/>
          <w:szCs w:val="18"/>
          <w:b w:val="1"/>
          <w:bCs w:val="1"/>
          <w:color w:val="231F20"/>
        </w:rPr>
        <w:t>(Unaudited)</w:t>
      </w:r>
    </w:p>
    <w:tbl>
      <w:tblPr>
        <w:tblLayout w:type="fixed"/>
        <w:tblInd w:w="0" w:type="dxa"/>
        <w:tblCellMar>
          <w:top w:w="0" w:type="dxa"/>
          <w:left w:w="0" w:type="dxa"/>
          <w:bottom w:w="0" w:type="dxa"/>
          <w:right w:w="0" w:type="dxa"/>
        </w:tblCellMar>
      </w:tblPr>
      <w:tr>
        <w:trPr>
          <w:trHeight w:val="141"/>
        </w:trPr>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49"/>
              <w:spacing w:after="0" w:line="14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900" w:type="dxa"/>
            <w:vAlign w:val="bottom"/>
            <w:vMerge w:val="restart"/>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9"/>
              </w:rPr>
              <w:t>Total Bakkt</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gridSpan w:val="3"/>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Class V Common</w:t>
            </w:r>
          </w:p>
        </w:tc>
        <w:tc>
          <w:tcPr>
            <w:tcW w:w="1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40" w:type="dxa"/>
            <w:vAlign w:val="bottom"/>
            <w:gridSpan w:val="2"/>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000" w:type="dxa"/>
            <w:vAlign w:val="bottom"/>
          </w:tcPr>
          <w:p>
            <w:pPr>
              <w:jc w:val="center"/>
              <w:ind w:right="49"/>
              <w:spacing w:after="0" w:line="147"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140" w:type="dxa"/>
            <w:vAlign w:val="bottom"/>
            <w:gridSpan w:val="2"/>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80" w:type="dxa"/>
            <w:vAlign w:val="bottom"/>
          </w:tcPr>
          <w:p>
            <w:pPr>
              <w:spacing w:after="0"/>
              <w:rPr>
                <w:sz w:val="12"/>
                <w:szCs w:val="12"/>
                <w:color w:val="auto"/>
              </w:rPr>
            </w:pPr>
          </w:p>
        </w:tc>
        <w:tc>
          <w:tcPr>
            <w:tcW w:w="64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5"/>
        </w:trPr>
        <w:tc>
          <w:tcPr>
            <w:tcW w:w="1760" w:type="dxa"/>
            <w:vAlign w:val="bottom"/>
            <w:gridSpan w:val="3"/>
            <w:vMerge w:val="restart"/>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3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ind w:right="149"/>
              <w:spacing w:after="0" w:line="14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2"/>
            <w:vMerge w:val="continue"/>
          </w:tcPr>
          <w:p>
            <w:pPr>
              <w:spacing w:after="0"/>
              <w:rPr>
                <w:sz w:val="12"/>
                <w:szCs w:val="12"/>
                <w:color w:val="auto"/>
              </w:rPr>
            </w:pPr>
          </w:p>
        </w:tc>
        <w:tc>
          <w:tcPr>
            <w:tcW w:w="114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6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760" w:type="dxa"/>
            <w:vAlign w:val="bottom"/>
            <w:tcBorders>
              <w:bottom w:val="single" w:sz="8" w:color="auto"/>
            </w:tcBorders>
            <w:gridSpan w:val="3"/>
            <w:vMerge w:val="continue"/>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3"/>
        </w:trPr>
        <w:tc>
          <w:tcPr>
            <w:tcW w:w="11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6,510,885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1</w:t>
            </w:r>
          </w:p>
        </w:tc>
        <w:tc>
          <w:tcPr>
            <w:tcW w:w="9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7,178,303</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832,693</w:t>
            </w:r>
          </w:p>
        </w:tc>
        <w:tc>
          <w:tcPr>
            <w:tcW w:w="2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(797,960)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(841)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33,894</w:t>
            </w:r>
          </w:p>
        </w:tc>
        <w:tc>
          <w:tcPr>
            <w:tcW w:w="2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28,959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62,853</w:t>
            </w:r>
          </w:p>
        </w:tc>
        <w:tc>
          <w:tcPr>
            <w:tcW w:w="0" w:type="dxa"/>
            <w:vAlign w:val="bottom"/>
          </w:tcPr>
          <w:p>
            <w:pPr>
              <w:spacing w:after="0"/>
              <w:rPr>
                <w:sz w:val="1"/>
                <w:szCs w:val="1"/>
                <w:color w:val="auto"/>
              </w:rPr>
            </w:pPr>
          </w:p>
        </w:tc>
      </w:tr>
      <w:tr>
        <w:trPr>
          <w:trHeight w:val="200"/>
        </w:trPr>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4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3,343</w:t>
            </w:r>
          </w:p>
        </w:tc>
        <w:tc>
          <w:tcPr>
            <w:tcW w:w="240" w:type="dxa"/>
            <w:vAlign w:val="bottom"/>
          </w:tcPr>
          <w:p>
            <w:pPr>
              <w:spacing w:after="0"/>
              <w:rPr>
                <w:sz w:val="17"/>
                <w:szCs w:val="17"/>
                <w:color w:val="auto"/>
              </w:rPr>
            </w:pP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3,343</w:t>
            </w:r>
          </w:p>
        </w:tc>
        <w:tc>
          <w:tcPr>
            <w:tcW w:w="240" w:type="dxa"/>
            <w:vAlign w:val="bottom"/>
          </w:tcPr>
          <w:p>
            <w:pPr>
              <w:spacing w:after="0"/>
              <w:rPr>
                <w:sz w:val="17"/>
                <w:szCs w:val="17"/>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3,343</w:t>
            </w:r>
          </w:p>
        </w:tc>
        <w:tc>
          <w:tcPr>
            <w:tcW w:w="0" w:type="dxa"/>
            <w:vAlign w:val="bottom"/>
          </w:tcPr>
          <w:p>
            <w:pPr>
              <w:spacing w:after="0"/>
              <w:rPr>
                <w:sz w:val="1"/>
                <w:szCs w:val="1"/>
                <w:color w:val="auto"/>
              </w:rPr>
            </w:pPr>
          </w:p>
        </w:tc>
      </w:tr>
      <w:tr>
        <w:trPr>
          <w:trHeight w:val="481"/>
        </w:trPr>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144,937</w:t>
            </w:r>
          </w:p>
        </w:tc>
        <w:tc>
          <w:tcPr>
            <w:tcW w:w="220" w:type="dxa"/>
            <w:vAlign w:val="bottom"/>
          </w:tcPr>
          <w:p>
            <w:pPr>
              <w:spacing w:after="0"/>
              <w:rPr>
                <w:sz w:val="24"/>
                <w:szCs w:val="24"/>
                <w:color w:val="auto"/>
              </w:rPr>
            </w:pPr>
          </w:p>
        </w:tc>
        <w:tc>
          <w:tcPr>
            <w:tcW w:w="4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240" w:type="dxa"/>
            <w:vAlign w:val="bottom"/>
          </w:tcPr>
          <w:p>
            <w:pPr>
              <w:spacing w:after="0"/>
              <w:rPr>
                <w:sz w:val="24"/>
                <w:szCs w:val="24"/>
                <w:color w:val="auto"/>
              </w:rPr>
            </w:pP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240" w:type="dxa"/>
            <w:vAlign w:val="bottom"/>
          </w:tcPr>
          <w:p>
            <w:pPr>
              <w:spacing w:after="0"/>
              <w:rPr>
                <w:sz w:val="24"/>
                <w:szCs w:val="24"/>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0" w:type="dxa"/>
            <w:vAlign w:val="bottom"/>
          </w:tcPr>
          <w:p>
            <w:pPr>
              <w:spacing w:after="0"/>
              <w:rPr>
                <w:sz w:val="1"/>
                <w:szCs w:val="1"/>
                <w:color w:val="auto"/>
              </w:rPr>
            </w:pPr>
          </w:p>
        </w:tc>
      </w:tr>
      <w:tr>
        <w:trPr>
          <w:trHeight w:val="200"/>
        </w:trPr>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7"/>
                <w:szCs w:val="17"/>
                <w:color w:val="auto"/>
              </w:rPr>
            </w:pPr>
          </w:p>
        </w:tc>
        <w:tc>
          <w:tcPr>
            <w:tcW w:w="4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7"/>
                <w:szCs w:val="17"/>
                <w:color w:val="auto"/>
              </w:rPr>
            </w:pP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w:t>
            </w:r>
          </w:p>
        </w:tc>
        <w:tc>
          <w:tcPr>
            <w:tcW w:w="240" w:type="dxa"/>
            <w:vAlign w:val="bottom"/>
          </w:tcPr>
          <w:p>
            <w:pPr>
              <w:spacing w:after="0"/>
              <w:rPr>
                <w:sz w:val="17"/>
                <w:szCs w:val="17"/>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334"/>
        </w:trPr>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529</w:t>
            </w:r>
          </w:p>
        </w:tc>
        <w:tc>
          <w:tcPr>
            <w:tcW w:w="220" w:type="dxa"/>
            <w:vAlign w:val="bottom"/>
          </w:tcPr>
          <w:p>
            <w:pPr>
              <w:spacing w:after="0"/>
              <w:rPr>
                <w:sz w:val="24"/>
                <w:szCs w:val="24"/>
                <w:color w:val="auto"/>
              </w:rPr>
            </w:pPr>
          </w:p>
        </w:tc>
        <w:tc>
          <w:tcPr>
            <w:tcW w:w="4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(529)</w:t>
            </w: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24"/>
                <w:szCs w:val="24"/>
                <w:color w:val="auto"/>
              </w:rPr>
            </w:pP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24"/>
                <w:szCs w:val="24"/>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34"/>
        </w:trPr>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4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24"/>
                <w:szCs w:val="24"/>
                <w:color w:val="auto"/>
              </w:rPr>
            </w:pP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tcPr>
          <w:p>
            <w:pPr>
              <w:spacing w:after="0"/>
              <w:rPr>
                <w:sz w:val="24"/>
                <w:szCs w:val="24"/>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14</w:t>
            </w:r>
          </w:p>
        </w:tc>
        <w:tc>
          <w:tcPr>
            <w:tcW w:w="240" w:type="dxa"/>
            <w:vAlign w:val="bottom"/>
          </w:tcPr>
          <w:p>
            <w:pPr>
              <w:spacing w:after="0"/>
              <w:rPr>
                <w:sz w:val="24"/>
                <w:szCs w:val="24"/>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15</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0"/>
        </w:trPr>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4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7,710</w:t>
            </w:r>
          </w:p>
        </w:tc>
        <w:tc>
          <w:tcPr>
            <w:tcW w:w="140" w:type="dxa"/>
            <w:vAlign w:val="bottom"/>
          </w:tcPr>
          <w:p>
            <w:pPr>
              <w:spacing w:after="0"/>
              <w:rPr>
                <w:sz w:val="17"/>
                <w:szCs w:val="17"/>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7,710</w:t>
            </w:r>
          </w:p>
        </w:tc>
        <w:tc>
          <w:tcPr>
            <w:tcW w:w="240" w:type="dxa"/>
            <w:vAlign w:val="bottom"/>
          </w:tcPr>
          <w:p>
            <w:pPr>
              <w:spacing w:after="0"/>
              <w:rPr>
                <w:sz w:val="17"/>
                <w:szCs w:val="17"/>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8,529</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16,239</w:t>
            </w:r>
          </w:p>
        </w:tc>
        <w:tc>
          <w:tcPr>
            <w:tcW w:w="0" w:type="dxa"/>
            <w:vAlign w:val="bottom"/>
          </w:tcPr>
          <w:p>
            <w:pPr>
              <w:spacing w:after="0"/>
              <w:rPr>
                <w:sz w:val="1"/>
                <w:szCs w:val="1"/>
                <w:color w:val="auto"/>
              </w:rPr>
            </w:pPr>
          </w:p>
        </w:tc>
      </w:tr>
      <w:tr>
        <w:trPr>
          <w:trHeight w:val="25"/>
        </w:trPr>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6,656,355</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1</w:t>
            </w:r>
          </w:p>
        </w:tc>
        <w:tc>
          <w:tcPr>
            <w:tcW w:w="900" w:type="dxa"/>
            <w:vAlign w:val="bottom"/>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7,177,774</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835,134</w:t>
            </w:r>
          </w:p>
        </w:tc>
        <w:tc>
          <w:tcPr>
            <w:tcW w:w="2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(790,250)</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(827)</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44,059</w:t>
            </w:r>
          </w:p>
        </w:tc>
        <w:tc>
          <w:tcPr>
            <w:tcW w:w="2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37,500</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81,559</w:t>
            </w:r>
          </w:p>
        </w:tc>
        <w:tc>
          <w:tcPr>
            <w:tcW w:w="0" w:type="dxa"/>
            <w:vAlign w:val="bottom"/>
          </w:tcPr>
          <w:p>
            <w:pPr>
              <w:spacing w:after="0"/>
              <w:rPr>
                <w:sz w:val="1"/>
                <w:szCs w:val="1"/>
                <w:color w:val="auto"/>
              </w:rPr>
            </w:pPr>
          </w:p>
        </w:tc>
      </w:tr>
      <w:tr>
        <w:trPr>
          <w:trHeight w:val="189"/>
        </w:trPr>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6,338</w:t>
            </w:r>
          </w:p>
        </w:tc>
        <w:tc>
          <w:tcPr>
            <w:tcW w:w="240" w:type="dxa"/>
            <w:vAlign w:val="bottom"/>
          </w:tcPr>
          <w:p>
            <w:pPr>
              <w:spacing w:after="0"/>
              <w:rPr>
                <w:sz w:val="16"/>
                <w:szCs w:val="16"/>
                <w:color w:val="auto"/>
              </w:rPr>
            </w:pP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6,338</w:t>
            </w:r>
          </w:p>
        </w:tc>
        <w:tc>
          <w:tcPr>
            <w:tcW w:w="240" w:type="dxa"/>
            <w:vAlign w:val="bottom"/>
          </w:tcPr>
          <w:p>
            <w:pPr>
              <w:spacing w:after="0"/>
              <w:rPr>
                <w:sz w:val="16"/>
                <w:szCs w:val="16"/>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6,338</w:t>
            </w:r>
          </w:p>
        </w:tc>
        <w:tc>
          <w:tcPr>
            <w:tcW w:w="0" w:type="dxa"/>
            <w:vAlign w:val="bottom"/>
          </w:tcPr>
          <w:p>
            <w:pPr>
              <w:spacing w:after="0"/>
              <w:rPr>
                <w:sz w:val="1"/>
                <w:szCs w:val="1"/>
                <w:color w:val="auto"/>
              </w:rPr>
            </w:pPr>
          </w:p>
        </w:tc>
      </w:tr>
      <w:tr>
        <w:trPr>
          <w:trHeight w:val="481"/>
        </w:trPr>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317,687</w:t>
            </w:r>
          </w:p>
        </w:tc>
        <w:tc>
          <w:tcPr>
            <w:tcW w:w="220" w:type="dxa"/>
            <w:vAlign w:val="bottom"/>
          </w:tcPr>
          <w:p>
            <w:pPr>
              <w:spacing w:after="0"/>
              <w:rPr>
                <w:sz w:val="24"/>
                <w:szCs w:val="24"/>
                <w:color w:val="auto"/>
              </w:rPr>
            </w:pPr>
          </w:p>
        </w:tc>
        <w:tc>
          <w:tcPr>
            <w:tcW w:w="4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240" w:type="dxa"/>
            <w:vAlign w:val="bottom"/>
          </w:tcPr>
          <w:p>
            <w:pPr>
              <w:spacing w:after="0"/>
              <w:rPr>
                <w:sz w:val="24"/>
                <w:szCs w:val="24"/>
                <w:color w:val="auto"/>
              </w:rPr>
            </w:pP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240" w:type="dxa"/>
            <w:vAlign w:val="bottom"/>
          </w:tcPr>
          <w:p>
            <w:pPr>
              <w:spacing w:after="0"/>
              <w:rPr>
                <w:sz w:val="24"/>
                <w:szCs w:val="24"/>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0" w:type="dxa"/>
            <w:vAlign w:val="bottom"/>
          </w:tcPr>
          <w:p>
            <w:pPr>
              <w:spacing w:after="0"/>
              <w:rPr>
                <w:sz w:val="1"/>
                <w:szCs w:val="1"/>
                <w:color w:val="auto"/>
              </w:rPr>
            </w:pPr>
          </w:p>
        </w:tc>
      </w:tr>
      <w:tr>
        <w:trPr>
          <w:trHeight w:val="334"/>
        </w:trPr>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698</w:t>
            </w:r>
          </w:p>
        </w:tc>
        <w:tc>
          <w:tcPr>
            <w:tcW w:w="220" w:type="dxa"/>
            <w:vAlign w:val="bottom"/>
          </w:tcPr>
          <w:p>
            <w:pPr>
              <w:spacing w:after="0"/>
              <w:rPr>
                <w:sz w:val="24"/>
                <w:szCs w:val="24"/>
                <w:color w:val="auto"/>
              </w:rPr>
            </w:pPr>
          </w:p>
        </w:tc>
        <w:tc>
          <w:tcPr>
            <w:tcW w:w="4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(698)</w:t>
            </w: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24"/>
                <w:szCs w:val="24"/>
                <w:color w:val="auto"/>
              </w:rPr>
            </w:pP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24"/>
                <w:szCs w:val="24"/>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34"/>
        </w:trPr>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4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432</w:t>
            </w:r>
          </w:p>
        </w:tc>
        <w:tc>
          <w:tcPr>
            <w:tcW w:w="160" w:type="dxa"/>
            <w:vAlign w:val="bottom"/>
          </w:tcPr>
          <w:p>
            <w:pPr>
              <w:spacing w:after="0"/>
              <w:rPr>
                <w:sz w:val="24"/>
                <w:szCs w:val="24"/>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432</w:t>
            </w:r>
          </w:p>
        </w:tc>
        <w:tc>
          <w:tcPr>
            <w:tcW w:w="240" w:type="dxa"/>
            <w:vAlign w:val="bottom"/>
          </w:tcPr>
          <w:p>
            <w:pPr>
              <w:spacing w:after="0"/>
              <w:rPr>
                <w:sz w:val="24"/>
                <w:szCs w:val="24"/>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454</w:t>
            </w: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886</w:t>
            </w:r>
          </w:p>
        </w:tc>
        <w:tc>
          <w:tcPr>
            <w:tcW w:w="0" w:type="dxa"/>
            <w:vAlign w:val="bottom"/>
          </w:tcPr>
          <w:p>
            <w:pPr>
              <w:spacing w:after="0"/>
              <w:rPr>
                <w:sz w:val="1"/>
                <w:szCs w:val="1"/>
                <w:color w:val="auto"/>
              </w:rPr>
            </w:pPr>
          </w:p>
        </w:tc>
      </w:tr>
      <w:tr>
        <w:trPr>
          <w:trHeight w:val="200"/>
        </w:trPr>
        <w:tc>
          <w:tcPr>
            <w:tcW w:w="11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4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(14,734)</w:t>
            </w:r>
          </w:p>
        </w:tc>
        <w:tc>
          <w:tcPr>
            <w:tcW w:w="140" w:type="dxa"/>
            <w:vAlign w:val="bottom"/>
          </w:tcPr>
          <w:p>
            <w:pPr>
              <w:spacing w:after="0"/>
              <w:rPr>
                <w:sz w:val="17"/>
                <w:szCs w:val="17"/>
                <w:color w:val="auto"/>
              </w:rPr>
            </w:pPr>
          </w:p>
        </w:tc>
        <w:tc>
          <w:tcPr>
            <w:tcW w:w="10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(14,734)</w:t>
            </w:r>
          </w:p>
        </w:tc>
        <w:tc>
          <w:tcPr>
            <w:tcW w:w="240" w:type="dxa"/>
            <w:vAlign w:val="bottom"/>
          </w:tcPr>
          <w:p>
            <w:pPr>
              <w:spacing w:after="0"/>
              <w:rPr>
                <w:sz w:val="17"/>
                <w:szCs w:val="17"/>
                <w:color w:val="auto"/>
              </w:rPr>
            </w:pPr>
          </w:p>
        </w:tc>
        <w:tc>
          <w:tcPr>
            <w:tcW w:w="9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(15,418)</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(30,152)</w:t>
            </w:r>
          </w:p>
        </w:tc>
        <w:tc>
          <w:tcPr>
            <w:tcW w:w="0" w:type="dxa"/>
            <w:vAlign w:val="bottom"/>
          </w:tcPr>
          <w:p>
            <w:pPr>
              <w:spacing w:after="0"/>
              <w:rPr>
                <w:sz w:val="1"/>
                <w:szCs w:val="1"/>
                <w:color w:val="auto"/>
              </w:rPr>
            </w:pPr>
          </w:p>
        </w:tc>
      </w:tr>
      <w:tr>
        <w:trPr>
          <w:trHeight w:val="25"/>
        </w:trPr>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1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6,974,740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1</w:t>
            </w:r>
          </w:p>
        </w:tc>
        <w:tc>
          <w:tcPr>
            <w:tcW w:w="9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7,177,076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840,671</w:t>
            </w:r>
          </w:p>
        </w:tc>
        <w:tc>
          <w:tcPr>
            <w:tcW w:w="2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(804,984)</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(395)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35,294</w:t>
            </w:r>
          </w:p>
        </w:tc>
        <w:tc>
          <w:tcPr>
            <w:tcW w:w="2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22,531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57,825</w:t>
            </w:r>
          </w:p>
        </w:tc>
        <w:tc>
          <w:tcPr>
            <w:tcW w:w="0" w:type="dxa"/>
            <w:vAlign w:val="bottom"/>
          </w:tcPr>
          <w:p>
            <w:pPr>
              <w:spacing w:after="0"/>
              <w:rPr>
                <w:sz w:val="1"/>
                <w:szCs w:val="1"/>
                <w:color w:val="auto"/>
              </w:rPr>
            </w:pPr>
          </w:p>
        </w:tc>
      </w:tr>
      <w:tr>
        <w:trPr>
          <w:trHeight w:val="27"/>
        </w:trPr>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-1226820</wp:posOffset>
            </wp:positionH>
            <wp:positionV relativeFrom="paragraph">
              <wp:posOffset>-2611755</wp:posOffset>
            </wp:positionV>
            <wp:extent cx="7133590" cy="212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3590" cy="212090"/>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-2272665</wp:posOffset>
            </wp:positionV>
            <wp:extent cx="7133590" cy="305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3590" cy="305435"/>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-1840230</wp:posOffset>
            </wp:positionV>
            <wp:extent cx="7133590" cy="2120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3590" cy="212090"/>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-1416050</wp:posOffset>
            </wp:positionV>
            <wp:extent cx="7133590" cy="1270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3590" cy="127000"/>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-1153160</wp:posOffset>
            </wp:positionV>
            <wp:extent cx="7133590" cy="1270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3590" cy="127000"/>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-720090</wp:posOffset>
            </wp:positionV>
            <wp:extent cx="7133590" cy="2120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3590" cy="212090"/>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-296545</wp:posOffset>
            </wp:positionV>
            <wp:extent cx="7133590" cy="1270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3590" cy="1270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60" w:space="80"/>
            <w:col w:w="930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68580</wp:posOffset>
            </wp:positionV>
            <wp:extent cx="71589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right="60"/>
        <w:spacing w:after="0" w:line="250" w:lineRule="auto"/>
        <w:rPr>
          <w:sz w:val="20"/>
          <w:szCs w:val="20"/>
          <w:color w:val="auto"/>
        </w:rPr>
      </w:pPr>
      <w:r>
        <w:rPr>
          <w:rFonts w:ascii="Times New Roman" w:cs="Times New Roman" w:eastAsia="Times New Roman" w:hAnsi="Times New Roman"/>
          <w:sz w:val="14"/>
          <w:szCs w:val="14"/>
          <w:b w:val="1"/>
          <w:bCs w:val="1"/>
          <w:color w:val="auto"/>
        </w:rPr>
        <w:t>Balance as of December 31, 2023</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Shares issued upon vesting</w:t>
      </w:r>
    </w:p>
    <w:p>
      <w:pPr>
        <w:spacing w:after="0" w:line="2" w:lineRule="exact"/>
        <w:rPr>
          <w:sz w:val="20"/>
          <w:szCs w:val="20"/>
          <w:color w:val="auto"/>
        </w:rPr>
      </w:pPr>
    </w:p>
    <w:p>
      <w:pPr>
        <w:ind w:left="140" w:right="100"/>
        <w:spacing w:after="0" w:line="225" w:lineRule="auto"/>
        <w:rPr>
          <w:sz w:val="20"/>
          <w:szCs w:val="20"/>
          <w:color w:val="auto"/>
        </w:rPr>
      </w:pPr>
      <w:r>
        <w:rPr>
          <w:rFonts w:ascii="Times New Roman" w:cs="Times New Roman" w:eastAsia="Times New Roman" w:hAnsi="Times New Roman"/>
          <w:sz w:val="14"/>
          <w:szCs w:val="14"/>
          <w:color w:val="auto"/>
        </w:rPr>
        <w:t>of share-based awards, net of tax withholding</w:t>
      </w:r>
    </w:p>
    <w:p>
      <w:pPr>
        <w:spacing w:after="0" w:line="16" w:lineRule="exact"/>
        <w:rPr>
          <w:sz w:val="20"/>
          <w:szCs w:val="20"/>
          <w:color w:val="auto"/>
        </w:rPr>
      </w:pPr>
    </w:p>
    <w:p>
      <w:pPr>
        <w:ind w:left="140" w:right="280"/>
        <w:spacing w:after="0" w:line="248" w:lineRule="auto"/>
        <w:rPr>
          <w:sz w:val="20"/>
          <w:szCs w:val="20"/>
          <w:color w:val="auto"/>
        </w:rPr>
      </w:pPr>
      <w:r>
        <w:rPr>
          <w:rFonts w:ascii="Times New Roman" w:cs="Times New Roman" w:eastAsia="Times New Roman" w:hAnsi="Times New Roman"/>
          <w:sz w:val="14"/>
          <w:szCs w:val="14"/>
          <w:color w:val="auto"/>
        </w:rPr>
        <w:t>Equity offerings, net of issuance costs</w:t>
      </w:r>
    </w:p>
    <w:p>
      <w:pPr>
        <w:spacing w:after="0" w:line="1" w:lineRule="exact"/>
        <w:rPr>
          <w:sz w:val="20"/>
          <w:szCs w:val="20"/>
          <w:color w:val="auto"/>
        </w:rPr>
      </w:pPr>
    </w:p>
    <w:p>
      <w:pPr>
        <w:ind w:left="140" w:right="20"/>
        <w:spacing w:after="0" w:line="248" w:lineRule="auto"/>
        <w:rPr>
          <w:sz w:val="20"/>
          <w:szCs w:val="20"/>
          <w:color w:val="auto"/>
        </w:rPr>
      </w:pPr>
      <w:r>
        <w:rPr>
          <w:rFonts w:ascii="Times New Roman" w:cs="Times New Roman" w:eastAsia="Times New Roman" w:hAnsi="Times New Roman"/>
          <w:sz w:val="14"/>
          <w:szCs w:val="14"/>
          <w:color w:val="auto"/>
        </w:rPr>
        <w:t>Exchange of Class V shares for Class A shares</w:t>
      </w:r>
    </w:p>
    <w:p>
      <w:pPr>
        <w:spacing w:after="0" w:line="1" w:lineRule="exact"/>
        <w:rPr>
          <w:sz w:val="20"/>
          <w:szCs w:val="20"/>
          <w:color w:val="auto"/>
        </w:rPr>
      </w:pPr>
    </w:p>
    <w:p>
      <w:pPr>
        <w:ind w:left="140" w:right="380"/>
        <w:spacing w:after="0" w:line="248" w:lineRule="auto"/>
        <w:rPr>
          <w:sz w:val="20"/>
          <w:szCs w:val="20"/>
          <w:color w:val="auto"/>
        </w:rPr>
      </w:pPr>
      <w:r>
        <w:rPr>
          <w:rFonts w:ascii="Times New Roman" w:cs="Times New Roman" w:eastAsia="Times New Roman" w:hAnsi="Times New Roman"/>
          <w:sz w:val="14"/>
          <w:szCs w:val="14"/>
          <w:color w:val="auto"/>
        </w:rPr>
        <w:t>Currency translation adjustment, net of tax</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Unrealized loss on</w:t>
      </w:r>
    </w:p>
    <w:p>
      <w:pPr>
        <w:spacing w:after="0" w:line="2" w:lineRule="exact"/>
        <w:rPr>
          <w:sz w:val="20"/>
          <w:szCs w:val="20"/>
          <w:color w:val="auto"/>
        </w:rPr>
      </w:pPr>
    </w:p>
    <w:p>
      <w:pPr>
        <w:ind w:left="140"/>
        <w:spacing w:after="0" w:line="225" w:lineRule="auto"/>
        <w:rPr>
          <w:sz w:val="20"/>
          <w:szCs w:val="20"/>
          <w:color w:val="auto"/>
        </w:rPr>
      </w:pPr>
      <w:r>
        <w:rPr>
          <w:rFonts w:ascii="Times New Roman" w:cs="Times New Roman" w:eastAsia="Times New Roman" w:hAnsi="Times New Roman"/>
          <w:sz w:val="14"/>
          <w:szCs w:val="14"/>
          <w:color w:val="auto"/>
        </w:rPr>
        <w:t>available-for-sale securities, net of tax</w:t>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Net loss</w:t>
      </w:r>
    </w:p>
    <w:p>
      <w:pPr>
        <w:spacing w:after="0" w:line="37" w:lineRule="exact"/>
        <w:rPr>
          <w:sz w:val="20"/>
          <w:szCs w:val="20"/>
          <w:color w:val="auto"/>
        </w:rPr>
      </w:pPr>
    </w:p>
    <w:p>
      <w:pPr>
        <w:ind w:left="20" w:right="260"/>
        <w:spacing w:after="0" w:line="250" w:lineRule="auto"/>
        <w:rPr>
          <w:sz w:val="20"/>
          <w:szCs w:val="20"/>
          <w:color w:val="auto"/>
        </w:rPr>
      </w:pPr>
      <w:r>
        <w:rPr>
          <w:rFonts w:ascii="Times New Roman" w:cs="Times New Roman" w:eastAsia="Times New Roman" w:hAnsi="Times New Roman"/>
          <w:sz w:val="14"/>
          <w:szCs w:val="14"/>
          <w:b w:val="1"/>
          <w:bCs w:val="1"/>
          <w:color w:val="auto"/>
        </w:rPr>
        <w:t>Balance as of March 31, 2024</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Share-based compensation</w:t>
      </w:r>
    </w:p>
    <w:p>
      <w:pPr>
        <w:spacing w:after="0" w:line="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Shares issued upon vesting</w:t>
      </w:r>
    </w:p>
    <w:p>
      <w:pPr>
        <w:spacing w:after="0" w:line="2" w:lineRule="exact"/>
        <w:rPr>
          <w:sz w:val="20"/>
          <w:szCs w:val="20"/>
          <w:color w:val="auto"/>
        </w:rPr>
      </w:pPr>
    </w:p>
    <w:p>
      <w:pPr>
        <w:ind w:left="140" w:right="100"/>
        <w:spacing w:after="0" w:line="225" w:lineRule="auto"/>
        <w:rPr>
          <w:sz w:val="20"/>
          <w:szCs w:val="20"/>
          <w:color w:val="auto"/>
        </w:rPr>
      </w:pPr>
      <w:r>
        <w:rPr>
          <w:rFonts w:ascii="Times New Roman" w:cs="Times New Roman" w:eastAsia="Times New Roman" w:hAnsi="Times New Roman"/>
          <w:sz w:val="14"/>
          <w:szCs w:val="14"/>
          <w:color w:val="auto"/>
        </w:rPr>
        <w:t>of share-based awards, net of tax withholding</w:t>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Exercise of warrants</w:t>
      </w:r>
    </w:p>
    <w:p>
      <w:pPr>
        <w:spacing w:after="0" w:line="39" w:lineRule="exact"/>
        <w:rPr>
          <w:sz w:val="20"/>
          <w:szCs w:val="20"/>
          <w:color w:val="auto"/>
        </w:rPr>
      </w:pPr>
    </w:p>
    <w:p>
      <w:pPr>
        <w:ind w:left="140" w:right="280"/>
        <w:spacing w:after="0" w:line="248" w:lineRule="auto"/>
        <w:rPr>
          <w:sz w:val="20"/>
          <w:szCs w:val="20"/>
          <w:color w:val="auto"/>
        </w:rPr>
      </w:pPr>
      <w:r>
        <w:rPr>
          <w:rFonts w:ascii="Times New Roman" w:cs="Times New Roman" w:eastAsia="Times New Roman" w:hAnsi="Times New Roman"/>
          <w:sz w:val="14"/>
          <w:szCs w:val="14"/>
          <w:color w:val="auto"/>
        </w:rPr>
        <w:t>Equity offerings, net of issuance cost</w:t>
      </w:r>
    </w:p>
    <w:p>
      <w:pPr>
        <w:spacing w:after="0" w:line="1" w:lineRule="exact"/>
        <w:rPr>
          <w:sz w:val="20"/>
          <w:szCs w:val="20"/>
          <w:color w:val="auto"/>
        </w:rPr>
      </w:pPr>
    </w:p>
    <w:p>
      <w:pPr>
        <w:ind w:left="140" w:right="20"/>
        <w:spacing w:after="0" w:line="248" w:lineRule="auto"/>
        <w:rPr>
          <w:sz w:val="20"/>
          <w:szCs w:val="20"/>
          <w:color w:val="auto"/>
        </w:rPr>
      </w:pPr>
      <w:r>
        <w:rPr>
          <w:rFonts w:ascii="Times New Roman" w:cs="Times New Roman" w:eastAsia="Times New Roman" w:hAnsi="Times New Roman"/>
          <w:sz w:val="14"/>
          <w:szCs w:val="14"/>
          <w:color w:val="auto"/>
        </w:rPr>
        <w:t>Exchange of Class V shares for Class A shares</w:t>
      </w:r>
    </w:p>
    <w:p>
      <w:pPr>
        <w:spacing w:after="0" w:line="1" w:lineRule="exact"/>
        <w:rPr>
          <w:sz w:val="20"/>
          <w:szCs w:val="20"/>
          <w:color w:val="auto"/>
        </w:rPr>
      </w:pPr>
    </w:p>
    <w:p>
      <w:pPr>
        <w:ind w:left="140" w:right="380"/>
        <w:spacing w:after="0" w:line="248" w:lineRule="auto"/>
        <w:rPr>
          <w:sz w:val="20"/>
          <w:szCs w:val="20"/>
          <w:color w:val="auto"/>
        </w:rPr>
      </w:pPr>
      <w:r>
        <w:rPr>
          <w:rFonts w:ascii="Times New Roman" w:cs="Times New Roman" w:eastAsia="Times New Roman" w:hAnsi="Times New Roman"/>
          <w:sz w:val="14"/>
          <w:szCs w:val="14"/>
          <w:color w:val="auto"/>
        </w:rPr>
        <w:t>Currency translation adjustment, net of tax</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Unrealized gains</w:t>
      </w:r>
    </w:p>
    <w:p>
      <w:pPr>
        <w:spacing w:after="0" w:line="2" w:lineRule="exact"/>
        <w:rPr>
          <w:sz w:val="20"/>
          <w:szCs w:val="20"/>
          <w:color w:val="auto"/>
        </w:rPr>
      </w:pPr>
    </w:p>
    <w:p>
      <w:pPr>
        <w:ind w:left="140" w:right="660"/>
        <w:spacing w:after="0" w:line="225" w:lineRule="auto"/>
        <w:rPr>
          <w:sz w:val="20"/>
          <w:szCs w:val="20"/>
          <w:color w:val="auto"/>
        </w:rPr>
      </w:pPr>
      <w:r>
        <w:rPr>
          <w:rFonts w:ascii="Times New Roman" w:cs="Times New Roman" w:eastAsia="Times New Roman" w:hAnsi="Times New Roman"/>
          <w:sz w:val="14"/>
          <w:szCs w:val="14"/>
          <w:color w:val="auto"/>
        </w:rPr>
        <w:t>on available-for-sale securities</w:t>
      </w:r>
    </w:p>
    <w:p>
      <w:pPr>
        <w:spacing w:after="0" w:line="1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Net loss</w:t>
      </w:r>
    </w:p>
    <w:p>
      <w:pPr>
        <w:spacing w:after="0" w:line="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920" w:type="dxa"/>
            <w:vAlign w:val="bottom"/>
            <w:vMerge w:val="restart"/>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9"/>
              </w:rPr>
              <w:t>Total Bakkt</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0" w:type="dxa"/>
            <w:vAlign w:val="bottom"/>
            <w:gridSpan w:val="3"/>
            <w:vMerge w:val="restart"/>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Class V Common</w:t>
            </w: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40" w:type="dxa"/>
            <w:vAlign w:val="bottom"/>
            <w:gridSpan w:val="2"/>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1020" w:type="dxa"/>
            <w:vAlign w:val="bottom"/>
          </w:tcPr>
          <w:p>
            <w:pPr>
              <w:jc w:val="center"/>
              <w:ind w:right="69"/>
              <w:spacing w:after="0" w:line="145"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140" w:type="dxa"/>
            <w:vAlign w:val="bottom"/>
            <w:gridSpan w:val="2"/>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200" w:type="dxa"/>
            <w:vAlign w:val="bottom"/>
          </w:tcPr>
          <w:p>
            <w:pPr>
              <w:spacing w:after="0"/>
              <w:rPr>
                <w:sz w:val="12"/>
                <w:szCs w:val="12"/>
                <w:color w:val="auto"/>
              </w:rPr>
            </w:pPr>
          </w:p>
        </w:tc>
        <w:tc>
          <w:tcPr>
            <w:tcW w:w="640" w:type="dxa"/>
            <w:vAlign w:val="bottom"/>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7"/>
        </w:trPr>
        <w:tc>
          <w:tcPr>
            <w:tcW w:w="1800" w:type="dxa"/>
            <w:vAlign w:val="bottom"/>
            <w:gridSpan w:val="3"/>
            <w:vMerge w:val="restart"/>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4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jc w:val="right"/>
              <w:ind w:right="169"/>
              <w:spacing w:after="0" w:line="14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gridSpan w:val="2"/>
            <w:vMerge w:val="continue"/>
          </w:tcPr>
          <w:p>
            <w:pPr>
              <w:spacing w:after="0"/>
              <w:rPr>
                <w:sz w:val="12"/>
                <w:szCs w:val="12"/>
                <w:color w:val="auto"/>
              </w:rPr>
            </w:pPr>
          </w:p>
        </w:tc>
        <w:tc>
          <w:tcPr>
            <w:tcW w:w="1180" w:type="dxa"/>
            <w:vAlign w:val="bottom"/>
            <w:gridSpan w:val="2"/>
          </w:tcPr>
          <w:p>
            <w:pPr>
              <w:jc w:val="right"/>
              <w:ind w:right="29"/>
              <w:spacing w:after="0" w:line="14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8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800" w:type="dxa"/>
            <w:vAlign w:val="bottom"/>
            <w:tcBorders>
              <w:bottom w:val="single" w:sz="8" w:color="auto"/>
            </w:tcBorders>
            <w:gridSpan w:val="3"/>
            <w:vMerge w:val="continue"/>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3"/>
        </w:trPr>
        <w:tc>
          <w:tcPr>
            <w:tcW w:w="1160" w:type="dxa"/>
            <w:vAlign w:val="bottom"/>
            <w:tcBorders>
              <w:bottom w:val="single" w:sz="8" w:color="auto"/>
            </w:tcBorders>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11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3,793,837</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7,200,064</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799,683</w:t>
            </w:r>
          </w:p>
        </w:tc>
        <w:tc>
          <w:tcPr>
            <w:tcW w:w="2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(751,301)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48,282</w:t>
            </w:r>
          </w:p>
        </w:tc>
        <w:tc>
          <w:tcPr>
            <w:tcW w:w="2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87,432</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135,714</w:t>
            </w:r>
          </w:p>
        </w:tc>
        <w:tc>
          <w:tcPr>
            <w:tcW w:w="0" w:type="dxa"/>
            <w:vAlign w:val="bottom"/>
          </w:tcPr>
          <w:p>
            <w:pPr>
              <w:spacing w:after="0"/>
              <w:rPr>
                <w:sz w:val="1"/>
                <w:szCs w:val="1"/>
                <w:color w:val="auto"/>
              </w:rPr>
            </w:pPr>
          </w:p>
        </w:tc>
      </w:tr>
      <w:tr>
        <w:trPr>
          <w:trHeight w:val="200"/>
        </w:trPr>
        <w:tc>
          <w:tcPr>
            <w:tcW w:w="11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8,013</w:t>
            </w:r>
          </w:p>
        </w:tc>
        <w:tc>
          <w:tcPr>
            <w:tcW w:w="220" w:type="dxa"/>
            <w:vAlign w:val="bottom"/>
          </w:tcPr>
          <w:p>
            <w:pPr>
              <w:spacing w:after="0"/>
              <w:rPr>
                <w:sz w:val="17"/>
                <w:szCs w:val="17"/>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8,013</w:t>
            </w:r>
          </w:p>
        </w:tc>
        <w:tc>
          <w:tcPr>
            <w:tcW w:w="240" w:type="dxa"/>
            <w:vAlign w:val="bottom"/>
          </w:tcPr>
          <w:p>
            <w:pPr>
              <w:spacing w:after="0"/>
              <w:rPr>
                <w:sz w:val="17"/>
                <w:szCs w:val="17"/>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8,013</w:t>
            </w:r>
          </w:p>
        </w:tc>
        <w:tc>
          <w:tcPr>
            <w:tcW w:w="0" w:type="dxa"/>
            <w:vAlign w:val="bottom"/>
          </w:tcPr>
          <w:p>
            <w:pPr>
              <w:spacing w:after="0"/>
              <w:rPr>
                <w:sz w:val="1"/>
                <w:szCs w:val="1"/>
                <w:color w:val="auto"/>
              </w:rPr>
            </w:pPr>
          </w:p>
        </w:tc>
      </w:tr>
      <w:tr>
        <w:trPr>
          <w:trHeight w:val="481"/>
        </w:trPr>
        <w:tc>
          <w:tcPr>
            <w:tcW w:w="11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118,593</w:t>
            </w:r>
          </w:p>
        </w:tc>
        <w:tc>
          <w:tcPr>
            <w:tcW w:w="200" w:type="dxa"/>
            <w:vAlign w:val="bottom"/>
          </w:tcPr>
          <w:p>
            <w:pPr>
              <w:spacing w:after="0"/>
              <w:rPr>
                <w:sz w:val="24"/>
                <w:szCs w:val="24"/>
                <w:color w:val="auto"/>
              </w:rPr>
            </w:pP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(2,259)</w:t>
            </w:r>
          </w:p>
        </w:tc>
        <w:tc>
          <w:tcPr>
            <w:tcW w:w="220" w:type="dxa"/>
            <w:vAlign w:val="bottom"/>
          </w:tcPr>
          <w:p>
            <w:pPr>
              <w:spacing w:after="0"/>
              <w:rPr>
                <w:sz w:val="24"/>
                <w:szCs w:val="2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(2,259)</w:t>
            </w:r>
          </w:p>
        </w:tc>
        <w:tc>
          <w:tcPr>
            <w:tcW w:w="240" w:type="dxa"/>
            <w:vAlign w:val="bottom"/>
          </w:tcPr>
          <w:p>
            <w:pPr>
              <w:spacing w:after="0"/>
              <w:rPr>
                <w:sz w:val="24"/>
                <w:szCs w:val="24"/>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(2,259)</w:t>
            </w:r>
          </w:p>
        </w:tc>
        <w:tc>
          <w:tcPr>
            <w:tcW w:w="0" w:type="dxa"/>
            <w:vAlign w:val="bottom"/>
          </w:tcPr>
          <w:p>
            <w:pPr>
              <w:spacing w:after="0"/>
              <w:rPr>
                <w:sz w:val="1"/>
                <w:szCs w:val="1"/>
                <w:color w:val="auto"/>
              </w:rPr>
            </w:pPr>
          </w:p>
        </w:tc>
      </w:tr>
      <w:tr>
        <w:trPr>
          <w:trHeight w:val="334"/>
        </w:trPr>
        <w:tc>
          <w:tcPr>
            <w:tcW w:w="11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1,955,924</w:t>
            </w:r>
          </w:p>
        </w:tc>
        <w:tc>
          <w:tcPr>
            <w:tcW w:w="200" w:type="dxa"/>
            <w:vAlign w:val="bottom"/>
          </w:tcPr>
          <w:p>
            <w:pPr>
              <w:spacing w:after="0"/>
              <w:rPr>
                <w:sz w:val="24"/>
                <w:szCs w:val="24"/>
                <w:color w:val="auto"/>
              </w:rPr>
            </w:pP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1</w:t>
            </w: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11,268</w:t>
            </w:r>
          </w:p>
        </w:tc>
        <w:tc>
          <w:tcPr>
            <w:tcW w:w="220" w:type="dxa"/>
            <w:vAlign w:val="bottom"/>
          </w:tcPr>
          <w:p>
            <w:pPr>
              <w:spacing w:after="0"/>
              <w:rPr>
                <w:sz w:val="24"/>
                <w:szCs w:val="2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11,269</w:t>
            </w:r>
          </w:p>
        </w:tc>
        <w:tc>
          <w:tcPr>
            <w:tcW w:w="240" w:type="dxa"/>
            <w:vAlign w:val="bottom"/>
          </w:tcPr>
          <w:p>
            <w:pPr>
              <w:spacing w:after="0"/>
              <w:rPr>
                <w:sz w:val="24"/>
                <w:szCs w:val="24"/>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11,269</w:t>
            </w:r>
          </w:p>
        </w:tc>
        <w:tc>
          <w:tcPr>
            <w:tcW w:w="0" w:type="dxa"/>
            <w:vAlign w:val="bottom"/>
          </w:tcPr>
          <w:p>
            <w:pPr>
              <w:spacing w:after="0"/>
              <w:rPr>
                <w:sz w:val="1"/>
                <w:szCs w:val="1"/>
                <w:color w:val="auto"/>
              </w:rPr>
            </w:pPr>
          </w:p>
        </w:tc>
      </w:tr>
      <w:tr>
        <w:trPr>
          <w:trHeight w:val="334"/>
        </w:trPr>
        <w:tc>
          <w:tcPr>
            <w:tcW w:w="11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4,725</w:t>
            </w:r>
          </w:p>
        </w:tc>
        <w:tc>
          <w:tcPr>
            <w:tcW w:w="200" w:type="dxa"/>
            <w:vAlign w:val="bottom"/>
          </w:tcPr>
          <w:p>
            <w:pPr>
              <w:spacing w:after="0"/>
              <w:rPr>
                <w:sz w:val="24"/>
                <w:szCs w:val="24"/>
                <w:color w:val="auto"/>
              </w:rPr>
            </w:pP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(4,725)</w:t>
            </w:r>
          </w:p>
        </w:tc>
        <w:tc>
          <w:tcPr>
            <w:tcW w:w="1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63</w:t>
            </w:r>
          </w:p>
        </w:tc>
        <w:tc>
          <w:tcPr>
            <w:tcW w:w="220" w:type="dxa"/>
            <w:vAlign w:val="bottom"/>
          </w:tcPr>
          <w:p>
            <w:pPr>
              <w:spacing w:after="0"/>
              <w:rPr>
                <w:sz w:val="24"/>
                <w:szCs w:val="2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63</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34"/>
        </w:trPr>
        <w:tc>
          <w:tcPr>
            <w:tcW w:w="11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60" w:type="dxa"/>
            <w:vAlign w:val="bottom"/>
          </w:tcPr>
          <w:p>
            <w:pPr>
              <w:spacing w:after="0"/>
              <w:rPr>
                <w:sz w:val="24"/>
                <w:szCs w:val="24"/>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(160)</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0" w:type="dxa"/>
            <w:vAlign w:val="bottom"/>
          </w:tcPr>
          <w:p>
            <w:pPr>
              <w:spacing w:after="0"/>
              <w:rPr>
                <w:sz w:val="1"/>
                <w:szCs w:val="1"/>
                <w:color w:val="auto"/>
              </w:rPr>
            </w:pPr>
          </w:p>
        </w:tc>
      </w:tr>
      <w:tr>
        <w:trPr>
          <w:trHeight w:val="481"/>
        </w:trPr>
        <w:tc>
          <w:tcPr>
            <w:tcW w:w="11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60" w:type="dxa"/>
            <w:vAlign w:val="bottom"/>
          </w:tcPr>
          <w:p>
            <w:pPr>
              <w:spacing w:after="0"/>
              <w:rPr>
                <w:sz w:val="24"/>
                <w:szCs w:val="24"/>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(60)</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200"/>
        </w:trPr>
        <w:tc>
          <w:tcPr>
            <w:tcW w:w="11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(8,165)</w:t>
            </w:r>
          </w:p>
        </w:tc>
        <w:tc>
          <w:tcPr>
            <w:tcW w:w="160" w:type="dxa"/>
            <w:vAlign w:val="bottom"/>
          </w:tcPr>
          <w:p>
            <w:pPr>
              <w:spacing w:after="0"/>
              <w:rPr>
                <w:sz w:val="17"/>
                <w:szCs w:val="17"/>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(8,165)</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(13,110)</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(21,275)</w:t>
            </w:r>
          </w:p>
        </w:tc>
        <w:tc>
          <w:tcPr>
            <w:tcW w:w="0" w:type="dxa"/>
            <w:vAlign w:val="bottom"/>
          </w:tcPr>
          <w:p>
            <w:pPr>
              <w:spacing w:after="0"/>
              <w:rPr>
                <w:sz w:val="1"/>
                <w:szCs w:val="1"/>
                <w:color w:val="auto"/>
              </w:rPr>
            </w:pPr>
          </w:p>
        </w:tc>
      </w:tr>
      <w:tr>
        <w:trPr>
          <w:trHeight w:val="25"/>
        </w:trPr>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116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5,873,079</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1</w:t>
            </w: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7,195,339</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816,768</w:t>
            </w:r>
          </w:p>
        </w:tc>
        <w:tc>
          <w:tcPr>
            <w:tcW w:w="22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(759,466)</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56,983</w:t>
            </w:r>
          </w:p>
        </w:tc>
        <w:tc>
          <w:tcPr>
            <w:tcW w:w="24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73,900</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130,883</w:t>
            </w:r>
          </w:p>
        </w:tc>
        <w:tc>
          <w:tcPr>
            <w:tcW w:w="0" w:type="dxa"/>
            <w:vAlign w:val="bottom"/>
          </w:tcPr>
          <w:p>
            <w:pPr>
              <w:spacing w:after="0"/>
              <w:rPr>
                <w:sz w:val="1"/>
                <w:szCs w:val="1"/>
                <w:color w:val="auto"/>
              </w:rPr>
            </w:pPr>
          </w:p>
        </w:tc>
      </w:tr>
      <w:tr>
        <w:trPr>
          <w:trHeight w:val="200"/>
        </w:trPr>
        <w:tc>
          <w:tcPr>
            <w:tcW w:w="11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2,406</w:t>
            </w:r>
          </w:p>
        </w:tc>
        <w:tc>
          <w:tcPr>
            <w:tcW w:w="220" w:type="dxa"/>
            <w:vAlign w:val="bottom"/>
          </w:tcPr>
          <w:p>
            <w:pPr>
              <w:spacing w:after="0"/>
              <w:rPr>
                <w:sz w:val="17"/>
                <w:szCs w:val="17"/>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2,406</w:t>
            </w:r>
          </w:p>
        </w:tc>
        <w:tc>
          <w:tcPr>
            <w:tcW w:w="240" w:type="dxa"/>
            <w:vAlign w:val="bottom"/>
          </w:tcPr>
          <w:p>
            <w:pPr>
              <w:spacing w:after="0"/>
              <w:rPr>
                <w:sz w:val="17"/>
                <w:szCs w:val="17"/>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2,406</w:t>
            </w:r>
          </w:p>
        </w:tc>
        <w:tc>
          <w:tcPr>
            <w:tcW w:w="0" w:type="dxa"/>
            <w:vAlign w:val="bottom"/>
          </w:tcPr>
          <w:p>
            <w:pPr>
              <w:spacing w:after="0"/>
              <w:rPr>
                <w:sz w:val="1"/>
                <w:szCs w:val="1"/>
                <w:color w:val="auto"/>
              </w:rPr>
            </w:pPr>
          </w:p>
        </w:tc>
      </w:tr>
      <w:tr>
        <w:trPr>
          <w:trHeight w:val="481"/>
        </w:trPr>
        <w:tc>
          <w:tcPr>
            <w:tcW w:w="11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86,178</w:t>
            </w:r>
          </w:p>
        </w:tc>
        <w:tc>
          <w:tcPr>
            <w:tcW w:w="200" w:type="dxa"/>
            <w:vAlign w:val="bottom"/>
          </w:tcPr>
          <w:p>
            <w:pPr>
              <w:spacing w:after="0"/>
              <w:rPr>
                <w:sz w:val="24"/>
                <w:szCs w:val="24"/>
                <w:color w:val="auto"/>
              </w:rPr>
            </w:pP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0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(59)</w:t>
            </w:r>
          </w:p>
        </w:tc>
        <w:tc>
          <w:tcPr>
            <w:tcW w:w="220" w:type="dxa"/>
            <w:vAlign w:val="bottom"/>
          </w:tcPr>
          <w:p>
            <w:pPr>
              <w:spacing w:after="0"/>
              <w:rPr>
                <w:sz w:val="24"/>
                <w:szCs w:val="2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(59)</w:t>
            </w:r>
          </w:p>
        </w:tc>
        <w:tc>
          <w:tcPr>
            <w:tcW w:w="240" w:type="dxa"/>
            <w:vAlign w:val="bottom"/>
          </w:tcPr>
          <w:p>
            <w:pPr>
              <w:spacing w:after="0"/>
              <w:rPr>
                <w:sz w:val="24"/>
                <w:szCs w:val="24"/>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0" w:type="dxa"/>
            <w:vAlign w:val="bottom"/>
          </w:tcPr>
          <w:p>
            <w:pPr>
              <w:spacing w:after="0"/>
              <w:rPr>
                <w:sz w:val="1"/>
                <w:szCs w:val="1"/>
                <w:color w:val="auto"/>
              </w:rPr>
            </w:pPr>
          </w:p>
        </w:tc>
      </w:tr>
      <w:tr>
        <w:trPr>
          <w:trHeight w:val="200"/>
        </w:trPr>
        <w:tc>
          <w:tcPr>
            <w:tcW w:w="11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12</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11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350,881</w:t>
            </w:r>
          </w:p>
        </w:tc>
        <w:tc>
          <w:tcPr>
            <w:tcW w:w="200" w:type="dxa"/>
            <w:vAlign w:val="bottom"/>
          </w:tcPr>
          <w:p>
            <w:pPr>
              <w:spacing w:after="0"/>
              <w:rPr>
                <w:sz w:val="24"/>
                <w:szCs w:val="24"/>
                <w:color w:val="auto"/>
              </w:rPr>
            </w:pP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4,903</w:t>
            </w:r>
          </w:p>
        </w:tc>
        <w:tc>
          <w:tcPr>
            <w:tcW w:w="220" w:type="dxa"/>
            <w:vAlign w:val="bottom"/>
          </w:tcPr>
          <w:p>
            <w:pPr>
              <w:spacing w:after="0"/>
              <w:rPr>
                <w:sz w:val="24"/>
                <w:szCs w:val="2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4,903</w:t>
            </w:r>
          </w:p>
        </w:tc>
        <w:tc>
          <w:tcPr>
            <w:tcW w:w="240" w:type="dxa"/>
            <w:vAlign w:val="bottom"/>
          </w:tcPr>
          <w:p>
            <w:pPr>
              <w:spacing w:after="0"/>
              <w:rPr>
                <w:sz w:val="24"/>
                <w:szCs w:val="24"/>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4,903</w:t>
            </w:r>
          </w:p>
        </w:tc>
        <w:tc>
          <w:tcPr>
            <w:tcW w:w="0" w:type="dxa"/>
            <w:vAlign w:val="bottom"/>
          </w:tcPr>
          <w:p>
            <w:pPr>
              <w:spacing w:after="0"/>
              <w:rPr>
                <w:sz w:val="1"/>
                <w:szCs w:val="1"/>
                <w:color w:val="auto"/>
              </w:rPr>
            </w:pPr>
          </w:p>
        </w:tc>
      </w:tr>
      <w:tr>
        <w:trPr>
          <w:trHeight w:val="334"/>
        </w:trPr>
        <w:tc>
          <w:tcPr>
            <w:tcW w:w="11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398</w:t>
            </w:r>
          </w:p>
        </w:tc>
        <w:tc>
          <w:tcPr>
            <w:tcW w:w="200" w:type="dxa"/>
            <w:vAlign w:val="bottom"/>
          </w:tcPr>
          <w:p>
            <w:pPr>
              <w:spacing w:after="0"/>
              <w:rPr>
                <w:sz w:val="24"/>
                <w:szCs w:val="24"/>
                <w:color w:val="auto"/>
              </w:rPr>
            </w:pP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(398)</w:t>
            </w:r>
          </w:p>
        </w:tc>
        <w:tc>
          <w:tcPr>
            <w:tcW w:w="1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24"/>
                <w:szCs w:val="2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5</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34"/>
        </w:trPr>
        <w:tc>
          <w:tcPr>
            <w:tcW w:w="11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60" w:type="dxa"/>
            <w:vAlign w:val="bottom"/>
          </w:tcPr>
          <w:p>
            <w:pPr>
              <w:spacing w:after="0"/>
              <w:rPr>
                <w:sz w:val="24"/>
                <w:szCs w:val="24"/>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(92)</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0" w:type="dxa"/>
            <w:vAlign w:val="bottom"/>
          </w:tcPr>
          <w:p>
            <w:pPr>
              <w:spacing w:after="0"/>
              <w:rPr>
                <w:sz w:val="1"/>
                <w:szCs w:val="1"/>
                <w:color w:val="auto"/>
              </w:rPr>
            </w:pPr>
          </w:p>
        </w:tc>
      </w:tr>
      <w:tr>
        <w:trPr>
          <w:trHeight w:val="481"/>
        </w:trPr>
        <w:tc>
          <w:tcPr>
            <w:tcW w:w="11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24"/>
                <w:szCs w:val="24"/>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8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72</w:t>
            </w:r>
          </w:p>
        </w:tc>
        <w:tc>
          <w:tcPr>
            <w:tcW w:w="160" w:type="dxa"/>
            <w:vAlign w:val="bottom"/>
          </w:tcPr>
          <w:p>
            <w:pPr>
              <w:spacing w:after="0"/>
              <w:rPr>
                <w:sz w:val="24"/>
                <w:szCs w:val="24"/>
                <w:color w:val="auto"/>
              </w:rPr>
            </w:pPr>
          </w:p>
        </w:tc>
        <w:tc>
          <w:tcPr>
            <w:tcW w:w="92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72</w:t>
            </w:r>
          </w:p>
        </w:tc>
        <w:tc>
          <w:tcPr>
            <w:tcW w:w="240" w:type="dxa"/>
            <w:vAlign w:val="bottom"/>
          </w:tcPr>
          <w:p>
            <w:pPr>
              <w:spacing w:after="0"/>
              <w:rPr>
                <w:sz w:val="24"/>
                <w:szCs w:val="24"/>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85</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200"/>
        </w:trPr>
        <w:tc>
          <w:tcPr>
            <w:tcW w:w="11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7"/>
                <w:szCs w:val="17"/>
                <w:color w:val="auto"/>
              </w:rPr>
            </w:pPr>
          </w:p>
        </w:tc>
        <w:tc>
          <w:tcPr>
            <w:tcW w:w="4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8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(16,424)</w:t>
            </w:r>
          </w:p>
        </w:tc>
        <w:tc>
          <w:tcPr>
            <w:tcW w:w="160" w:type="dxa"/>
            <w:vAlign w:val="bottom"/>
          </w:tcPr>
          <w:p>
            <w:pPr>
              <w:spacing w:after="0"/>
              <w:rPr>
                <w:sz w:val="17"/>
                <w:szCs w:val="17"/>
                <w:color w:val="auto"/>
              </w:rPr>
            </w:pPr>
          </w:p>
        </w:tc>
        <w:tc>
          <w:tcPr>
            <w:tcW w:w="10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(16,424)</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(19,088)</w:t>
            </w: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(35,512)</w:t>
            </w:r>
          </w:p>
        </w:tc>
        <w:tc>
          <w:tcPr>
            <w:tcW w:w="0" w:type="dxa"/>
            <w:vAlign w:val="bottom"/>
          </w:tcPr>
          <w:p>
            <w:pPr>
              <w:spacing w:after="0"/>
              <w:rPr>
                <w:sz w:val="1"/>
                <w:szCs w:val="1"/>
                <w:color w:val="auto"/>
              </w:rPr>
            </w:pPr>
          </w:p>
        </w:tc>
      </w:tr>
      <w:tr>
        <w:trPr>
          <w:trHeight w:val="25"/>
        </w:trPr>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7"/>
        </w:trPr>
        <w:tc>
          <w:tcPr>
            <w:tcW w:w="116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6,310,548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1</w:t>
            </w:r>
          </w:p>
        </w:tc>
        <w:tc>
          <w:tcPr>
            <w:tcW w:w="9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7,194,941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824,023</w:t>
            </w:r>
          </w:p>
        </w:tc>
        <w:tc>
          <w:tcPr>
            <w:tcW w:w="22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(775,890)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(341)</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47,794</w:t>
            </w:r>
          </w:p>
        </w:tc>
        <w:tc>
          <w:tcPr>
            <w:tcW w:w="24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54,785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102,579</w:t>
            </w:r>
          </w:p>
        </w:tc>
        <w:tc>
          <w:tcPr>
            <w:tcW w:w="0" w:type="dxa"/>
            <w:vAlign w:val="bottom"/>
          </w:tcPr>
          <w:p>
            <w:pPr>
              <w:spacing w:after="0"/>
              <w:rPr>
                <w:sz w:val="1"/>
                <w:szCs w:val="1"/>
                <w:color w:val="auto"/>
              </w:rPr>
            </w:pPr>
          </w:p>
        </w:tc>
      </w:tr>
      <w:tr>
        <w:trPr>
          <w:trHeight w:val="27"/>
        </w:trPr>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-1125220</wp:posOffset>
            </wp:positionH>
            <wp:positionV relativeFrom="paragraph">
              <wp:posOffset>-3723005</wp:posOffset>
            </wp:positionV>
            <wp:extent cx="7133590" cy="2120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3590" cy="212090"/>
                    </a:xfrm>
                    <a:prstGeom prst="rect">
                      <a:avLst/>
                    </a:prstGeom>
                    <a:noFill/>
                  </pic:spPr>
                </pic:pic>
              </a:graphicData>
            </a:graphic>
          </wp:anchor>
        </w:drawing>
        <w:drawing>
          <wp:anchor simplePos="0" relativeHeight="251657728" behindDoc="1" locked="0" layoutInCell="0" allowOverlap="1">
            <wp:simplePos x="0" y="0"/>
            <wp:positionH relativeFrom="column">
              <wp:posOffset>-1125220</wp:posOffset>
            </wp:positionH>
            <wp:positionV relativeFrom="paragraph">
              <wp:posOffset>-3383915</wp:posOffset>
            </wp:positionV>
            <wp:extent cx="7133590" cy="305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3590" cy="305435"/>
                    </a:xfrm>
                    <a:prstGeom prst="rect">
                      <a:avLst/>
                    </a:prstGeom>
                    <a:noFill/>
                  </pic:spPr>
                </pic:pic>
              </a:graphicData>
            </a:graphic>
          </wp:anchor>
        </w:drawing>
        <w:drawing>
          <wp:anchor simplePos="0" relativeHeight="251657728" behindDoc="1" locked="0" layoutInCell="0" allowOverlap="1">
            <wp:simplePos x="0" y="0"/>
            <wp:positionH relativeFrom="column">
              <wp:posOffset>-1125220</wp:posOffset>
            </wp:positionH>
            <wp:positionV relativeFrom="paragraph">
              <wp:posOffset>-2866390</wp:posOffset>
            </wp:positionV>
            <wp:extent cx="7133590" cy="2120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3590" cy="212090"/>
                    </a:xfrm>
                    <a:prstGeom prst="rect">
                      <a:avLst/>
                    </a:prstGeom>
                    <a:noFill/>
                  </pic:spPr>
                </pic:pic>
              </a:graphicData>
            </a:graphic>
          </wp:anchor>
        </w:drawing>
        <w:drawing>
          <wp:anchor simplePos="0" relativeHeight="251657728" behindDoc="1" locked="0" layoutInCell="0" allowOverlap="1">
            <wp:simplePos x="0" y="0"/>
            <wp:positionH relativeFrom="column">
              <wp:posOffset>-1125220</wp:posOffset>
            </wp:positionH>
            <wp:positionV relativeFrom="paragraph">
              <wp:posOffset>-2442210</wp:posOffset>
            </wp:positionV>
            <wp:extent cx="7133590" cy="305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3590" cy="305435"/>
                    </a:xfrm>
                    <a:prstGeom prst="rect">
                      <a:avLst/>
                    </a:prstGeom>
                    <a:noFill/>
                  </pic:spPr>
                </pic:pic>
              </a:graphicData>
            </a:graphic>
          </wp:anchor>
        </w:drawing>
        <w:drawing>
          <wp:anchor simplePos="0" relativeHeight="251657728" behindDoc="1" locked="0" layoutInCell="0" allowOverlap="1">
            <wp:simplePos x="0" y="0"/>
            <wp:positionH relativeFrom="column">
              <wp:posOffset>-1125220</wp:posOffset>
            </wp:positionH>
            <wp:positionV relativeFrom="paragraph">
              <wp:posOffset>-2009775</wp:posOffset>
            </wp:positionV>
            <wp:extent cx="7133590" cy="2120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3590" cy="212090"/>
                    </a:xfrm>
                    <a:prstGeom prst="rect">
                      <a:avLst/>
                    </a:prstGeom>
                    <a:noFill/>
                  </pic:spPr>
                </pic:pic>
              </a:graphicData>
            </a:graphic>
          </wp:anchor>
        </w:drawing>
        <w:drawing>
          <wp:anchor simplePos="0" relativeHeight="251657728" behindDoc="1" locked="0" layoutInCell="0" allowOverlap="1">
            <wp:simplePos x="0" y="0"/>
            <wp:positionH relativeFrom="column">
              <wp:posOffset>-1125220</wp:posOffset>
            </wp:positionH>
            <wp:positionV relativeFrom="paragraph">
              <wp:posOffset>-1670685</wp:posOffset>
            </wp:positionV>
            <wp:extent cx="7133590" cy="305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3590" cy="305435"/>
                    </a:xfrm>
                    <a:prstGeom prst="rect">
                      <a:avLst/>
                    </a:prstGeom>
                    <a:noFill/>
                  </pic:spPr>
                </pic:pic>
              </a:graphicData>
            </a:graphic>
          </wp:anchor>
        </w:drawing>
        <w:drawing>
          <wp:anchor simplePos="0" relativeHeight="251657728" behindDoc="1" locked="0" layoutInCell="0" allowOverlap="1">
            <wp:simplePos x="0" y="0"/>
            <wp:positionH relativeFrom="column">
              <wp:posOffset>-1125220</wp:posOffset>
            </wp:positionH>
            <wp:positionV relativeFrom="paragraph">
              <wp:posOffset>-1237615</wp:posOffset>
            </wp:positionV>
            <wp:extent cx="7133590" cy="212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3590" cy="212090"/>
                    </a:xfrm>
                    <a:prstGeom prst="rect">
                      <a:avLst/>
                    </a:prstGeom>
                    <a:noFill/>
                  </pic:spPr>
                </pic:pic>
              </a:graphicData>
            </a:graphic>
          </wp:anchor>
        </w:drawing>
        <w:drawing>
          <wp:anchor simplePos="0" relativeHeight="251657728" behindDoc="1" locked="0" layoutInCell="0" allowOverlap="1">
            <wp:simplePos x="0" y="0"/>
            <wp:positionH relativeFrom="column">
              <wp:posOffset>-1125220</wp:posOffset>
            </wp:positionH>
            <wp:positionV relativeFrom="paragraph">
              <wp:posOffset>-813435</wp:posOffset>
            </wp:positionV>
            <wp:extent cx="7133590" cy="2120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3590" cy="212090"/>
                    </a:xfrm>
                    <a:prstGeom prst="rect">
                      <a:avLst/>
                    </a:prstGeom>
                    <a:noFill/>
                  </pic:spPr>
                </pic:pic>
              </a:graphicData>
            </a:graphic>
          </wp:anchor>
        </w:drawing>
        <w:drawing>
          <wp:anchor simplePos="0" relativeHeight="251657728" behindDoc="1" locked="0" layoutInCell="0" allowOverlap="1">
            <wp:simplePos x="0" y="0"/>
            <wp:positionH relativeFrom="column">
              <wp:posOffset>-1125220</wp:posOffset>
            </wp:positionH>
            <wp:positionV relativeFrom="paragraph">
              <wp:posOffset>-296545</wp:posOffset>
            </wp:positionV>
            <wp:extent cx="7133590" cy="1270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3590" cy="1270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40" w:space="40"/>
            <w:col w:w="9460"/>
          </w:cols>
          <w:pgMar w:left="320" w:top="108" w:right="339" w:bottom="1440" w:gutter="0" w:footer="0" w:header="0"/>
          <w:type w:val="continuous"/>
        </w:sectPr>
      </w:pPr>
    </w:p>
    <w:p>
      <w:pPr>
        <w:spacing w:after="0" w:line="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Bakkt Holdings, Inc.</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Consolidated Statements of Cash Flows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(Unaudited)</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0" w:type="dxa"/>
            <w:vAlign w:val="bottom"/>
          </w:tcPr>
          <w:p>
            <w:pPr>
              <w:spacing w:after="0"/>
              <w:rPr>
                <w:sz w:val="13"/>
                <w:szCs w:val="13"/>
                <w:color w:val="auto"/>
              </w:rPr>
            </w:pPr>
          </w:p>
        </w:tc>
        <w:tc>
          <w:tcPr>
            <w:tcW w:w="1340" w:type="dxa"/>
            <w:vAlign w:val="bottom"/>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2"/>
        </w:trPr>
        <w:tc>
          <w:tcPr>
            <w:tcW w:w="8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6"/>
                <w:szCs w:val="16"/>
                <w:color w:val="auto"/>
              </w:rPr>
            </w:pPr>
          </w:p>
        </w:tc>
        <w:tc>
          <w:tcPr>
            <w:tcW w:w="134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162"/>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r>
      <w:tr>
        <w:trPr>
          <w:trHeight w:val="25"/>
        </w:trPr>
        <w:tc>
          <w:tcPr>
            <w:tcW w:w="8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(13,915)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(56,787)</w:t>
            </w:r>
          </w:p>
        </w:tc>
      </w:tr>
      <w:tr>
        <w:trPr>
          <w:trHeight w:val="193"/>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08"/>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w:t>
            </w:r>
          </w:p>
        </w:tc>
      </w:tr>
      <w:tr>
        <w:trPr>
          <w:trHeight w:val="193"/>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Non-cash lease expense</w:t>
            </w:r>
          </w:p>
        </w:tc>
        <w:tc>
          <w:tcPr>
            <w:tcW w:w="140" w:type="dxa"/>
            <w:vAlign w:val="bottom"/>
          </w:tcPr>
          <w:p>
            <w:pPr>
              <w:spacing w:after="0"/>
              <w:rPr>
                <w:sz w:val="16"/>
                <w:szCs w:val="16"/>
                <w:color w:val="auto"/>
              </w:rPr>
            </w:pPr>
          </w:p>
        </w:tc>
        <w:tc>
          <w:tcPr>
            <w:tcW w:w="13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566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w:t>
            </w:r>
          </w:p>
        </w:tc>
      </w:tr>
      <w:tr>
        <w:trPr>
          <w:trHeight w:val="208"/>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9,681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10,419</w:t>
            </w:r>
          </w:p>
        </w:tc>
      </w:tr>
      <w:tr>
        <w:trPr>
          <w:trHeight w:val="193"/>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Impairment of long-lived assets</w:t>
            </w:r>
          </w:p>
        </w:tc>
        <w:tc>
          <w:tcPr>
            <w:tcW w:w="14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r>
      <w:tr>
        <w:trPr>
          <w:trHeight w:val="208"/>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sale of Bakkt Trust</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lease assignment</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 loss from change in fair value of warrant liability</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(23,644)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6,068</w:t>
            </w:r>
          </w:p>
        </w:tc>
      </w:tr>
      <w:tr>
        <w:trPr>
          <w:trHeight w:val="193"/>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6"/>
                <w:szCs w:val="16"/>
                <w:color w:val="auto"/>
              </w:rPr>
            </w:pPr>
          </w:p>
        </w:tc>
        <w:tc>
          <w:tcPr>
            <w:tcW w:w="13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08"/>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193"/>
        </w:trPr>
        <w:tc>
          <w:tcPr>
            <w:tcW w:w="81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140" w:type="dxa"/>
            <w:vAlign w:val="bottom"/>
          </w:tcPr>
          <w:p>
            <w:pPr>
              <w:spacing w:after="0"/>
              <w:rPr>
                <w:sz w:val="16"/>
                <w:szCs w:val="16"/>
                <w:color w:val="auto"/>
              </w:rPr>
            </w:pPr>
          </w:p>
        </w:tc>
        <w:tc>
          <w:tcPr>
            <w:tcW w:w="13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1,672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6,035</w:t>
            </w:r>
          </w:p>
        </w:tc>
      </w:tr>
      <w:tr>
        <w:trPr>
          <w:trHeight w:val="208"/>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insurance</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7,105</w:t>
            </w:r>
          </w:p>
        </w:tc>
      </w:tr>
      <w:tr>
        <w:trPr>
          <w:trHeight w:val="193"/>
        </w:trPr>
        <w:tc>
          <w:tcPr>
            <w:tcW w:w="81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140" w:type="dxa"/>
            <w:vAlign w:val="bottom"/>
          </w:tcPr>
          <w:p>
            <w:pPr>
              <w:spacing w:after="0"/>
              <w:rPr>
                <w:sz w:val="16"/>
                <w:szCs w:val="16"/>
                <w:color w:val="auto"/>
              </w:rPr>
            </w:pPr>
          </w:p>
        </w:tc>
        <w:tc>
          <w:tcPr>
            <w:tcW w:w="13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3,592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(15,739)</w:t>
            </w:r>
          </w:p>
        </w:tc>
      </w:tr>
      <w:tr>
        <w:trPr>
          <w:trHeight w:val="208"/>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Due to related party</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w:t>
            </w:r>
          </w:p>
        </w:tc>
      </w:tr>
      <w:tr>
        <w:trPr>
          <w:trHeight w:val="193"/>
        </w:trPr>
        <w:tc>
          <w:tcPr>
            <w:tcW w:w="81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revenue</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(2,410)</w:t>
            </w:r>
          </w:p>
        </w:tc>
      </w:tr>
      <w:tr>
        <w:trPr>
          <w:trHeight w:val="208"/>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(1,934)</w:t>
            </w:r>
          </w:p>
        </w:tc>
      </w:tr>
      <w:tr>
        <w:trPr>
          <w:trHeight w:val="193"/>
        </w:trPr>
        <w:tc>
          <w:tcPr>
            <w:tcW w:w="814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Customer funds payable</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(67,230)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20,405</w:t>
            </w:r>
          </w:p>
        </w:tc>
      </w:tr>
      <w:tr>
        <w:trPr>
          <w:trHeight w:val="208"/>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Assets and liabilities of businesses held for sale</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4"/>
        </w:trPr>
        <w:tc>
          <w:tcPr>
            <w:tcW w:w="8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Other assets and liabilities</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(1,585)</w:t>
            </w:r>
          </w:p>
        </w:tc>
      </w:tr>
      <w:tr>
        <w:trPr>
          <w:trHeight w:val="20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(95,929)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(27,540)</w:t>
            </w:r>
          </w:p>
        </w:tc>
      </w:tr>
      <w:tr>
        <w:trPr>
          <w:trHeight w:val="174"/>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7"/>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Capitalized internal-use software development costs and other capital expenditures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(2,234)</w:t>
            </w:r>
          </w:p>
        </w:tc>
      </w:tr>
      <w:tr>
        <w:trPr>
          <w:trHeight w:val="193"/>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Purchase of available-for-sale securities</w:t>
            </w:r>
          </w:p>
        </w:tc>
        <w:tc>
          <w:tcPr>
            <w:tcW w:w="140" w:type="dxa"/>
            <w:vAlign w:val="bottom"/>
          </w:tcPr>
          <w:p>
            <w:pPr>
              <w:spacing w:after="0"/>
              <w:rPr>
                <w:sz w:val="16"/>
                <w:szCs w:val="16"/>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(17,996)</w:t>
            </w:r>
          </w:p>
        </w:tc>
      </w:tr>
      <w:tr>
        <w:trPr>
          <w:trHeight w:val="208"/>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the settlement of available-for-sale securities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22,223</w:t>
            </w:r>
          </w:p>
        </w:tc>
      </w:tr>
      <w:tr>
        <w:trPr>
          <w:trHeight w:val="194"/>
        </w:trPr>
        <w:tc>
          <w:tcPr>
            <w:tcW w:w="8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Proceeds from Sale of Bakkt Trust</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4,518</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4,369</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1,993</w:t>
            </w:r>
          </w:p>
        </w:tc>
      </w:tr>
      <w:tr>
        <w:trPr>
          <w:trHeight w:val="174"/>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7"/>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Concurrent Offerings, net of issuance costs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46,505</w:t>
            </w:r>
          </w:p>
        </w:tc>
      </w:tr>
      <w:tr>
        <w:trPr>
          <w:trHeight w:val="193"/>
        </w:trPr>
        <w:tc>
          <w:tcPr>
            <w:tcW w:w="81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the exercise of warrants</w:t>
            </w:r>
          </w:p>
        </w:tc>
        <w:tc>
          <w:tcPr>
            <w:tcW w:w="140" w:type="dxa"/>
            <w:vAlign w:val="bottom"/>
          </w:tcPr>
          <w:p>
            <w:pPr>
              <w:spacing w:after="0"/>
              <w:rPr>
                <w:sz w:val="16"/>
                <w:szCs w:val="16"/>
                <w:color w:val="auto"/>
              </w:rPr>
            </w:pPr>
          </w:p>
        </w:tc>
        <w:tc>
          <w:tcPr>
            <w:tcW w:w="13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208"/>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Withholding tax payments on net share settlements on equity awards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(2,318)</w:t>
            </w:r>
          </w:p>
        </w:tc>
      </w:tr>
      <w:tr>
        <w:trPr>
          <w:trHeight w:val="193"/>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Proceeds from borrowings on revolving credit facility</w:t>
            </w:r>
          </w:p>
        </w:tc>
        <w:tc>
          <w:tcPr>
            <w:tcW w:w="140" w:type="dxa"/>
            <w:vAlign w:val="bottom"/>
          </w:tcPr>
          <w:p>
            <w:pPr>
              <w:spacing w:after="0"/>
              <w:rPr>
                <w:sz w:val="16"/>
                <w:szCs w:val="16"/>
                <w:color w:val="auto"/>
              </w:rPr>
            </w:pPr>
          </w:p>
        </w:tc>
        <w:tc>
          <w:tcPr>
            <w:tcW w:w="13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Repayments on revolving credit facility</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paid for financing fees</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8"/>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Proceeds from issuance of convertible debentures</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23,750</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7"/>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21,264</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44,190</w:t>
            </w:r>
          </w:p>
        </w:tc>
      </w:tr>
      <w:tr>
        <w:trPr>
          <w:trHeight w:val="20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Effect of exchange rate changes</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915</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r>
      <w:tr>
        <w:trPr>
          <w:trHeight w:val="186"/>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(decrease) increase in cash, cash equivalents, restricted cash, customer funds and deposits</w:t>
            </w:r>
          </w:p>
        </w:tc>
        <w:tc>
          <w:tcPr>
            <w:tcW w:w="1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(69,381)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18,023</w:t>
            </w:r>
          </w:p>
        </w:tc>
      </w:tr>
      <w:tr>
        <w:trPr>
          <w:trHeight w:val="208"/>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restricted cash, customer funds and deposits at the beginning of the period</w:t>
            </w: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153,746</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118,498</w:t>
            </w:r>
          </w:p>
        </w:tc>
      </w:tr>
      <w:tr>
        <w:trPr>
          <w:trHeight w:val="167"/>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restricted cash, customer funds and deposits at the end of the period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84,365</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136,521</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67"/>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Supplemental disclosure of non-cash investing and financing activity:</w:t>
            </w: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93"/>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Capitalized internal-use software development costs and other capital expenditures included in accounts payable and accrued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r>
      <w:tr>
        <w:trPr>
          <w:trHeight w:val="208"/>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Reconciliation of cash, cash equivalents, restricted cash, customer funds and deposits to consolidated balance sheets: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193"/>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43,493</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47,499</w:t>
            </w:r>
          </w:p>
        </w:tc>
      </w:tr>
      <w:tr>
        <w:trPr>
          <w:trHeight w:val="208"/>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17,965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34,031</w:t>
            </w:r>
          </w:p>
        </w:tc>
      </w:tr>
      <w:tr>
        <w:trPr>
          <w:trHeight w:val="193"/>
        </w:trPr>
        <w:tc>
          <w:tcPr>
            <w:tcW w:w="81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Customer funds</w:t>
            </w:r>
          </w:p>
        </w:tc>
        <w:tc>
          <w:tcPr>
            <w:tcW w:w="140" w:type="dxa"/>
            <w:vAlign w:val="bottom"/>
          </w:tcPr>
          <w:p>
            <w:pPr>
              <w:spacing w:after="0"/>
              <w:rPr>
                <w:sz w:val="16"/>
                <w:szCs w:val="16"/>
                <w:color w:val="auto"/>
              </w:rPr>
            </w:pPr>
          </w:p>
        </w:tc>
        <w:tc>
          <w:tcPr>
            <w:tcW w:w="13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21,336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53,330</w:t>
            </w:r>
          </w:p>
        </w:tc>
      </w:tr>
      <w:tr>
        <w:trPr>
          <w:trHeight w:val="20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Deposits (Note 5)</w:t>
            </w:r>
          </w:p>
        </w:tc>
        <w:tc>
          <w:tcPr>
            <w:tcW w:w="1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1,571</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w:t>
            </w:r>
          </w:p>
        </w:tc>
      </w:tr>
      <w:tr>
        <w:trPr>
          <w:trHeight w:val="200"/>
        </w:trPr>
        <w:tc>
          <w:tcPr>
            <w:tcW w:w="8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restricted cash and customer funds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84,365</w:t>
            </w:r>
          </w:p>
        </w:tc>
        <w:tc>
          <w:tcPr>
            <w:tcW w:w="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136,521</w:t>
            </w:r>
          </w:p>
        </w:tc>
      </w:tr>
      <w:tr>
        <w:trPr>
          <w:trHeight w:val="20"/>
        </w:trPr>
        <w:tc>
          <w:tcPr>
            <w:tcW w:w="8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Bakkt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(Unaudited)</w:t>
      </w:r>
    </w:p>
    <w:p>
      <w:pPr>
        <w:spacing w:after="0" w:line="198" w:lineRule="exact"/>
        <w:rPr>
          <w:sz w:val="20"/>
          <w:szCs w:val="20"/>
          <w:color w:val="auto"/>
        </w:rPr>
      </w:pPr>
    </w:p>
    <w:p>
      <w:pPr>
        <w:ind w:right="7760" w:firstLine="7"/>
        <w:spacing w:after="0" w:line="505" w:lineRule="auto"/>
        <w:tabs>
          <w:tab w:leader="none" w:pos="3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Business Organization</w:t>
      </w:r>
    </w:p>
    <w:p>
      <w:pPr>
        <w:spacing w:after="0" w:line="1"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VPC Impact Acquisition Holdings (“VIH”) was a blank check company incorporated as a Cayman Islands exempted company on July 31, 2020. VIH was incorporated for the purpose of effecting a merger, share exchange, asset acquisition, share purchase, reorganization or similar business combination with one or more businesses or entities.</w:t>
      </w:r>
    </w:p>
    <w:p>
      <w:pPr>
        <w:spacing w:after="0" w:line="18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On October 15, 2021 (the “Closing Date”), VIH and Bakkt Opco Holdings, LLC (then known as Bakkt Holdings, LLC, “Opco”) and its operating subsidiaries consummated a business combination (the “VIH Business Combination”) contemplated by the definitive Agreement and Plan of Merger entered into on January 11, 2021 (as amended, the “Merger Agreement”). In connection with the VIH Business Combination, VIH changed its name to “Bakkt Holdings, Inc.” and changed its jurisdiction of incorporation from the Cayman Islands to the State of Delaware (the “Domestication”).</w:t>
      </w:r>
    </w:p>
    <w:p>
      <w:pPr>
        <w:spacing w:after="0" w:line="191"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Unless the context otherwise provides, “we,” “us,” “our,” “Bakkt,” the “Company” and like terms refer to Bakkt Holdings, Inc. and its subsidiaries, including Opco.</w:t>
      </w:r>
    </w:p>
    <w:p>
      <w:pPr>
        <w:spacing w:after="0" w:line="177"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Immediately following the Domestication, we became organized in an umbrella partnership corporation, or “up-C,” structure in which substantially all of our assets and business are held by Opco, and our only direct assets consist of common units in Opco (“Opco Common Units”), which are non-voting interests in Opco, and the managing member interest in Opco.</w:t>
      </w:r>
    </w:p>
    <w:p>
      <w:pPr>
        <w:spacing w:after="0" w:line="170" w:lineRule="exact"/>
        <w:rPr>
          <w:sz w:val="20"/>
          <w:szCs w:val="20"/>
          <w:color w:val="auto"/>
        </w:rPr>
      </w:pPr>
    </w:p>
    <w:p>
      <w:pPr>
        <w:jc w:val="both"/>
        <w:ind w:firstLine="641"/>
        <w:spacing w:after="0" w:line="297" w:lineRule="auto"/>
        <w:rPr>
          <w:sz w:val="20"/>
          <w:szCs w:val="20"/>
          <w:color w:val="auto"/>
        </w:rPr>
      </w:pPr>
      <w:r>
        <w:rPr>
          <w:rFonts w:ascii="Times New Roman" w:cs="Times New Roman" w:eastAsia="Times New Roman" w:hAnsi="Times New Roman"/>
          <w:sz w:val="18"/>
          <w:szCs w:val="18"/>
          <w:color w:val="auto"/>
        </w:rPr>
        <w:t>In connection with the VIH Business Combination, a portion of VIH shares were exchanged for cash for shareholders who elected to execute their redemption right. The remaining VIH shares were exchanged for newly issued shares of our Class A Common Stock (as defined below). Additionally, all outstanding membership interests and rights to acquire membership interests in Opco were exchanged for Opco Common Units and an equal number of newly issued shares of our Class V Common Stock (as defined below). The existing owners of Opco other than Bakkt are considered noncontrolling interests in the accompanying consolidated financial statements.</w:t>
      </w:r>
    </w:p>
    <w:p>
      <w:pPr>
        <w:spacing w:after="0" w:line="175"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On April 1, 2023 we completed the acquisition of 100% of the ownership interests of Apex Crypto LLC ("Apex Crypto") and subsequently changed the name of Apex Crypto to Bakkt Crypto Solutions, LLC ("Bakkt Crypto Solutions"), effective June 12, 2023. On March 20, 2024, Bakkt Crypto Solutions merged with and into Bakkt Marketplace, LLC ("Bakkt Marketplace"), with Bakkt Marketplace as the surviving entity in the merger. Bakkt Marketplace was then renamed to Bakkt Crypto Solutions, LLC ("Bakkt Crypto").</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provide, or are working to provide, simplified solutions focused in the following areas: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Crypto</w:t>
      </w:r>
    </w:p>
    <w:p>
      <w:pPr>
        <w:spacing w:after="0" w:line="26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8"/>
          <w:szCs w:val="18"/>
          <w:b w:val="1"/>
          <w:bCs w:val="1"/>
          <w:i w:val="1"/>
          <w:iCs w:val="1"/>
          <w:color w:val="0C0C0C"/>
        </w:rPr>
        <w:t xml:space="preserve">Trading. </w:t>
      </w:r>
      <w:r>
        <w:rPr>
          <w:rFonts w:ascii="Times New Roman" w:cs="Times New Roman" w:eastAsia="Times New Roman" w:hAnsi="Times New Roman"/>
          <w:sz w:val="18"/>
          <w:szCs w:val="18"/>
          <w:color w:val="0C0C0C"/>
        </w:rPr>
        <w:t>Our platform provides customers with the ability to buy, sell and store crypto via application programming interfaces or embedded web experience.</w:t>
      </w:r>
      <w:r>
        <w:rPr>
          <w:rFonts w:ascii="Times New Roman" w:cs="Times New Roman" w:eastAsia="Times New Roman" w:hAnsi="Times New Roman"/>
          <w:sz w:val="18"/>
          <w:szCs w:val="18"/>
          <w:b w:val="1"/>
          <w:bCs w:val="1"/>
          <w:i w:val="1"/>
          <w:iCs w:val="1"/>
          <w:color w:val="0C0C0C"/>
        </w:rPr>
        <w:t xml:space="preserve"> </w:t>
      </w:r>
      <w:r>
        <w:rPr>
          <w:rFonts w:ascii="Times New Roman" w:cs="Times New Roman" w:eastAsia="Times New Roman" w:hAnsi="Times New Roman"/>
          <w:sz w:val="18"/>
          <w:szCs w:val="18"/>
          <w:color w:val="0C0C0C"/>
        </w:rPr>
        <w:t xml:space="preserve">We enable clients in various industries to provide their customers with the ability to transact in crypto directly in their trusted environments. As of </w:t>
      </w:r>
      <w:r>
        <w:rPr>
          <w:rFonts w:ascii="Times New Roman" w:cs="Times New Roman" w:eastAsia="Times New Roman" w:hAnsi="Times New Roman"/>
          <w:sz w:val="18"/>
          <w:szCs w:val="18"/>
          <w:color w:val="000000"/>
        </w:rPr>
        <w:t>June 30,</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color w:val="000000"/>
        </w:rPr>
        <w:t>2025</w:t>
      </w:r>
      <w:r>
        <w:rPr>
          <w:rFonts w:ascii="Times New Roman" w:cs="Times New Roman" w:eastAsia="Times New Roman" w:hAnsi="Times New Roman"/>
          <w:sz w:val="18"/>
          <w:szCs w:val="18"/>
          <w:color w:val="0C0C0C"/>
        </w:rPr>
        <w:t>, w</w:t>
      </w:r>
      <w:r>
        <w:rPr>
          <w:rFonts w:ascii="Times New Roman" w:cs="Times New Roman" w:eastAsia="Times New Roman" w:hAnsi="Times New Roman"/>
          <w:sz w:val="18"/>
          <w:szCs w:val="18"/>
          <w:color w:val="000000"/>
        </w:rPr>
        <w:t>e currently facilitate transactions in the crypto assets listed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330" w:type="dxa"/>
        <w:tblCellMar>
          <w:top w:w="0" w:type="dxa"/>
          <w:left w:w="0" w:type="dxa"/>
          <w:bottom w:w="0" w:type="dxa"/>
          <w:right w:w="0" w:type="dxa"/>
        </w:tblCellMar>
      </w:tblPr>
      <w:tr>
        <w:trPr>
          <w:trHeight w:val="272"/>
        </w:trPr>
        <w:tc>
          <w:tcPr>
            <w:tcW w:w="3400" w:type="dxa"/>
            <w:vAlign w:val="bottom"/>
            <w:tcBorders>
              <w:top w:val="single" w:sz="8" w:color="auto"/>
              <w:left w:val="single" w:sz="8" w:color="auto"/>
              <w:bottom w:val="single" w:sz="8" w:color="EEECE1"/>
              <w:right w:val="single" w:sz="8" w:color="auto"/>
            </w:tcBorders>
            <w:shd w:val="clear" w:color="auto" w:fill="EEECE1"/>
          </w:tcPr>
          <w:p>
            <w:pPr>
              <w:ind w:left="20"/>
              <w:spacing w:after="0"/>
              <w:rPr>
                <w:sz w:val="20"/>
                <w:szCs w:val="20"/>
                <w:color w:val="auto"/>
              </w:rPr>
            </w:pPr>
            <w:r>
              <w:rPr>
                <w:rFonts w:ascii="Times New Roman" w:cs="Times New Roman" w:eastAsia="Times New Roman" w:hAnsi="Times New Roman"/>
                <w:sz w:val="18"/>
                <w:szCs w:val="18"/>
                <w:color w:val="auto"/>
              </w:rPr>
              <w:t>Crypto Asset</w:t>
            </w:r>
          </w:p>
        </w:tc>
        <w:tc>
          <w:tcPr>
            <w:tcW w:w="3240" w:type="dxa"/>
            <w:vAlign w:val="bottom"/>
            <w:tcBorders>
              <w:top w:val="single" w:sz="8" w:color="auto"/>
              <w:bottom w:val="single" w:sz="8" w:color="EEECE1"/>
              <w:right w:val="single" w:sz="8" w:color="auto"/>
            </w:tcBorders>
            <w:shd w:val="clear" w:color="auto" w:fill="EEECE1"/>
          </w:tcPr>
          <w:p>
            <w:pPr>
              <w:spacing w:after="0"/>
              <w:rPr>
                <w:sz w:val="20"/>
                <w:szCs w:val="20"/>
                <w:color w:val="auto"/>
              </w:rPr>
            </w:pPr>
            <w:r>
              <w:rPr>
                <w:rFonts w:ascii="Times New Roman" w:cs="Times New Roman" w:eastAsia="Times New Roman" w:hAnsi="Times New Roman"/>
                <w:sz w:val="18"/>
                <w:szCs w:val="18"/>
                <w:color w:val="auto"/>
              </w:rPr>
              <w:t>Symbol</w:t>
            </w:r>
          </w:p>
        </w:tc>
      </w:tr>
      <w:tr>
        <w:trPr>
          <w:trHeight w:val="226"/>
        </w:trPr>
        <w:tc>
          <w:tcPr>
            <w:tcW w:w="340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Aave</w:t>
            </w:r>
          </w:p>
        </w:tc>
        <w:tc>
          <w:tcPr>
            <w:tcW w:w="32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AAVE</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Cardano</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ADA</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Algorand</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ALGO</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ApeCoin</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APE</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Arbitrum</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ARB</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Cosmos</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ATOM</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Avalanche</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AVAX</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Basic Attention Token</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BAT</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Bitcoin Cash</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BCH</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Binanca Coin</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BNB</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Bonk</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BONK</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BTC</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Compound</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Curve DAO</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CRV</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Dogecoin</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DOGE</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Polka Dot</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DOT</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Ethereum Classic</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ETC</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Ethereum</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ETH</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Filecoin</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FIL</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Gala</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GALA</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Graph</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GRT</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Hedera</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HBAR</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Internet Computer Protocol</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ICP</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Lido DAO</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LDO</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Chainlink</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LINK</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Litecoin</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LTC</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NEAR Protocol</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NEAR</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Optimism</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Pepe Coin</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PEPE</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Polygon Ecosystem Token</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POL</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Pump</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PUMP</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Sandbox</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SAND</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Shiba Inu</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SHIB</w:t>
            </w:r>
          </w:p>
        </w:tc>
      </w:tr>
      <w:tr>
        <w:trPr>
          <w:trHeight w:val="220"/>
        </w:trPr>
        <w:tc>
          <w:tcPr>
            <w:tcW w:w="340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Solana</w:t>
            </w:r>
          </w:p>
        </w:tc>
        <w:tc>
          <w:tcPr>
            <w:tcW w:w="3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SOL</w:t>
            </w:r>
          </w:p>
        </w:tc>
      </w:tr>
      <w:tr>
        <w:trPr>
          <w:trHeight w:val="226"/>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Sui</w:t>
            </w:r>
          </w:p>
        </w:tc>
        <w:tc>
          <w:tcPr>
            <w:tcW w:w="3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SUI</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Celestia</w:t>
            </w:r>
          </w:p>
        </w:tc>
        <w:tc>
          <w:tcPr>
            <w:tcW w:w="3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TIA</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Toncoin</w:t>
            </w:r>
          </w:p>
        </w:tc>
        <w:tc>
          <w:tcPr>
            <w:tcW w:w="3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TON</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TRUMP</w:t>
            </w:r>
          </w:p>
        </w:tc>
        <w:tc>
          <w:tcPr>
            <w:tcW w:w="3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$TRUMP</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Tron</w:t>
            </w:r>
          </w:p>
        </w:tc>
        <w:tc>
          <w:tcPr>
            <w:tcW w:w="3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TRX</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Uniswap</w:t>
            </w:r>
          </w:p>
        </w:tc>
        <w:tc>
          <w:tcPr>
            <w:tcW w:w="3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UNI</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USD Coin</w:t>
            </w:r>
          </w:p>
        </w:tc>
        <w:tc>
          <w:tcPr>
            <w:tcW w:w="3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USDC</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Dog Wif Hat</w:t>
            </w:r>
          </w:p>
        </w:tc>
        <w:tc>
          <w:tcPr>
            <w:tcW w:w="3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WIF</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Stellar</w:t>
            </w:r>
          </w:p>
        </w:tc>
        <w:tc>
          <w:tcPr>
            <w:tcW w:w="3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XLM</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r>
      <w:tr>
        <w:trPr>
          <w:trHeight w:val="226"/>
        </w:trPr>
        <w:tc>
          <w:tcPr>
            <w:tcW w:w="34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Ripple</w:t>
            </w:r>
          </w:p>
        </w:tc>
        <w:tc>
          <w:tcPr>
            <w:tcW w:w="32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XRP</w:t>
            </w:r>
          </w:p>
        </w:tc>
      </w:tr>
      <w:tr>
        <w:trPr>
          <w:trHeight w:val="21"/>
        </w:trPr>
        <w:tc>
          <w:tcPr>
            <w:tcW w:w="34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240" w:type="dxa"/>
            <w:vAlign w:val="bottom"/>
            <w:tcBorders>
              <w:bottom w:val="single" w:sz="8" w:color="auto"/>
              <w:right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640" w:hanging="313"/>
        <w:spacing w:after="0" w:line="313" w:lineRule="auto"/>
        <w:tabs>
          <w:tab w:leader="none" w:pos="635" w:val="left"/>
        </w:tabs>
        <w:numPr>
          <w:ilvl w:val="0"/>
          <w:numId w:val="8"/>
        </w:numPr>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b w:val="1"/>
          <w:bCs w:val="1"/>
          <w:i w:val="1"/>
          <w:iCs w:val="1"/>
          <w:color w:val="0C0C0C"/>
        </w:rPr>
        <w:t xml:space="preserve">Custody. </w:t>
      </w:r>
      <w:r>
        <w:rPr>
          <w:rFonts w:ascii="Times New Roman" w:cs="Times New Roman" w:eastAsia="Times New Roman" w:hAnsi="Times New Roman"/>
          <w:sz w:val="18"/>
          <w:szCs w:val="18"/>
          <w:color w:val="0C0C0C"/>
        </w:rPr>
        <w:t>Prior to November 2024, we offered an institutional-grade qualified custody solution through our subsidiary, Bakkt Trust Company LLC</w:t>
      </w:r>
      <w:r>
        <w:rPr>
          <w:rFonts w:ascii="Times New Roman" w:cs="Times New Roman" w:eastAsia="Times New Roman" w:hAnsi="Times New Roman"/>
          <w:sz w:val="18"/>
          <w:szCs w:val="18"/>
          <w:b w:val="1"/>
          <w:bCs w:val="1"/>
          <w:i w:val="1"/>
          <w:iCs w:val="1"/>
          <w:color w:val="0C0C0C"/>
        </w:rPr>
        <w:t xml:space="preserve"> </w:t>
      </w:r>
      <w:r>
        <w:rPr>
          <w:rFonts w:ascii="Times New Roman" w:cs="Times New Roman" w:eastAsia="Times New Roman" w:hAnsi="Times New Roman"/>
          <w:sz w:val="18"/>
          <w:szCs w:val="18"/>
          <w:color w:val="0C0C0C"/>
        </w:rPr>
        <w:t>(“Bakkt Trust”), a limited purpose trust company that was supervised by</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640"/>
        <w:spacing w:after="0" w:line="294" w:lineRule="auto"/>
        <w:rPr>
          <w:sz w:val="20"/>
          <w:szCs w:val="20"/>
          <w:color w:val="auto"/>
        </w:rPr>
      </w:pPr>
      <w:r>
        <w:rPr>
          <w:rFonts w:ascii="Times New Roman" w:cs="Times New Roman" w:eastAsia="Times New Roman" w:hAnsi="Times New Roman"/>
          <w:sz w:val="18"/>
          <w:szCs w:val="18"/>
          <w:color w:val="0C0C0C"/>
        </w:rPr>
        <w:t>the New York State Department of Financial Services (“NYDFS”) and governed by an independent Board of Managers. In November 2024, we amended Bakkt Trust’s supervisory agreement with NYDFS; this amendment provided for lower capital requirements for Bakkt Trust in exchange for its suspension of all customer activities. In March 2025, we reached a definitive agreement to sell Bakkt Trust to Intercontinental Exchange, Inc., which closed on May 15, 2025. In connection with the acquisition of Apex Crypto, we acquired third-party custodial relationships with BitGo and Coinbase Custody, which are currently used by Bakkt Crypto for custody and coin transfers, where applicable. In addition, Bakkt Crypto also self-custodies select coins to facilitate consumer withdrawals.</w:t>
      </w:r>
    </w:p>
    <w:p>
      <w:pPr>
        <w:spacing w:after="0" w:line="175"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0C0C0C"/>
        </w:rPr>
        <w:t>Bakkt Crypto holds a New York State virtual currency license (commonly referred to as a "BitLicense"), and money transmitter licenses from all states throughout the U.S. where such licenses are required for the operation of its business and is registered as a money services business with the Financial Crimes Enforcement Network of the United States Department of the Treasury.</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June 30, 2025, we offer crypto services in the U.S., Latin America, Europe, and Asia.</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Loyalty</w:t>
      </w:r>
    </w:p>
    <w:p>
      <w:pPr>
        <w:spacing w:after="0" w:line="51"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0C0C0C"/>
        </w:rPr>
        <w:t>We offer a full spectrum of supplier content through configurable, white-label e-commerce storefronts that end users can acquire via redemption of loyalty points. Our redemption catalog spans a variety of rewards categories including travel, gift cards and merchandise, including a unique Apple product and services storefront. Our travel solution offers a retail e-commerce booking platform with direct supplier integrations, as well as a U.S.-based call center for live-agent booking and servicing. Our platform provides a unified shopping experience that is built to seamlessly extend our customers’ loyalty strategies and user experience for their loyalty programs. Our platform’s functionality includes a mobile-optimized user interface, numerous configurations to support diverse program needs, promotional campaign services, comprehensive fraud protection capabilities and the ability to split payments across both loyalty points and credit cards. On July 23, 2025, we agreed to sell the loyalty business. See Note 19 for further details.</w:t>
      </w:r>
    </w:p>
    <w:p>
      <w:pPr>
        <w:spacing w:after="0" w:line="176" w:lineRule="exact"/>
        <w:rPr>
          <w:sz w:val="20"/>
          <w:szCs w:val="20"/>
          <w:color w:val="auto"/>
        </w:rPr>
      </w:pPr>
    </w:p>
    <w:p>
      <w:pPr>
        <w:ind w:left="320" w:hanging="313"/>
        <w:spacing w:after="0"/>
        <w:tabs>
          <w:tab w:leader="none" w:pos="3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38"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The Company's accounting policies are as set forth in the notes to its Annual Report on Form 10-K for the year ended December 31, 2024 (the "Form 10-K").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51"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are prepared in accordance with United States generally accepted accounting principles (“U.S. GAAP”) for interim financial information and with the instructions to the Quarterly Report on Form 10-Q and Article 10 of Regulation S-X. Accordingly, they do not include all of the information and footnotes required by U.S. GAAP for complete financial statements. In the opinion of management, the unaudited interim consolidated financial statements include the accounts of the Company and its subsidiaries. All intercompany balances and transactions have been eliminated in consolidation. In addition, certain reclassifications of amounts previously reported have been made to the accompanying consolidated financial statements in order to conform to current presentation.</w:t>
      </w:r>
    </w:p>
    <w:p>
      <w:pPr>
        <w:spacing w:after="0" w:line="175"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normal recurring accruals), considered necessary for a fair presentation have been included. The interim results for the three and six months ended June 30, 2025 are not necessarily indicative of the results that may be expected for the year ending December 31, 2025, or for any other future annual or interim period. These unaudited interim consolidated financial statements should be read in conjunction with the Company’s audited financial statements and accompanying notes thereto included in the Form 10-K.</w:t>
      </w:r>
    </w:p>
    <w:p>
      <w:pPr>
        <w:spacing w:after="0" w:line="171" w:lineRule="exact"/>
        <w:rPr>
          <w:sz w:val="20"/>
          <w:szCs w:val="20"/>
          <w:color w:val="auto"/>
        </w:rPr>
      </w:pPr>
    </w:p>
    <w:p>
      <w:pPr>
        <w:jc w:val="both"/>
        <w:ind w:firstLine="641"/>
        <w:spacing w:after="0" w:line="309" w:lineRule="auto"/>
        <w:rPr>
          <w:sz w:val="20"/>
          <w:szCs w:val="20"/>
          <w:color w:val="auto"/>
        </w:rPr>
      </w:pPr>
      <w:r>
        <w:rPr>
          <w:rFonts w:ascii="Times New Roman" w:cs="Times New Roman" w:eastAsia="Times New Roman" w:hAnsi="Times New Roman"/>
          <w:sz w:val="18"/>
          <w:szCs w:val="18"/>
          <w:color w:val="auto"/>
        </w:rPr>
        <w:t>On April 29, 2024, following approval by our stockholders and Board of Directors (the “Board”), Bakkt effected a reverse stock split (the “Reverse Stock Split”) of its Class A Common Stock, par value $0.0001 per share (“Class A Common Stock”), and Class V Common Stock, par value $0.0001 per share (“Class V Common Stock” and collectively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8"/>
          <w:szCs w:val="18"/>
          <w:color w:val="auto"/>
        </w:rPr>
        <w:t>with the Class A Common Stock, the “Common Stock”), at a ratio of 1-for-25 (the “Reverse Stock Split Ratio”). The Company's Class A Common Stock began trading on a reverse-split adjusted basis on the New York Stock Exchange (the "NYSE") as of the open of trading on April 29, 2024. All outstanding warrants and share-based awards were also adjusted on a 1-for-25 basis. As such, the Reverse Stock Split has been retroactively applied to all share and per share information throughout this Quarterly Report on Form 10-Q (unless otherwise noted).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38"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amounts reported in the financial statements and accompanying notes. Management bases its estimates and assumptions on historical experience and various judgments that it believes to be reasonable under the circumstances. The significant estimates and assumptions that affect the financial statements may include, but are not limited to, those that are related to going concern, income tax valuation allowances, useful lives and fair value of intangible assets and property, equipment and software, fair value of financial assets and liabilities, determining provision for doubtful accounts, valuation of acquired tangible and intangible assets, the impairment of intangible and long-lived assets and goodwill, issued warrants, and fair market value of stock-based awards. Actual results and outcomes may differ from management’s estimates and assumptions and such differences may be material to the Company's audited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Accounting Principle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Safeguarding Obligation for Crypto</w:t>
      </w:r>
    </w:p>
    <w:p>
      <w:pPr>
        <w:spacing w:after="0" w:line="249" w:lineRule="exact"/>
        <w:rPr>
          <w:sz w:val="20"/>
          <w:szCs w:val="20"/>
          <w:color w:val="auto"/>
        </w:rPr>
      </w:pPr>
    </w:p>
    <w:p>
      <w:pPr>
        <w:jc w:val="both"/>
        <w:ind w:firstLine="641"/>
        <w:spacing w:after="0" w:line="292" w:lineRule="auto"/>
        <w:rPr>
          <w:sz w:val="20"/>
          <w:szCs w:val="20"/>
          <w:color w:val="auto"/>
        </w:rPr>
      </w:pPr>
      <w:r>
        <w:rPr>
          <w:rFonts w:ascii="Times New Roman" w:cs="Times New Roman" w:eastAsia="Times New Roman" w:hAnsi="Times New Roman"/>
          <w:sz w:val="18"/>
          <w:szCs w:val="18"/>
          <w:color w:val="auto"/>
        </w:rPr>
        <w:t xml:space="preserve">On January 23, 2025, the Securities and Exchange Commission (the “SEC”) issued Staff Accounting Bulletin (“SAB”) No. 122 (“SAB 122”), which was officially entered into the federal register January 30, 2025. SAB 122 rescinds the previously issued SEC staff interpretative guidance in SAB No. 121 related to accounting for obligations to safeguard crypto assets that an entity holds for its platform users. SAB 122 indicates that an entity that has an obligation to safeguard crypto assets for others should determine whether it should recognize a liability for a risk of loss for such obligation and should recognize and measure any such liability in accordance with Accounting Standards Codification (“ASC”) 450-20, </w:t>
      </w:r>
      <w:r>
        <w:rPr>
          <w:rFonts w:ascii="Times New Roman" w:cs="Times New Roman" w:eastAsia="Times New Roman" w:hAnsi="Times New Roman"/>
          <w:sz w:val="18"/>
          <w:szCs w:val="18"/>
          <w:i w:val="1"/>
          <w:iCs w:val="1"/>
          <w:color w:val="auto"/>
        </w:rPr>
        <w:t>Loss Contingencies</w:t>
      </w:r>
      <w:r>
        <w:rPr>
          <w:rFonts w:ascii="Times New Roman" w:cs="Times New Roman" w:eastAsia="Times New Roman" w:hAnsi="Times New Roman"/>
          <w:sz w:val="18"/>
          <w:szCs w:val="18"/>
          <w:color w:val="auto"/>
        </w:rPr>
        <w:t>. The Company elected to adopt SAB 122 as of December 31, 2024, on a retrospective basis in accordance with SAB 122. As a result of the adoption of SAB 122, the Company derecognized the Safeguarding obligation for crypto and Safeguarding asset for crypto previously recognized in the consolidated financial statements. In accordance with U.S. GAAP, the periods presented have been retrospectively adjusted to reflect this change, with no impact on revenues, operating loss, net income (loss), net income (loss) per share, or any components of equity or net assets.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Debentures</w:t>
      </w:r>
    </w:p>
    <w:p>
      <w:pPr>
        <w:spacing w:after="0" w:line="263"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 xml:space="preserve">On June 18, 2025, the Company issued a $25.0 million convertible debenture that is classified as a liability in accordance with ASC 470-20,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with Conversion and Other Options</w:t>
      </w:r>
      <w:r>
        <w:rPr>
          <w:rFonts w:ascii="Times New Roman" w:cs="Times New Roman" w:eastAsia="Times New Roman" w:hAnsi="Times New Roman"/>
          <w:sz w:val="18"/>
          <w:szCs w:val="18"/>
          <w:color w:val="auto"/>
        </w:rPr>
        <w:t>. The debenture may be converted into shares of the Company's Class A Common Stock at the option of the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Because the conversion option does not require separate accounting, the liability was initially measured at the proceeds received. The convertible debenture is reported at amortized cost each reporting period. The original discount on the debenture and issuance costs are being amortized to interest expense over the term of the debenture using the effective interest method.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Segments</w:t>
      </w:r>
    </w:p>
    <w:p>
      <w:pPr>
        <w:spacing w:after="0" w:line="224"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We have one operating and reportable segment. Operating segments are defined as components of an enterprise about which separate financial information is evaluated regularly by the chief operating decision maker (“CODM”), who is Andrew Main, one of our Co-Chief Executive Officers, in deciding how to allocate resources and assessing performance.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265"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are prepared on a going concern basis in accordance with U.S. GAAP. This presentation contemplates the realization of assets and the satisfaction of liabilities in the normal course of business and does not include any adjustments relating to the recoverability and classification of recorded asset amounts or the amounts and classification of liabilities that might result from the outcome of the uncertainties described below.</w:t>
      </w:r>
    </w:p>
    <w:p>
      <w:pPr>
        <w:spacing w:after="0" w:line="191"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At each reporting period, in accordance with U.S. GAAP, management evaluates whether there are conditions or events that raise substantial doubt about the Company's ability to continue as a going concern within one year after the date the financial statements are issued. In accordance with U.S. GAAP, the initial evaluation can only include management’s plans that have been fully implemented as of the issuance date. Operating forecasts for new products/markets cannot be considered in the initial evaluation as those product/market launches have not been fully implemented.</w:t>
      </w:r>
    </w:p>
    <w:p>
      <w:pPr>
        <w:spacing w:after="0" w:line="191"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Accordingly, management's evaluation entails analyzing prospective fully implemented operating budgets and forecasts for expectations of the Company's cash needs and comparing those needs to the current cash and cash equivalent balances. This evaluation initially does not take into consideration the potential mitigating effect of management’s plans that have not been fully implemented as of the date the financial statements are issued. When substantial doubt exists under this methodology, management evaluates whether the mitigating effect of its plans sufficiently alleviates substantial doubt about the Company's ability to continue as a going concern. The mitigating effect of management’s plans, however, is only considered if both (1) it is probable that the 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in conjunction with the issuance of the June 30, 2025 unaudited consolidated financial statements</w:t>
      </w:r>
    </w:p>
    <w:p>
      <w:pPr>
        <w:spacing w:after="0" w:line="263"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Since inception, the Company has consumed cash in excess of cash inflows from operations and fundraising. The Company’s accumulated deficit totaled $805.0 million as of June 30, 2025. Due to ongoing losses, the Company has been working to optimize capital allocation and reduce cash expenses since the fourth quarter of 2022. On March 14, 2025, Webull Pay LLC ("Webull"), the Company's largest Crypto client, notified Bakkt that it would not renew its agreement that ended on June 14, 2025. Webull’s decision not to renew its agreement with Bakkt has and is expected to continue to materially reduce the Company's Crypto services revenue, although the Company continues to service a limited number of states under an amended agreement with Webull. Following the notice from Webull, the Company executed further cost reduction measures, including personnel reductions and, a hiring freeze, and is making changes to its agreements with vendors, and additional discretionary spending cuts to preserve and extend cash to fund operations.</w:t>
      </w:r>
    </w:p>
    <w:p>
      <w:pPr>
        <w:spacing w:after="0" w:line="180" w:lineRule="exact"/>
        <w:rPr>
          <w:sz w:val="20"/>
          <w:szCs w:val="20"/>
          <w:color w:val="auto"/>
        </w:rPr>
      </w:pPr>
    </w:p>
    <w:p>
      <w:pPr>
        <w:jc w:val="both"/>
        <w:ind w:firstLine="641"/>
        <w:spacing w:after="0" w:line="314" w:lineRule="auto"/>
        <w:rPr>
          <w:sz w:val="20"/>
          <w:szCs w:val="20"/>
          <w:color w:val="auto"/>
        </w:rPr>
      </w:pPr>
      <w:r>
        <w:rPr>
          <w:rFonts w:ascii="Times New Roman" w:cs="Times New Roman" w:eastAsia="Times New Roman" w:hAnsi="Times New Roman"/>
          <w:sz w:val="17"/>
          <w:szCs w:val="17"/>
          <w:color w:val="auto"/>
        </w:rPr>
        <w:t>Significantly expanding Bakkt's revenue base is critical to the Company’s strategic plan to be able to generate a sustainable operating profit. There is significant uncertainty associated with Bakkt's projected cash flows in the Company's going concern analysis primarily related to the revenue growth rates for its expansion to new products, as well as the growth of its revenue base, given the uncertain and rapidly evolving environment associated with crypto assets. In forecasting the Company's expectation of cash needs for the initial going concern evaluation, the Crypto services revenue growth projections exclude activation of new clients or products currently not live on Bakkt's platform as of the date of release of these consolidated financial statements.</w:t>
      </w:r>
    </w:p>
    <w:p>
      <w:pPr>
        <w:spacing w:after="0" w:line="177"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Historically, the Company’s sources of liquidity included cash and cash equivalents, available-for-sale securities and equity offerings. As discussed in Note 6, on June 17, 2025, the Company entered into a Securities Purchase Agreement, under which an investor purchased a $25.0 million convertible debenture from the Company for a price of $23.8 million in a private placement (the "Private Placement"). The Private Placement closed on June 18, 2025. Additionally, as discussed in Note 19, on July 30, 2025, the Company raised $75.0 million of gross proceeds prior to underwriting fees and expenses from an offering of common stock and pre-funded warrants. The Company intends to use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the net proceeds from the Private Placement for working capital and general corporate purposes. The Company intends to use the proceeds from the common stock and pre-funded warrant issuance to purchase Bitcoin and other digital assets in accordance with its Investment Policy, for working capital and general corporate purposes.</w:t>
      </w:r>
    </w:p>
    <w:p>
      <w:pPr>
        <w:spacing w:after="0" w:line="18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As discussed in Note 8, on August 12, 2024, the Company secured a $40.0 million revolving credit facility with Intercontinental Exchange Holdings, Inc. ("ICE"), a major shareholder (the “ICE Credit Facility”). On March 27, 2025, the Company drew $5.0 million under the ICE Credit Facility. The Company repaid all outstanding principal and interest on the ICE Credit Facility on June 18, 2025. As discussed in Note 19, the Company cancelled the ICE Credit Facility on July 30, 2025.</w:t>
      </w:r>
    </w:p>
    <w:p>
      <w:pPr>
        <w:spacing w:after="0" w:line="191"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Management believes that the Company's cash and cash equivalents and net proceeds from the Private Placement and common stock and pre-funded warrant issuance will be sufficient to fund Bakkt's operations for 12 months from the date of these financial statements are issued.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4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(“FASB”) issued Accounting Standards Update (“ASU”) No. 2023-08, </w:t>
      </w:r>
      <w:r>
        <w:rPr>
          <w:rFonts w:ascii="Times New Roman" w:cs="Times New Roman" w:eastAsia="Times New Roman" w:hAnsi="Times New Roman"/>
          <w:sz w:val="18"/>
          <w:szCs w:val="18"/>
          <w:i w:val="1"/>
          <w:iCs w:val="1"/>
          <w:color w:val="auto"/>
        </w:rPr>
        <w:t>Intangibles-Goodwill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Other-Crypto Assets (Topic 350-60), Accounting for and Disclosure of Crypto Assets (“ASU 2023-08”)</w:t>
      </w:r>
      <w:r>
        <w:rPr>
          <w:rFonts w:ascii="Times New Roman" w:cs="Times New Roman" w:eastAsia="Times New Roman" w:hAnsi="Times New Roman"/>
          <w:sz w:val="18"/>
          <w:szCs w:val="18"/>
          <w:color w:val="auto"/>
        </w:rPr>
        <w:t>, which requires entities measure assets that meet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scope criteria at fair value with changes recognized in net income each reporting period. ASU 2023-08 also requires enhanced disclosures for interim and annual periods. The ASU is effective for fiscal years beginning after December 15, 2024, including interim periods within those years. The adoption of this ASU did not have a material impact on the Company’s consolidated financial statements.</w:t>
      </w:r>
    </w:p>
    <w:p>
      <w:pPr>
        <w:spacing w:after="0" w:line="188"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(“ASU 2023-07”), requiring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Segment Reporting on an interim and annual basis. The Company adopted ASU 2023-07 during the year ended December 31, 2024. The adoption of this ASU did not impact the Company's consolidated financial results of operations, but it did result in enhanced segment disclosures in the notes to the consolidated financial statements.</w:t>
      </w:r>
    </w:p>
    <w:p>
      <w:pPr>
        <w:spacing w:after="0" w:line="175"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 xml:space="preserve">In August 2020, the FASB issued ASU 2020-06, </w:t>
      </w:r>
      <w:r>
        <w:rPr>
          <w:rFonts w:ascii="Times New Roman" w:cs="Times New Roman" w:eastAsia="Times New Roman" w:hAnsi="Times New Roman"/>
          <w:sz w:val="18"/>
          <w:szCs w:val="18"/>
          <w:i w:val="1"/>
          <w:iCs w:val="1"/>
          <w:color w:val="auto"/>
        </w:rPr>
        <w:t>Accounting for Convertible Instruments and Contracts in an Entity's Own Equity</w:t>
      </w:r>
      <w:r>
        <w:rPr>
          <w:rFonts w:ascii="Times New Roman" w:cs="Times New Roman" w:eastAsia="Times New Roman" w:hAnsi="Times New Roman"/>
          <w:sz w:val="18"/>
          <w:szCs w:val="18"/>
          <w:color w:val="auto"/>
        </w:rPr>
        <w:t xml:space="preserve"> ("ASU 2020-06"). This ASU simplifies the accounting for convertible instruments by eliminating certain separation models and improves the consistency of earnings per share calculations by requiring the use of the if-converted method for all convertible instruments. It also enhances disclosures about the terms of convertible instruments and contract in an entity's own equity. ASU 2020-06 was effective for fiscal years beginning after December 15, 2023, including interim periods within those years. In connection with the Convertible debenture issued in June 2025, the Company is subject to and adopted ASU 2020-06. The adoption of this ASU did not have a material impact on the Company's consolidated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263"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will require additional tax disclosures, predominantly related to the effective income tax rate reconciliation and income taxes paid. The updated standard will be effective for our annual periods beginning in fiscal 2025. Early adoption is permitted. Management is evaluating the impact that the updated standard will have on the Company's consolidated financial statement disclosures.</w:t>
      </w:r>
    </w:p>
    <w:p>
      <w:pPr>
        <w:spacing w:after="0" w:line="188" w:lineRule="exact"/>
        <w:rPr>
          <w:sz w:val="20"/>
          <w:szCs w:val="20"/>
          <w:color w:val="auto"/>
        </w:rPr>
      </w:pPr>
    </w:p>
    <w:p>
      <w:pPr>
        <w:jc w:val="both"/>
        <w:ind w:firstLine="641"/>
        <w:spacing w:after="0" w:line="302"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which requires disclosure of additional information about specific expense categories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notes to financial statements at interim and annual</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8"/>
          <w:szCs w:val="18"/>
          <w:color w:val="auto"/>
        </w:rPr>
        <w:t>reporting periods. The guidance is effective for annual reporting periods beginning after December 15, 2026 and interim periods beginning after December 15, 2027. Early adoption is permitted. The adoption of this ASU is not expected to have a material impact on the Company’s consolidated financial statements.</w:t>
      </w:r>
    </w:p>
    <w:p>
      <w:pPr>
        <w:spacing w:after="0" w:line="179" w:lineRule="exact"/>
        <w:rPr>
          <w:sz w:val="20"/>
          <w:szCs w:val="20"/>
          <w:color w:val="auto"/>
        </w:rPr>
      </w:pPr>
    </w:p>
    <w:p>
      <w:pPr>
        <w:ind w:left="320" w:hanging="313"/>
        <w:spacing w:after="0"/>
        <w:tabs>
          <w:tab w:leader="none" w:pos="3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disaggregate revenue by service type and by platform as follows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Service Type</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c>
          <w:tcPr>
            <w:tcW w:w="120" w:type="dxa"/>
            <w:vAlign w:val="bottom"/>
          </w:tcPr>
          <w:p>
            <w:pPr>
              <w:spacing w:after="0"/>
              <w:rPr>
                <w:sz w:val="16"/>
                <w:szCs w:val="16"/>
                <w:color w:val="auto"/>
              </w:rPr>
            </w:pPr>
          </w:p>
        </w:tc>
        <w:tc>
          <w:tcPr>
            <w:tcW w:w="140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4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0" w:type="dxa"/>
            <w:vAlign w:val="bottom"/>
          </w:tcPr>
          <w:p>
            <w:pPr>
              <w:spacing w:after="0"/>
              <w:rPr>
                <w:sz w:val="18"/>
                <w:szCs w:val="18"/>
                <w:color w:val="auto"/>
              </w:rPr>
            </w:pPr>
          </w:p>
        </w:tc>
        <w:tc>
          <w:tcPr>
            <w:tcW w:w="140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8"/>
              </w:rPr>
              <w:t>June 30, 2024</w:t>
            </w:r>
          </w:p>
        </w:tc>
        <w:tc>
          <w:tcPr>
            <w:tcW w:w="0" w:type="dxa"/>
            <w:vAlign w:val="bottom"/>
          </w:tcPr>
          <w:p>
            <w:pPr>
              <w:spacing w:after="0"/>
              <w:rPr>
                <w:sz w:val="1"/>
                <w:szCs w:val="1"/>
                <w:color w:val="auto"/>
              </w:rPr>
            </w:pPr>
          </w:p>
        </w:tc>
      </w:tr>
      <w:tr>
        <w:trPr>
          <w:trHeight w:val="220"/>
        </w:trPr>
        <w:tc>
          <w:tcPr>
            <w:tcW w:w="4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revenue</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573,855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503,717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1,644,562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1,351,701</w:t>
            </w:r>
          </w:p>
        </w:tc>
        <w:tc>
          <w:tcPr>
            <w:tcW w:w="0" w:type="dxa"/>
            <w:vAlign w:val="bottom"/>
          </w:tcPr>
          <w:p>
            <w:pPr>
              <w:spacing w:after="0"/>
              <w:rPr>
                <w:sz w:val="1"/>
                <w:szCs w:val="1"/>
                <w:color w:val="auto"/>
              </w:rPr>
            </w:pPr>
          </w:p>
        </w:tc>
      </w:tr>
      <w:tr>
        <w:trPr>
          <w:trHeight w:val="227"/>
        </w:trPr>
        <w:tc>
          <w:tcPr>
            <w:tcW w:w="4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Subscription and service revenue</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12,779</w:t>
            </w:r>
          </w:p>
        </w:tc>
        <w:tc>
          <w:tcPr>
            <w:tcW w:w="0" w:type="dxa"/>
            <w:vAlign w:val="bottom"/>
          </w:tcPr>
          <w:p>
            <w:pPr>
              <w:spacing w:after="0"/>
              <w:rPr>
                <w:sz w:val="1"/>
                <w:szCs w:val="1"/>
                <w:color w:val="auto"/>
              </w:rPr>
            </w:pPr>
          </w:p>
        </w:tc>
      </w:tr>
      <w:tr>
        <w:trPr>
          <w:trHeight w:val="245"/>
        </w:trPr>
        <w:tc>
          <w:tcPr>
            <w:tcW w:w="4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577,882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509,898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1,652,792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1,364,480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4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24"/>
                <w:szCs w:val="24"/>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c>
          <w:tcPr>
            <w:tcW w:w="120" w:type="dxa"/>
            <w:vAlign w:val="bottom"/>
          </w:tcPr>
          <w:p>
            <w:pPr>
              <w:spacing w:after="0"/>
              <w:rPr>
                <w:sz w:val="24"/>
                <w:szCs w:val="24"/>
                <w:color w:val="auto"/>
              </w:rPr>
            </w:pPr>
          </w:p>
        </w:tc>
        <w:tc>
          <w:tcPr>
            <w:tcW w:w="140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4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120" w:type="dxa"/>
            <w:vAlign w:val="bottom"/>
          </w:tcPr>
          <w:p>
            <w:pPr>
              <w:spacing w:after="0"/>
              <w:rPr>
                <w:sz w:val="18"/>
                <w:szCs w:val="18"/>
                <w:color w:val="auto"/>
              </w:rPr>
            </w:pPr>
          </w:p>
        </w:tc>
        <w:tc>
          <w:tcPr>
            <w:tcW w:w="140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8"/>
              </w:rPr>
              <w:t>June 30, 2024</w:t>
            </w:r>
          </w:p>
        </w:tc>
        <w:tc>
          <w:tcPr>
            <w:tcW w:w="0" w:type="dxa"/>
            <w:vAlign w:val="bottom"/>
          </w:tcPr>
          <w:p>
            <w:pPr>
              <w:spacing w:after="0"/>
              <w:rPr>
                <w:sz w:val="1"/>
                <w:szCs w:val="1"/>
                <w:color w:val="auto"/>
              </w:rPr>
            </w:pPr>
          </w:p>
        </w:tc>
      </w:tr>
      <w:tr>
        <w:trPr>
          <w:trHeight w:val="220"/>
        </w:trPr>
        <w:tc>
          <w:tcPr>
            <w:tcW w:w="4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Loyalty redemption platform, net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25,999</w:t>
            </w:r>
          </w:p>
        </w:tc>
        <w:tc>
          <w:tcPr>
            <w:tcW w:w="0" w:type="dxa"/>
            <w:vAlign w:val="bottom"/>
          </w:tcPr>
          <w:p>
            <w:pPr>
              <w:spacing w:after="0"/>
              <w:rPr>
                <w:sz w:val="1"/>
                <w:szCs w:val="1"/>
                <w:color w:val="auto"/>
              </w:rPr>
            </w:pPr>
          </w:p>
        </w:tc>
      </w:tr>
      <w:tr>
        <w:trPr>
          <w:trHeight w:val="227"/>
        </w:trPr>
        <w:tc>
          <w:tcPr>
            <w:tcW w:w="4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Crypto services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568,103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497,141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1,633,859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1,338,481</w:t>
            </w:r>
          </w:p>
        </w:tc>
        <w:tc>
          <w:tcPr>
            <w:tcW w:w="0" w:type="dxa"/>
            <w:vAlign w:val="bottom"/>
          </w:tcPr>
          <w:p>
            <w:pPr>
              <w:spacing w:after="0"/>
              <w:rPr>
                <w:sz w:val="1"/>
                <w:szCs w:val="1"/>
                <w:color w:val="auto"/>
              </w:rPr>
            </w:pPr>
          </w:p>
        </w:tc>
      </w:tr>
      <w:tr>
        <w:trPr>
          <w:trHeight w:val="245"/>
        </w:trPr>
        <w:tc>
          <w:tcPr>
            <w:tcW w:w="4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577,882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509,898</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1,652,792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1,364,480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We recognized revenue from foreign jurisdictions of $0.9 million and $1.3 million for the three and six months ended June 30, 2025, respectively, and $10.5 million and $24.9 million for the three and six months ended June 30, 2024, respectively.</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have one reportable segment to which our revenues relate.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65"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Contract liabilities consist of deferred revenue for amounts invoiced prior to us meeting the criteria for revenue recognition. We invoice customers for service fees at the beginning of service performance, and such fees are recognized as revenue over time as we satisfy performance obligations. Contract liabilities are classified as “Deferred revenue, current” and “Deferred revenue, noncurrent” in our consolidated balance sheets. The activity in deferred revenue for the six months ended June 30, 2025 and June 30, 2024, respectively, was as follows (in thousands):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c>
          <w:tcPr>
            <w:tcW w:w="200" w:type="dxa"/>
            <w:vAlign w:val="bottom"/>
          </w:tcPr>
          <w:p>
            <w:pPr>
              <w:spacing w:after="0"/>
              <w:rPr>
                <w:sz w:val="16"/>
                <w:szCs w:val="16"/>
                <w:color w:val="auto"/>
              </w:rPr>
            </w:pPr>
          </w:p>
        </w:tc>
        <w:tc>
          <w:tcPr>
            <w:tcW w:w="166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7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Pr>
          <w:p>
            <w:pPr>
              <w:spacing w:after="0"/>
              <w:rPr>
                <w:sz w:val="18"/>
                <w:szCs w:val="18"/>
                <w:color w:val="auto"/>
              </w:rPr>
            </w:pPr>
          </w:p>
        </w:tc>
        <w:tc>
          <w:tcPr>
            <w:tcW w:w="166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22"/>
        </w:trPr>
        <w:tc>
          <w:tcPr>
            <w:tcW w:w="7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the period contract liability</w:t>
            </w: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w:t>
            </w:r>
          </w:p>
        </w:tc>
      </w:tr>
      <w:tr>
        <w:trPr>
          <w:trHeight w:val="24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from contract liabilities included in the beginning balance</w:t>
            </w: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r>
      <w:tr>
        <w:trPr>
          <w:trHeight w:val="240"/>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due to cash received, net of amounts recognized in revenue during the period</w:t>
            </w:r>
          </w:p>
        </w:tc>
        <w:tc>
          <w:tcPr>
            <w:tcW w:w="20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20"/>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the period contract liability</w:t>
            </w: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5,070</w:t>
            </w:r>
          </w:p>
        </w:tc>
      </w:tr>
      <w:tr>
        <w:trPr>
          <w:trHeight w:val="20"/>
        </w:trPr>
        <w:tc>
          <w:tcPr>
            <w:tcW w:w="7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65"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As of June 30, 2025, the aggregate amount of the transaction price allocated to the remaining performance obligations related to partially completed contracts was $8.4 million, comprised of $4.7 million of subscription fees and $3.7 million of service fees that were deferred. We recognize our subscription fees as revenue over a weighted-average period of 13 months (ranges from 2 months to 15 months) and our service fees as revenue over approximately 13 months.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As of June 30, 2024, the aggregate amount of the transaction price allocated to the remaining performance obligations related to partially completed contracts was $15.4 million, comprised of $10.3 million of subscription fees and $5.1 million of service fees that were deferred. We recognize our subscription fees as revenue over a weighted-average period of 20 months (ranges from 2 months to 27 months) and our service fees as revenue over approximately 33 months.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265" w:lineRule="exact"/>
        <w:rPr>
          <w:sz w:val="20"/>
          <w:szCs w:val="20"/>
          <w:color w:val="auto"/>
        </w:rPr>
      </w:pPr>
    </w:p>
    <w:p>
      <w:pPr>
        <w:jc w:val="both"/>
        <w:ind w:right="20" w:firstLine="641"/>
        <w:spacing w:after="0" w:line="308" w:lineRule="auto"/>
        <w:rPr>
          <w:sz w:val="20"/>
          <w:szCs w:val="20"/>
          <w:color w:val="auto"/>
        </w:rPr>
      </w:pPr>
      <w:r>
        <w:rPr>
          <w:rFonts w:ascii="Times New Roman" w:cs="Times New Roman" w:eastAsia="Times New Roman" w:hAnsi="Times New Roman"/>
          <w:sz w:val="18"/>
          <w:szCs w:val="18"/>
          <w:color w:val="auto"/>
        </w:rPr>
        <w:t>For the three and six months ended June 30, 2025 and June 30, 2024, we incurred no incremental costs to obtain and/or fulfill contracts with customers.</w:t>
      </w:r>
    </w:p>
    <w:p>
      <w:pPr>
        <w:spacing w:after="0" w:line="17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Goodwill and Intangible Assets, Net</w:t>
      </w: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Changes in goodwill consisted of the following (in thousands):</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as of January 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-127635</wp:posOffset>
            </wp:positionV>
            <wp:extent cx="7133590" cy="144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1,579,265</w:t>
            </w:r>
          </w:p>
        </w:tc>
      </w:tr>
      <w:tr>
        <w:trPr>
          <w:trHeight w:val="227"/>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impairment</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(1,511,264)</w:t>
            </w:r>
          </w:p>
        </w:tc>
      </w:tr>
      <w:tr>
        <w:trPr>
          <w:trHeight w:val="220"/>
        </w:trPr>
        <w:tc>
          <w:tcPr>
            <w:tcW w:w="97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68,001</w:t>
            </w:r>
          </w:p>
        </w:tc>
      </w:tr>
      <w:tr>
        <w:trPr>
          <w:trHeight w:val="234"/>
        </w:trPr>
        <w:tc>
          <w:tcPr>
            <w:tcW w:w="9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7"/>
        </w:trPr>
        <w:tc>
          <w:tcPr>
            <w:tcW w:w="9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Sale of Bakkt Trust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w:t>
            </w:r>
          </w:p>
        </w:tc>
      </w:tr>
      <w:tr>
        <w:trPr>
          <w:trHeight w:val="234"/>
        </w:trPr>
        <w:tc>
          <w:tcPr>
            <w:tcW w:w="97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7"/>
        </w:trPr>
        <w:tc>
          <w:tcPr>
            <w:tcW w:w="9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2025</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7"/>
        </w:trPr>
        <w:tc>
          <w:tcPr>
            <w:tcW w:w="9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1,575,922</w:t>
            </w:r>
          </w:p>
        </w:tc>
      </w:tr>
      <w:tr>
        <w:trPr>
          <w:trHeight w:val="227"/>
        </w:trPr>
        <w:tc>
          <w:tcPr>
            <w:tcW w:w="9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impairment</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(1,511,264)</w:t>
            </w:r>
          </w:p>
        </w:tc>
      </w:tr>
      <w:tr>
        <w:trPr>
          <w:trHeight w:val="245"/>
        </w:trPr>
        <w:tc>
          <w:tcPr>
            <w:tcW w:w="97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64,658</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During the quarter ended June 30, 2025, the Company completed the sale of Bakkt Trust. As part of the sale, approximately $3.3 million of goodwill was included in the carrying amount of Bakkt Trust upon sale and in determining the loss on sale.</w:t>
      </w:r>
    </w:p>
    <w:p>
      <w:pPr>
        <w:spacing w:after="0" w:line="162" w:lineRule="exact"/>
        <w:rPr>
          <w:sz w:val="20"/>
          <w:szCs w:val="20"/>
          <w:color w:val="auto"/>
        </w:rPr>
      </w:pPr>
    </w:p>
    <w:p>
      <w:pPr>
        <w:jc w:val="both"/>
        <w:ind w:right="20" w:firstLine="641"/>
        <w:spacing w:after="0" w:line="308" w:lineRule="auto"/>
        <w:rPr>
          <w:sz w:val="20"/>
          <w:szCs w:val="20"/>
          <w:color w:val="auto"/>
        </w:rPr>
      </w:pPr>
      <w:r>
        <w:rPr>
          <w:rFonts w:ascii="Times New Roman" w:cs="Times New Roman" w:eastAsia="Times New Roman" w:hAnsi="Times New Roman"/>
          <w:sz w:val="18"/>
          <w:szCs w:val="18"/>
          <w:color w:val="auto"/>
        </w:rPr>
        <w:t>Bakkt management did not identify any indicators of impairment related to goodwill and other intangible assets during the three months ended June 30, 2025.</w:t>
      </w:r>
    </w:p>
    <w:p>
      <w:pPr>
        <w:spacing w:after="0" w:line="177"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On March 14, 2025, the Company's largest crypto client, Webull, notified the Company that it would not renew its agreement with Bakkt that ended on June 14, 2025, although the Company continues to service a limited number of states under an amended agreement with Webull. Due to the significance of Webull to the Company's historical Crypto services revenue, Bakkt management determined that the non-renewal notification was a triggering event indicating a potential impairment of the Company's goodwill during the three months ended March 31, 2025. Bakkt management elected to bypass performing a qualitative assessment and proceeded directly to a quantitative impairment assessment.</w:t>
      </w:r>
    </w:p>
    <w:p>
      <w:pPr>
        <w:spacing w:after="0" w:line="179"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The Company retained a third-party valuation firm to estimate the fair value of its indefinite lived intangible asset (the “Tradename”) and single reporting unit.</w:t>
      </w:r>
    </w:p>
    <w:p>
      <w:pPr>
        <w:spacing w:after="0" w:line="149"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Goodwill impairment is measured as the excess of a reporting unit's carrying amount over its estimated fair value, not to exceed the carrying amount of goodwill for that reporting unit. For the quantitative goodwill impairment analysis, the Company compared the estimated fair value of its reporting unit to the carrying amount. The estimated fair value of the reporting unit was derived using a market approach and an income approach, with equal weighting given to both approaches. A discounted cash flow (“DCF”) model was used for the income approach. The DCF model reflected the Company’s assumptions regarding revenue growth rates, forecast earnings before interest, taxes, depreciation, and amortization (“EBITDA”) margins (and thus operating expenses), capital expenditures, discount rates (including the company-specific risk premium assumption), terminal period growth rates, economic and market trends, and other</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expectations about the anticipated operating results of its reporting unit. Management estimates of future performance and metrics of guideline public companies (“GPCs”) were used to estimate revenue growth rates, EBITDA margins, and discount rate. Market and industry reports and data were used to estimate terminal period growth rates. The base of the income approach utilized the Company’s projected cash flow estimates, which are unobservable, Level 3 inputs. Unobservable inputs are used to measure fair value to the extent that relevant observable inputs are not available. The overall forecast estimate was developed using the best information available as of March 31, 2025, in consultation with a third-party valuation firm. The discount rate used is intended to be commensurate with the risks and uncertainty inherent in Bakkt’s business. The market approach valuation was derived from metrics of the GPCs, which are Level 2 inputs, and management estimates of future performance with consideration for a control premium. A significant judgment in using the market approach includes the selection of comparable GPCs with consideration of risk profiles, size, geography, and business operations.</w:t>
      </w:r>
    </w:p>
    <w:p>
      <w:pPr>
        <w:spacing w:after="0" w:line="183"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The impairment analysis for the Tradename involved the use of a relief from royalty approach, which estimated the value of the stream of payments a market participant would pay to make use of the in-place Tradename. Significant judgments in this analysis included forecasted revenue and growth rates, the royalty rate, and the discount rate.</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discount rate used in the valuations described above was 12.5%.</w:t>
      </w:r>
    </w:p>
    <w:p>
      <w:pPr>
        <w:spacing w:after="0" w:line="247"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The results of the Company’s quantitative impairment analyses as of March 31, 2025 indicated that there was no impairment of the Company’s Tradename or goodwill. Bakkt Management considered the existence of material nonpublic information as of March 31, 2025 in reaching this conclusion (Level 3 inputs). In the event the financial performance of the reporting unit does not meet management’s expectations in the future, the Company experiences a prolonged macroeconomic downturn, there is a decline in the Company’s market capitalization, or there are other negative revisions to key assumptions used in the DCF or Market Approach used to value the Tradename and reporting unit, the Company may be required to perform additional impairment analyses with respect to the reporting unit and Tradename and could be required to recognize impairment charges.</w:t>
      </w:r>
    </w:p>
    <w:p>
      <w:pPr>
        <w:spacing w:after="0" w:line="189"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Management did not identify any indicators of impairment during the three months ended June 30, 2024. During the three months ended March 31, 2024, management identified a triggering event related to the significant decline in the Company's stock price, indicating a potential impairment of the Company's goodwill. Management determined no goodwill impairment charge was required based on a comparison of the Company's market capitalization against the carrying value of its equity.</w:t>
      </w:r>
    </w:p>
    <w:p>
      <w:pPr>
        <w:sectPr>
          <w:pgSz w:w="11900" w:h="16838" w:orient="portrait"/>
          <w:cols w:equalWidth="0" w:num="1">
            <w:col w:w="11240"/>
          </w:cols>
          <w:pgMar w:left="320" w:top="108" w:right="339" w:bottom="1440" w:gutter="0" w:footer="0" w:header="0"/>
        </w:sectPr>
      </w:pP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Intangible assets consisted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Trademarks / trade names</w:t>
      </w:r>
    </w:p>
    <w:p>
      <w:pPr>
        <w:spacing w:after="0" w:line="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Trademarks / trade names</w:t>
      </w:r>
    </w:p>
    <w:p>
      <w:pPr>
        <w:spacing w:after="0" w:line="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June 30, 2025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 w:type="dxa"/>
            <w:vAlign w:val="bottom"/>
          </w:tcPr>
          <w:p>
            <w:pPr>
              <w:spacing w:after="0"/>
              <w:rPr>
                <w:sz w:val="13"/>
                <w:szCs w:val="13"/>
                <w:color w:val="auto"/>
              </w:rPr>
            </w:pPr>
          </w:p>
        </w:tc>
        <w:tc>
          <w:tcPr>
            <w:tcW w:w="1500" w:type="dxa"/>
            <w:vAlign w:val="bottom"/>
            <w:tcBorders>
              <w:top w:val="single" w:sz="8" w:color="auto"/>
            </w:tcBorders>
          </w:tcPr>
          <w:p>
            <w:pPr>
              <w:jc w:val="center"/>
              <w:spacing w:after="0" w:line="154"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95"/>
              <w:spacing w:after="0" w:line="154"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ind w:left="120"/>
              <w:spacing w:after="0" w:line="154"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center"/>
              <w:ind w:right="115"/>
              <w:spacing w:after="0" w:line="154" w:lineRule="exact"/>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09"/>
        </w:trPr>
        <w:tc>
          <w:tcPr>
            <w:tcW w:w="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Useful Life (in years)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Pr>
          <w:p>
            <w:pPr>
              <w:spacing w:after="0"/>
              <w:rPr>
                <w:sz w:val="18"/>
                <w:szCs w:val="18"/>
                <w:color w:val="auto"/>
              </w:rPr>
            </w:pPr>
          </w:p>
        </w:tc>
        <w:tc>
          <w:tcPr>
            <w:tcW w:w="13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80" w:type="dxa"/>
            <w:vAlign w:val="bottom"/>
          </w:tcPr>
          <w:p>
            <w:pPr>
              <w:spacing w:after="0"/>
              <w:rPr>
                <w:sz w:val="18"/>
                <w:szCs w:val="18"/>
                <w:color w:val="auto"/>
              </w:rPr>
            </w:pPr>
          </w:p>
        </w:tc>
        <w:tc>
          <w:tcPr>
            <w:tcW w:w="128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9"/>
              </w:rPr>
              <w:t>Amount</w:t>
            </w:r>
          </w:p>
        </w:tc>
      </w:tr>
      <w:tr>
        <w:trPr>
          <w:trHeight w:val="232"/>
        </w:trPr>
        <w:tc>
          <w:tcPr>
            <w:tcW w:w="8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r>
      <w:tr>
        <w:trPr>
          <w:trHeight w:val="220"/>
        </w:trPr>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r>
      <w:tr>
        <w:trPr>
          <w:trHeight w:val="20"/>
        </w:trPr>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gridSpan w:val="3"/>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554"/>
        </w:trPr>
        <w:tc>
          <w:tcPr>
            <w:tcW w:w="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54"/>
        </w:trPr>
        <w:tc>
          <w:tcPr>
            <w:tcW w:w="80" w:type="dxa"/>
            <w:vAlign w:val="bottom"/>
          </w:tcPr>
          <w:p>
            <w:pPr>
              <w:spacing w:after="0"/>
              <w:rPr>
                <w:sz w:val="13"/>
                <w:szCs w:val="13"/>
                <w:color w:val="auto"/>
              </w:rPr>
            </w:pPr>
          </w:p>
        </w:tc>
        <w:tc>
          <w:tcPr>
            <w:tcW w:w="1500" w:type="dxa"/>
            <w:vAlign w:val="bottom"/>
          </w:tcPr>
          <w:p>
            <w:pPr>
              <w:jc w:val="center"/>
              <w:ind w:right="76"/>
              <w:spacing w:after="0" w:line="154"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right"/>
              <w:ind w:right="175"/>
              <w:spacing w:after="0" w:line="154" w:lineRule="exact"/>
              <w:rPr>
                <w:sz w:val="20"/>
                <w:szCs w:val="20"/>
                <w:color w:val="auto"/>
              </w:rPr>
            </w:pPr>
            <w:r>
              <w:rPr>
                <w:rFonts w:ascii="Times New Roman" w:cs="Times New Roman" w:eastAsia="Times New Roman" w:hAnsi="Times New Roman"/>
                <w:sz w:val="16"/>
                <w:szCs w:val="16"/>
                <w:b w:val="1"/>
                <w:bCs w:val="1"/>
                <w:color w:val="auto"/>
                <w:w w:val="98"/>
              </w:rPr>
              <w:t>Gross Carrying</w:t>
            </w:r>
          </w:p>
        </w:tc>
        <w:tc>
          <w:tcPr>
            <w:tcW w:w="280" w:type="dxa"/>
            <w:vAlign w:val="bottom"/>
          </w:tcPr>
          <w:p>
            <w:pPr>
              <w:spacing w:after="0"/>
              <w:rPr>
                <w:sz w:val="13"/>
                <w:szCs w:val="13"/>
                <w:color w:val="auto"/>
              </w:rPr>
            </w:pPr>
          </w:p>
        </w:tc>
        <w:tc>
          <w:tcPr>
            <w:tcW w:w="1340" w:type="dxa"/>
            <w:vAlign w:val="bottom"/>
          </w:tcPr>
          <w:p>
            <w:pPr>
              <w:ind w:left="40"/>
              <w:spacing w:after="0" w:line="154"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80" w:type="dxa"/>
            <w:vAlign w:val="bottom"/>
          </w:tcPr>
          <w:p>
            <w:pPr>
              <w:spacing w:after="0"/>
              <w:rPr>
                <w:sz w:val="13"/>
                <w:szCs w:val="13"/>
                <w:color w:val="auto"/>
              </w:rPr>
            </w:pPr>
          </w:p>
        </w:tc>
        <w:tc>
          <w:tcPr>
            <w:tcW w:w="1280" w:type="dxa"/>
            <w:vAlign w:val="bottom"/>
          </w:tcPr>
          <w:p>
            <w:pPr>
              <w:jc w:val="center"/>
              <w:ind w:right="115"/>
              <w:spacing w:after="0" w:line="154" w:lineRule="exact"/>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12"/>
        </w:trPr>
        <w:tc>
          <w:tcPr>
            <w:tcW w:w="1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Useful Life (in years)</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9"/>
              </w:rPr>
              <w:t>Amount</w:t>
            </w:r>
          </w:p>
        </w:tc>
      </w:tr>
      <w:tr>
        <w:trPr>
          <w:trHeight w:val="222"/>
        </w:trPr>
        <w:tc>
          <w:tcPr>
            <w:tcW w:w="80" w:type="dxa"/>
            <w:vAlign w:val="bottom"/>
          </w:tcPr>
          <w:p>
            <w:pPr>
              <w:spacing w:after="0"/>
              <w:rPr>
                <w:sz w:val="19"/>
                <w:szCs w:val="19"/>
                <w:color w:val="auto"/>
              </w:rPr>
            </w:pPr>
          </w:p>
        </w:tc>
        <w:tc>
          <w:tcPr>
            <w:tcW w:w="1500" w:type="dxa"/>
            <w:vAlign w:val="bottom"/>
          </w:tcPr>
          <w:p>
            <w:pPr>
              <w:jc w:val="center"/>
              <w:ind w:right="76"/>
              <w:spacing w:after="0"/>
              <w:rPr>
                <w:sz w:val="20"/>
                <w:szCs w:val="20"/>
                <w:color w:val="auto"/>
              </w:rPr>
            </w:pPr>
            <w:r>
              <w:rPr>
                <w:rFonts w:ascii="Times New Roman" w:cs="Times New Roman" w:eastAsia="Times New Roman" w:hAnsi="Times New Roman"/>
                <w:sz w:val="18"/>
                <w:szCs w:val="18"/>
                <w:color w:val="auto"/>
                <w:w w:val="99"/>
              </w:rPr>
              <w:t>Indefinite</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2,900</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r>
      <w:tr>
        <w:trPr>
          <w:trHeight w:val="220"/>
        </w:trPr>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2,900</w:t>
            </w:r>
          </w:p>
        </w:tc>
        <w:tc>
          <w:tcPr>
            <w:tcW w:w="2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r>
      <w:tr>
        <w:trPr>
          <w:trHeight w:val="20"/>
        </w:trPr>
        <w:tc>
          <w:tcPr>
            <w:tcW w:w="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-3131820</wp:posOffset>
            </wp:positionH>
            <wp:positionV relativeFrom="paragraph">
              <wp:posOffset>-1271905</wp:posOffset>
            </wp:positionV>
            <wp:extent cx="7133590" cy="144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3590" cy="1441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-186055</wp:posOffset>
            </wp:positionV>
            <wp:extent cx="7133590" cy="169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3590" cy="169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40" w:space="100"/>
            <w:col w:w="6300"/>
          </w:cols>
          <w:pgMar w:left="320" w:top="108" w:right="339" w:bottom="1440" w:gutter="0" w:footer="0" w:header="0"/>
          <w:type w:val="continuous"/>
        </w:sectPr>
      </w:pPr>
    </w:p>
    <w:p>
      <w:pPr>
        <w:spacing w:after="0" w:line="102" w:lineRule="exact"/>
        <w:rPr>
          <w:sz w:val="20"/>
          <w:szCs w:val="20"/>
          <w:color w:val="auto"/>
        </w:rPr>
      </w:pPr>
    </w:p>
    <w:p>
      <w:pPr>
        <w:ind w:firstLine="641"/>
        <w:spacing w:after="0" w:line="308" w:lineRule="auto"/>
        <w:rPr>
          <w:sz w:val="20"/>
          <w:szCs w:val="20"/>
          <w:color w:val="auto"/>
        </w:rPr>
      </w:pPr>
      <w:r>
        <w:rPr>
          <w:rFonts w:ascii="Times New Roman" w:cs="Times New Roman" w:eastAsia="Times New Roman" w:hAnsi="Times New Roman"/>
          <w:sz w:val="18"/>
          <w:szCs w:val="18"/>
          <w:color w:val="auto"/>
        </w:rPr>
        <w:t>We did not record any amortization of intangible assets for the three and six months ended June 30, 2025 or June 30, 2024 as our finite-lived intangible assets have been fully impaired.</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Estimated future amortization for definite-lived intangible assets as of June 30, 2025 was zero as our finite-lived intangible assets had been fully impaired.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Consolidated Balance Sheet Components</w:t>
            </w: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54"/>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41"/>
        </w:trPr>
        <w:tc>
          <w:tcPr>
            <w:tcW w:w="7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Accounts receivable, net consisted of the following (in thousands):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80"/>
        </w:trPr>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24"/>
                <w:szCs w:val="24"/>
                <w:color w:val="auto"/>
              </w:rPr>
            </w:pPr>
          </w:p>
        </w:tc>
        <w:tc>
          <w:tcPr>
            <w:tcW w:w="184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0"/>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11,768</w:t>
            </w: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from customers, clients and liquidity partners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w:t>
            </w: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w:t>
            </w: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r>
      <w:tr>
        <w:trPr>
          <w:trHeight w:val="22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accounts receivable</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25,666</w:t>
            </w: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r>
      <w:tr>
        <w:trPr>
          <w:trHeight w:val="22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24,648</w:t>
            </w: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Deposits includes cash, as noted on the consolidated statements of cash flows, at clearing agencies used to settle customer transactions. Amounts payable and receivable to our liquidity providers are reported net by counterparty when the right of offset exists.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Other current assets consisted of the following (in thousands):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4"/>
        </w:trPr>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24"/>
                <w:szCs w:val="24"/>
                <w:color w:val="auto"/>
              </w:rPr>
            </w:pPr>
          </w:p>
        </w:tc>
        <w:tc>
          <w:tcPr>
            <w:tcW w:w="184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0"/>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0" w:type="dxa"/>
            <w:vAlign w:val="bottom"/>
          </w:tcPr>
          <w:p>
            <w:pPr>
              <w:spacing w:after="0"/>
              <w:rPr>
                <w:sz w:val="1"/>
                <w:szCs w:val="1"/>
                <w:color w:val="auto"/>
              </w:rPr>
            </w:pPr>
          </w:p>
        </w:tc>
      </w:tr>
      <w:tr>
        <w:trPr>
          <w:trHeight w:val="227"/>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45"/>
        </w:trPr>
        <w:tc>
          <w:tcPr>
            <w:tcW w:w="7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70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 (in thousands):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24"/>
                <w:szCs w:val="24"/>
                <w:color w:val="auto"/>
              </w:rPr>
            </w:pPr>
          </w:p>
        </w:tc>
        <w:tc>
          <w:tcPr>
            <w:tcW w:w="184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0"/>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0" w:type="dxa"/>
            <w:vAlign w:val="bottom"/>
          </w:tcPr>
          <w:p>
            <w:pPr>
              <w:spacing w:after="0"/>
              <w:rPr>
                <w:sz w:val="1"/>
                <w:szCs w:val="1"/>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computer and network equipment</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0" w:type="dxa"/>
            <w:vAlign w:val="bottom"/>
          </w:tcPr>
          <w:p>
            <w:pPr>
              <w:spacing w:after="0"/>
              <w:rPr>
                <w:sz w:val="1"/>
                <w:szCs w:val="1"/>
                <w:color w:val="auto"/>
              </w:rPr>
            </w:pP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20"/>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gross</w:t>
            </w: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w:t>
            </w:r>
          </w:p>
        </w:tc>
        <w:tc>
          <w:tcPr>
            <w:tcW w:w="0" w:type="dxa"/>
            <w:vAlign w:val="bottom"/>
          </w:tcPr>
          <w:p>
            <w:pPr>
              <w:spacing w:after="0"/>
              <w:rPr>
                <w:sz w:val="1"/>
                <w:szCs w:val="1"/>
                <w:color w:val="auto"/>
              </w:rPr>
            </w:pPr>
          </w:p>
        </w:tc>
      </w:tr>
      <w:tr>
        <w:trPr>
          <w:trHeight w:val="227"/>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 and depreciation</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0" w:type="dxa"/>
            <w:vAlign w:val="bottom"/>
          </w:tcPr>
          <w:p>
            <w:pPr>
              <w:spacing w:after="0"/>
              <w:rPr>
                <w:sz w:val="1"/>
                <w:szCs w:val="1"/>
                <w:color w:val="auto"/>
              </w:rPr>
            </w:pPr>
          </w:p>
        </w:tc>
      </w:tr>
      <w:tr>
        <w:trPr>
          <w:trHeight w:val="22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For the three and six months ended June 30, 2025, depreciation and amortization expense related to property, equipment and software amounted to $0.2 million and $0.4 million, of which $0.1 million and $0.3 million, respectively, related to amortization expense of capitalized internal-use software placed in service.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For the three and six months ended June 30, 2024, depreciation and amortization expense related to property, equipment and software amounted to $0.1 million and $0.2 million, of which $0.1 million and $0.1 million, respectively, related to amortization expense of capitalized internal-use software placed in service.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54"/>
        </w:trPr>
        <w:tc>
          <w:tcPr>
            <w:tcW w:w="7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94"/>
        </w:trPr>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24"/>
                <w:szCs w:val="24"/>
                <w:color w:val="auto"/>
              </w:rPr>
            </w:pPr>
          </w:p>
        </w:tc>
        <w:tc>
          <w:tcPr>
            <w:tcW w:w="184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0"/>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9,735</w:t>
            </w:r>
          </w:p>
        </w:tc>
      </w:tr>
      <w:tr>
        <w:trPr>
          <w:trHeight w:val="227"/>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2,832</w:t>
            </w:r>
          </w:p>
        </w:tc>
      </w:tr>
      <w:tr>
        <w:trPr>
          <w:trHeight w:val="245"/>
        </w:trPr>
        <w:tc>
          <w:tcPr>
            <w:tcW w:w="7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12,567</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jc w:val="both"/>
        <w:ind w:firstLine="641"/>
        <w:spacing w:after="0" w:line="313" w:lineRule="auto"/>
        <w:rPr>
          <w:sz w:val="20"/>
          <w:szCs w:val="20"/>
          <w:color w:val="auto"/>
        </w:rPr>
      </w:pPr>
      <w:r>
        <w:rPr>
          <w:rFonts w:ascii="Times New Roman" w:cs="Times New Roman" w:eastAsia="Times New Roman" w:hAnsi="Times New Roman"/>
          <w:sz w:val="17"/>
          <w:szCs w:val="17"/>
          <w:color w:val="auto"/>
        </w:rPr>
        <w:t>The Company accounts for crypto it owns as indefinite-lived intangible assets and initially measures such crypto assets at cost (under a first-in, first-out basis). These assets are not amortized, but are measured at fair value each reporting period with changes recognized in net income (loss). Bakkt generally holds a nominal amount of each crypto asset it supports on its platform to facilitate trades and settlements, if necessary. The crypto assets are reported in "Other assets" on the consolidated balance sheets and fair value changes are recognized in "other (expense) income, net" on the consolidated statements of operations. The Company's owned crypto assets are typically liquidated on a daily basis during the fulfillment of customer orders and settlement with liquidity providers. Fair value changes were not material for the three and six months ended June 30, 2025. Bakkt's owned crypto assets were $1.4 million and $1.2 million as of June 30, 2025 and December 31, 2024. We classify cash flows from crypto within cash flows from operating activities.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and Accrued Liabilities</w:t>
      </w: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Accounts payable and accrued liabilities consisted of the following (in thousands):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20"/>
                <w:szCs w:val="20"/>
                <w:color w:val="auto"/>
              </w:rPr>
            </w:pPr>
          </w:p>
        </w:tc>
        <w:tc>
          <w:tcPr>
            <w:tcW w:w="184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0"/>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w:t>
            </w:r>
          </w:p>
        </w:tc>
        <w:tc>
          <w:tcPr>
            <w:tcW w:w="0" w:type="dxa"/>
            <w:vAlign w:val="bottom"/>
          </w:tcPr>
          <w:p>
            <w:pPr>
              <w:spacing w:after="0"/>
              <w:rPr>
                <w:sz w:val="1"/>
                <w:szCs w:val="1"/>
                <w:color w:val="auto"/>
              </w:rPr>
            </w:pPr>
          </w:p>
        </w:tc>
      </w:tr>
      <w:tr>
        <w:trPr>
          <w:trHeight w:val="227"/>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Payables to clients and customers</w:t>
            </w: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0" w:type="dxa"/>
            <w:vAlign w:val="bottom"/>
          </w:tcPr>
          <w:p>
            <w:pPr>
              <w:spacing w:after="0"/>
              <w:rPr>
                <w:sz w:val="1"/>
                <w:szCs w:val="1"/>
                <w:color w:val="auto"/>
              </w:rPr>
            </w:pPr>
          </w:p>
        </w:tc>
      </w:tr>
      <w:tr>
        <w:trPr>
          <w:trHeight w:val="227"/>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1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14,603</w:t>
            </w:r>
          </w:p>
        </w:tc>
        <w:tc>
          <w:tcPr>
            <w:tcW w:w="0" w:type="dxa"/>
            <w:vAlign w:val="bottom"/>
          </w:tcPr>
          <w:p>
            <w:pPr>
              <w:spacing w:after="0"/>
              <w:rPr>
                <w:sz w:val="1"/>
                <w:szCs w:val="1"/>
                <w:color w:val="auto"/>
              </w:rPr>
            </w:pPr>
          </w:p>
        </w:tc>
      </w:tr>
      <w:tr>
        <w:trPr>
          <w:trHeight w:val="227"/>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Purchasing card payable</w:t>
            </w: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0" w:type="dxa"/>
            <w:vAlign w:val="bottom"/>
          </w:tcPr>
          <w:p>
            <w:pPr>
              <w:spacing w:after="0"/>
              <w:rPr>
                <w:sz w:val="1"/>
                <w:szCs w:val="1"/>
                <w:color w:val="auto"/>
              </w:rPr>
            </w:pPr>
          </w:p>
        </w:tc>
      </w:tr>
      <w:tr>
        <w:trPr>
          <w:trHeight w:val="227"/>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benefits payable</w:t>
            </w:r>
          </w:p>
        </w:tc>
        <w:tc>
          <w:tcPr>
            <w:tcW w:w="16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27"/>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Loyalty revenue share liability</w:t>
            </w:r>
          </w:p>
        </w:tc>
        <w:tc>
          <w:tcPr>
            <w:tcW w:w="1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w:t>
            </w:r>
          </w:p>
        </w:tc>
        <w:tc>
          <w:tcPr>
            <w:tcW w:w="0" w:type="dxa"/>
            <w:vAlign w:val="bottom"/>
          </w:tcPr>
          <w:p>
            <w:pPr>
              <w:spacing w:after="0"/>
              <w:rPr>
                <w:sz w:val="1"/>
                <w:szCs w:val="1"/>
                <w:color w:val="auto"/>
              </w:rPr>
            </w:pPr>
          </w:p>
        </w:tc>
      </w:tr>
      <w:tr>
        <w:trPr>
          <w:trHeight w:val="227"/>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0" w:type="dxa"/>
            <w:vAlign w:val="bottom"/>
          </w:tcPr>
          <w:p>
            <w:pPr>
              <w:spacing w:after="0"/>
              <w:rPr>
                <w:sz w:val="1"/>
                <w:szCs w:val="1"/>
                <w:color w:val="auto"/>
              </w:rPr>
            </w:pPr>
          </w:p>
        </w:tc>
      </w:tr>
      <w:tr>
        <w:trPr>
          <w:trHeight w:val="220"/>
        </w:trPr>
        <w:tc>
          <w:tcPr>
            <w:tcW w:w="5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42,683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39,911</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1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542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54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Other current liabilities consisted of the following (in thousands):</w:t>
            </w: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4"/>
        </w:trPr>
        <w:tc>
          <w:tcPr>
            <w:tcW w:w="5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24"/>
                <w:szCs w:val="24"/>
                <w:color w:val="auto"/>
              </w:rPr>
            </w:pPr>
          </w:p>
        </w:tc>
        <w:tc>
          <w:tcPr>
            <w:tcW w:w="184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220"/>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maturities of operating lease liability</w:t>
            </w:r>
          </w:p>
        </w:tc>
        <w:tc>
          <w:tcPr>
            <w:tcW w:w="16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0" w:type="dxa"/>
            <w:vAlign w:val="bottom"/>
          </w:tcPr>
          <w:p>
            <w:pPr>
              <w:spacing w:after="0"/>
              <w:rPr>
                <w:sz w:val="1"/>
                <w:szCs w:val="1"/>
                <w:color w:val="auto"/>
              </w:rPr>
            </w:pPr>
          </w:p>
        </w:tc>
      </w:tr>
      <w:tr>
        <w:trPr>
          <w:trHeight w:val="227"/>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0" w:type="dxa"/>
            <w:vAlign w:val="bottom"/>
          </w:tcPr>
          <w:p>
            <w:pPr>
              <w:spacing w:after="0"/>
              <w:rPr>
                <w:sz w:val="1"/>
                <w:szCs w:val="1"/>
                <w:color w:val="auto"/>
              </w:rPr>
            </w:pPr>
          </w:p>
        </w:tc>
      </w:tr>
      <w:tr>
        <w:trPr>
          <w:trHeight w:val="245"/>
        </w:trPr>
        <w:tc>
          <w:tcPr>
            <w:tcW w:w="5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5,277</w:t>
            </w:r>
          </w:p>
        </w:tc>
        <w:tc>
          <w:tcPr>
            <w:tcW w:w="0" w:type="dxa"/>
            <w:vAlign w:val="bottom"/>
          </w:tcPr>
          <w:p>
            <w:pPr>
              <w:spacing w:after="0"/>
              <w:rPr>
                <w:sz w:val="1"/>
                <w:szCs w:val="1"/>
                <w:color w:val="auto"/>
              </w:rPr>
            </w:pP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ind w:right="1251"/>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2"/>
        </w:trPr>
        <w:tc>
          <w:tcPr>
            <w:tcW w:w="54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542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Noncurrent Liabilities</w:t>
            </w:r>
          </w:p>
        </w:tc>
        <w:tc>
          <w:tcPr>
            <w:tcW w:w="3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68"/>
        </w:trPr>
        <w:tc>
          <w:tcPr>
            <w:tcW w:w="7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Other noncurrent liabilities consisted of the following (in thousands):</w:t>
            </w:r>
          </w:p>
        </w:tc>
        <w:tc>
          <w:tcPr>
            <w:tcW w:w="3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80"/>
        </w:trPr>
        <w:tc>
          <w:tcPr>
            <w:tcW w:w="7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00" w:type="dxa"/>
            <w:vAlign w:val="bottom"/>
          </w:tcPr>
          <w:p>
            <w:pPr>
              <w:spacing w:after="0"/>
              <w:rPr>
                <w:sz w:val="24"/>
                <w:szCs w:val="24"/>
                <w:color w:val="auto"/>
              </w:rPr>
            </w:pPr>
          </w:p>
        </w:tc>
        <w:tc>
          <w:tcPr>
            <w:tcW w:w="1840" w:type="dxa"/>
            <w:vAlign w:val="bottom"/>
          </w:tcPr>
          <w:p>
            <w:pPr>
              <w:jc w:val="right"/>
              <w:ind w:right="211"/>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0"/>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19,261</w:t>
            </w:r>
          </w:p>
        </w:tc>
      </w:tr>
      <w:tr>
        <w:trPr>
          <w:trHeight w:val="220"/>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13,782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19,261</w:t>
            </w:r>
          </w:p>
        </w:tc>
      </w:tr>
      <w:tr>
        <w:trPr>
          <w:trHeight w:val="20"/>
        </w:trPr>
        <w:tc>
          <w:tcPr>
            <w:tcW w:w="7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20" w:hanging="313"/>
        <w:spacing w:after="0"/>
        <w:tabs>
          <w:tab w:leader="none" w:pos="3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Debenture</w:t>
      </w:r>
    </w:p>
    <w:p>
      <w:pPr>
        <w:spacing w:after="0" w:line="251"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On June 17, 2025, we entered into the Private Placement with YA II PN, LTD., a Cayman Islands exempt limited company (the “Investor”). The Private Placement closed on June 18, 2025.</w:t>
      </w:r>
    </w:p>
    <w:p>
      <w:pPr>
        <w:spacing w:after="0" w:line="149"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Pursuant to the terms of the Private Placement, the Investor purchased a $25 million convertible debenture (the “Convertible Debenture”) from the Company for a price of $23.75 million (the “Purchase Amount”). The Company intends to use the net proceeds from the Private Placement for working capital and general corporate purposes.</w:t>
      </w:r>
    </w:p>
    <w:p>
      <w:pPr>
        <w:spacing w:after="0" w:line="18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The Convertible Debenture accrues interest on the outstanding principal balance at an annual rate equal to 0%, which will increase to an annual rate of 18% upon the occurrence of an Event of Default (as defined in the Convertible Debenture) for so long as the Event of Default remains uncured. The Convertible Debenture will mature on the first anniversary of the closing date, unless earlier redeemed or converted in accordance with the terms, and may be extended at the option of the Investor (the “Maturity Date”). On the Maturity Date, the Company shall pay to the Investor an amount in cash representing all outstanding Principal, accrued and unpaid Interest, and any other amounts outstanding pursuant to the terms of the Convertible Debenture.</w:t>
      </w:r>
    </w:p>
    <w:p>
      <w:pPr>
        <w:spacing w:after="0" w:line="19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For so long as there is a balance outstanding under the Convertible Debenture, the Investor, in its sole discretion, may deliver to the Company a conversion notice (the “Conversion Notice”) to cause any portion of the outstanding and unpaid balance under the Convertible Debenture to be converted (the “Conversion Amount”) into the Company’s Class A common stock (the “Class A Common Stock”, and together with the Company’s Class V common stock, the “Common Stock”). The Conversion Amount will not exceed the balance owed under the Convertible Debenture on the date of delivery of the Conversion Notice.</w:t>
      </w:r>
    </w:p>
    <w:p>
      <w:pPr>
        <w:spacing w:after="0" w:line="179" w:lineRule="exact"/>
        <w:rPr>
          <w:sz w:val="20"/>
          <w:szCs w:val="20"/>
          <w:color w:val="auto"/>
        </w:rPr>
      </w:pPr>
    </w:p>
    <w:p>
      <w:pPr>
        <w:jc w:val="both"/>
        <w:ind w:firstLine="641"/>
        <w:spacing w:after="0" w:line="303" w:lineRule="auto"/>
        <w:rPr>
          <w:sz w:val="20"/>
          <w:szCs w:val="20"/>
          <w:color w:val="auto"/>
        </w:rPr>
      </w:pPr>
      <w:r>
        <w:rPr>
          <w:rFonts w:ascii="Times New Roman" w:cs="Times New Roman" w:eastAsia="Times New Roman" w:hAnsi="Times New Roman"/>
          <w:sz w:val="17"/>
          <w:szCs w:val="17"/>
          <w:color w:val="auto"/>
        </w:rPr>
        <w:t>The debenture includes a monthly conversion limitation (the “Conversion Cap”) that restricts the Investor and its affiliates from converting more than $6.25 million in principal during any calendar month. The limitation does not apply (i) during the occurrence and continuation of an Event of Default or</w:t>
      </w:r>
    </w:p>
    <w:p>
      <w:pPr>
        <w:spacing w:after="0" w:line="1" w:lineRule="exact"/>
        <w:rPr>
          <w:sz w:val="20"/>
          <w:szCs w:val="20"/>
          <w:color w:val="auto"/>
        </w:rPr>
      </w:pPr>
    </w:p>
    <w:p>
      <w:pPr>
        <w:ind w:firstLine="7"/>
        <w:spacing w:after="0" w:line="324" w:lineRule="auto"/>
        <w:tabs>
          <w:tab w:leader="none" w:pos="26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conversions at or above the Fixed Price (defined below), and it may be waived with the Company’s written consent. Unused conversion capacity may not be carried forward to future months.</w:t>
      </w:r>
    </w:p>
    <w:p>
      <w:pPr>
        <w:spacing w:after="0" w:line="149"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The Company will not issue more than 2,827,906 shares of Class A Common Stock pursuant to this transaction or any related transaction documents, which represents 19.99% of the aggregate number of the Company’s outstanding Class A and Class V Common Stock, in accordance with NYSE rules and regulations (the “Exchange Cap”). This limitation will not apply if the Company obtains (i) stockholder approval as required under NYSE rules or (ii) a written opinion of outside counsel that such approval is not necessary.</w:t>
      </w:r>
    </w:p>
    <w:p>
      <w:pPr>
        <w:spacing w:after="0" w:line="171" w:lineRule="exact"/>
        <w:rPr>
          <w:sz w:val="20"/>
          <w:szCs w:val="20"/>
          <w:color w:val="auto"/>
        </w:rPr>
      </w:pPr>
    </w:p>
    <w:p>
      <w:pPr>
        <w:jc w:val="both"/>
        <w:ind w:firstLine="641"/>
        <w:spacing w:after="0" w:line="297" w:lineRule="auto"/>
        <w:rPr>
          <w:sz w:val="20"/>
          <w:szCs w:val="20"/>
          <w:color w:val="auto"/>
        </w:rPr>
      </w:pPr>
      <w:r>
        <w:rPr>
          <w:rFonts w:ascii="Times New Roman" w:cs="Times New Roman" w:eastAsia="Times New Roman" w:hAnsi="Times New Roman"/>
          <w:sz w:val="18"/>
          <w:szCs w:val="18"/>
          <w:color w:val="auto"/>
        </w:rPr>
        <w:t>The shares of Class A Common Stock will be issued and sold to the Investor at a per share price (the “Conversion Price”) equal to the lower of (i) $14.51 per share or (ii) 97% of the lowest daily volume weighted average price ("VWAP") during the five consecutive trading days immediately preceding the conversion date (the “Variable Price”), but which Variable Price shall not be lower than $2.418. The shares of Class A Common Stock will be issued and sold to the Investor at the Conversion Price that would be applicable to the Conversion Amount selected by the Investor if such amount were to be converted as of the date of delivery of the Conversion Notice. The amount outstanding under the Convertible Debenture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then be offset by the Conversion Amount. As of June 30, 2025, no Conversion Notices have been delivered to the Company.</w:t>
      </w:r>
    </w:p>
    <w:p>
      <w:pPr>
        <w:spacing w:after="0" w:line="261"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The Debenture also provides the Company with the right, but not the obligation, to redeem all or a portion of the outstanding principal prior to maturity (“Optional Redemption”). To do so, the Company must deliver written notice to the Investor after market close on a trading day and only if the VWAP of the Company's Class A Common Stock on that day is below the fixed conversion price, unless otherwise agreed by the Investor. Upon receipt of such notice, the Investor has two trading days to elect to convert any or all of the redemption amount. The Company must pay the applicable redemption amount (consisting of principal, a payment premium, and any accrued and unpaid interest) on the third trading day following delivery of the redemption notice, net of any amounts converted by the Investor.</w:t>
      </w:r>
    </w:p>
    <w:p>
      <w:pPr>
        <w:spacing w:after="0" w:line="196"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To the extent any balance remains outstanding under the Convertible Debenture on the Maturity Date, the Company will pay to the Investor such outstanding balance in cash.</w:t>
      </w:r>
    </w:p>
    <w:p>
      <w:pPr>
        <w:spacing w:after="0" w:line="177"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The Company agrees to certain covenants related to the Convertible Debenture, including filing Form D and complying with applicable securities laws (“Blue Sky” laws), maintaining SEC reporting status during the life of the debentures, and reserving sufficient shares for conversion. Use of proceeds is restricted, prohibiting repayment of related-party loans (except permitted indebtedness) and investments in sanctioned countries or activities. The Company will secure and maintain listing of underlying shares on the principal market and comply with all reporting and disclosure obligations. The Investor may pledge the securities under margin or financing agreements. The Company will not incur additional indebtedness or liens beyond permitted exceptions without Investor consent and will maintain its corporate governance consistent with the terms of the Convertible Debenture. Stockholder approval will be sought if available shares fall below amounts necessary for conversion. The Investor agrees not to engage in short sales of Common Shares during the restricted period, except as expressly permitted. The Company must also provide trading information to the Investor upon request and refrain from entering agreements that limit its obligations under the Convertible Debenture until it is fully repaid or converted.</w:t>
      </w:r>
    </w:p>
    <w:p>
      <w:pPr>
        <w:spacing w:after="0" w:line="19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The Convertible Debenture also includes the following events of default, which may trigger acceleration of all outstanding amounts. These include:</w:t>
      </w:r>
    </w:p>
    <w:p>
      <w:pPr>
        <w:spacing w:after="0" w:line="285" w:lineRule="exact"/>
        <w:rPr>
          <w:sz w:val="20"/>
          <w:szCs w:val="20"/>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principal, interest, or other amounts within three trading days of the due date;</w:t>
      </w:r>
    </w:p>
    <w:p>
      <w:pPr>
        <w:spacing w:after="0" w:line="4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insolvency, or similar proceedings involving the Company or its subsidiaries;</w:t>
      </w:r>
    </w:p>
    <w:p>
      <w:pPr>
        <w:spacing w:after="0" w:line="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on other debt over $1 million that result in acceleration;</w:t>
      </w:r>
    </w:p>
    <w:p>
      <w:pPr>
        <w:spacing w:after="0" w:line="4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Judgments exceeding $1 million not resolved within 60 days (unless covered by insurance);</w:t>
      </w:r>
    </w:p>
    <w:p>
      <w:pPr>
        <w:spacing w:after="0" w:line="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Delisting of common shares for more than 10 consecutive trading days;</w:t>
      </w:r>
    </w:p>
    <w:p>
      <w:pPr>
        <w:spacing w:after="0" w:line="4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without repayment of the Debenture;</w:t>
      </w:r>
    </w:p>
    <w:p>
      <w:pPr>
        <w:spacing w:after="0" w:line="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deliver conversion shares or refusal to honor conversion requests;</w:t>
      </w:r>
    </w:p>
    <w:p>
      <w:pPr>
        <w:spacing w:after="0" w:line="4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misstatements or breaches of covenants not timely cured;</w:t>
      </w:r>
    </w:p>
    <w:p>
      <w:pPr>
        <w:spacing w:after="0" w:line="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proceeds in violation of margin rules;</w:t>
      </w:r>
    </w:p>
    <w:p>
      <w:pPr>
        <w:spacing w:after="0" w:line="4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Cross-default under related agreements.</w:t>
      </w:r>
    </w:p>
    <w:p>
      <w:pPr>
        <w:spacing w:after="0" w:line="274"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Upon an event of default, the Investor may accelerate payment of all outstanding amounts or convert the Debenture into common shares. As of June 30, 2025, the Company was not in default and was in compliance with all terms and conditions of the Convertible Debenture.</w:t>
      </w:r>
    </w:p>
    <w:p>
      <w:pPr>
        <w:spacing w:after="0" w:line="149" w:lineRule="exact"/>
        <w:rPr>
          <w:sz w:val="20"/>
          <w:szCs w:val="20"/>
          <w:color w:val="auto"/>
        </w:rPr>
      </w:pPr>
    </w:p>
    <w:p>
      <w:pPr>
        <w:jc w:val="both"/>
        <w:ind w:firstLine="641"/>
        <w:spacing w:after="0" w:line="309" w:lineRule="auto"/>
        <w:rPr>
          <w:sz w:val="20"/>
          <w:szCs w:val="20"/>
          <w:color w:val="auto"/>
        </w:rPr>
      </w:pPr>
      <w:r>
        <w:rPr>
          <w:rFonts w:ascii="Times New Roman" w:cs="Times New Roman" w:eastAsia="Times New Roman" w:hAnsi="Times New Roman"/>
          <w:sz w:val="18"/>
          <w:szCs w:val="18"/>
          <w:color w:val="auto"/>
        </w:rPr>
        <w:t>For purposes of calculating diluted earnings per share, the Company applies the if-converted method to the convertible portion of the outstanding Convertible Debentures. Under this method, the convertible portion is assumed to be converted into common shares at the beginning of the reporting period (or at the date of issuance, if later), and the resulting shares are included in the diluted weighted-average share count, if the effect is dilutive.</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sets forth the balance of the Convertible debenture as of June 30, 2025 (in thousands):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640" w:type="dxa"/>
        <w:tblCellMar>
          <w:top w:w="0" w:type="dxa"/>
          <w:left w:w="0" w:type="dxa"/>
          <w:bottom w:w="0" w:type="dxa"/>
          <w:right w:w="0" w:type="dxa"/>
        </w:tblCellMar>
      </w:tblPr>
      <w:tr>
        <w:trPr>
          <w:trHeight w:val="236"/>
        </w:trPr>
        <w:tc>
          <w:tcPr>
            <w:tcW w:w="87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2025</w:t>
            </w:r>
          </w:p>
        </w:tc>
      </w:tr>
      <w:tr>
        <w:trPr>
          <w:trHeight w:val="220"/>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Debenture</w:t>
            </w: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25,000</w:t>
            </w:r>
          </w:p>
        </w:tc>
      </w:tr>
      <w:tr>
        <w:trPr>
          <w:trHeight w:val="227"/>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Discount on Debt</w:t>
            </w:r>
          </w:p>
        </w:tc>
        <w:tc>
          <w:tcPr>
            <w:tcW w:w="300" w:type="dxa"/>
            <w:vAlign w:val="bottom"/>
          </w:tcPr>
          <w:p>
            <w:pPr>
              <w:spacing w:after="0"/>
              <w:rPr>
                <w:sz w:val="19"/>
                <w:szCs w:val="19"/>
                <w:color w:val="auto"/>
              </w:rPr>
            </w:pPr>
          </w:p>
        </w:tc>
        <w:tc>
          <w:tcPr>
            <w:tcW w:w="166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8"/>
              </w:rPr>
              <w:t>(1,235)</w:t>
            </w:r>
          </w:p>
        </w:tc>
      </w:tr>
      <w:tr>
        <w:trPr>
          <w:trHeight w:val="227"/>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Financing Charges</w:t>
            </w:r>
          </w:p>
        </w:tc>
        <w:tc>
          <w:tcPr>
            <w:tcW w:w="3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w w:val="98"/>
              </w:rPr>
              <w:t>(1,458)</w:t>
            </w:r>
          </w:p>
        </w:tc>
      </w:tr>
      <w:tr>
        <w:trPr>
          <w:trHeight w:val="22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Debenture, net</w:t>
            </w: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22,307</w:t>
            </w:r>
          </w:p>
        </w:tc>
      </w:tr>
      <w:tr>
        <w:trPr>
          <w:trHeight w:val="20"/>
        </w:trPr>
        <w:tc>
          <w:tcPr>
            <w:tcW w:w="8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ind w:left="320" w:hanging="313"/>
        <w:spacing w:after="0"/>
        <w:tabs>
          <w:tab w:leader="none" w:pos="3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Receivable Agreement</w:t>
      </w:r>
    </w:p>
    <w:p>
      <w:pPr>
        <w:spacing w:after="0" w:line="251" w:lineRule="exact"/>
        <w:rPr>
          <w:sz w:val="20"/>
          <w:szCs w:val="20"/>
          <w:color w:val="auto"/>
        </w:rPr>
      </w:pPr>
    </w:p>
    <w:p>
      <w:pPr>
        <w:jc w:val="both"/>
        <w:ind w:right="60" w:firstLine="641"/>
        <w:spacing w:after="0" w:line="294" w:lineRule="auto"/>
        <w:rPr>
          <w:sz w:val="20"/>
          <w:szCs w:val="20"/>
          <w:color w:val="auto"/>
        </w:rPr>
      </w:pPr>
      <w:r>
        <w:rPr>
          <w:rFonts w:ascii="Times New Roman" w:cs="Times New Roman" w:eastAsia="Times New Roman" w:hAnsi="Times New Roman"/>
          <w:sz w:val="18"/>
          <w:szCs w:val="18"/>
          <w:color w:val="auto"/>
        </w:rPr>
        <w:t>On October 15, 2021, we entered into a Tax Receivable Agreement (the "TRA") with certain Opco equity holders. Each Opco common unit, when coupled with one share of our Class V Common Stock is referred to as a “Paired Interest.” Pursuant to the TRA, among other things, holders of Opco Common Units may, subject to certain conditions exchange such Paired Interests for Class A Common Stock on a one-for-one basis, subject to the terms of the Amended and Restated Exchange Agreement, dated as of May 3, 2022 (the "Exchange Agreement") including our right to elect to deliver cash in lieu of Class A Common Stock and, in certain cases, adjustments as set forth therein. Opco will have in effect an election under Section 754 of the Internal Revenue Code for each taxable year in which an exchange of Opco Common Units for Class A Common Stock (or cash) occurs.</w:t>
      </w:r>
    </w:p>
    <w:p>
      <w:pPr>
        <w:spacing w:after="0" w:line="175" w:lineRule="exact"/>
        <w:rPr>
          <w:sz w:val="20"/>
          <w:szCs w:val="20"/>
          <w:color w:val="auto"/>
        </w:rPr>
      </w:pPr>
    </w:p>
    <w:p>
      <w:pPr>
        <w:jc w:val="both"/>
        <w:ind w:right="60" w:firstLine="641"/>
        <w:spacing w:after="0" w:line="301" w:lineRule="auto"/>
        <w:rPr>
          <w:sz w:val="20"/>
          <w:szCs w:val="20"/>
          <w:color w:val="auto"/>
        </w:rPr>
      </w:pPr>
      <w:r>
        <w:rPr>
          <w:rFonts w:ascii="Times New Roman" w:cs="Times New Roman" w:eastAsia="Times New Roman" w:hAnsi="Times New Roman"/>
          <w:sz w:val="18"/>
          <w:szCs w:val="18"/>
          <w:color w:val="auto"/>
        </w:rPr>
        <w:t>The exchanges are expected to result in increases in the tax basis of the tangible and intangible assets of Opco. These increases in tax basis may reduce the amount of tax that the Company would otherwise be required to pay in the future. These increases in tax basis may also decrease gains (or increase losses) on future dispositions of certain capital assets to the extent tax basis is allocated to those capital assets.</w:t>
      </w:r>
    </w:p>
    <w:p>
      <w:pPr>
        <w:spacing w:after="0" w:line="183" w:lineRule="exact"/>
        <w:rPr>
          <w:sz w:val="20"/>
          <w:szCs w:val="20"/>
          <w:color w:val="auto"/>
        </w:rPr>
      </w:pPr>
    </w:p>
    <w:p>
      <w:pPr>
        <w:jc w:val="both"/>
        <w:ind w:right="60" w:firstLine="641"/>
        <w:spacing w:after="0" w:line="289" w:lineRule="auto"/>
        <w:rPr>
          <w:sz w:val="20"/>
          <w:szCs w:val="20"/>
          <w:color w:val="auto"/>
        </w:rPr>
      </w:pPr>
      <w:r>
        <w:rPr>
          <w:rFonts w:ascii="Times New Roman" w:cs="Times New Roman" w:eastAsia="Times New Roman" w:hAnsi="Times New Roman"/>
          <w:sz w:val="18"/>
          <w:szCs w:val="18"/>
          <w:color w:val="auto"/>
        </w:rPr>
        <w:t>The TRA provides for the payment by the Company to exchanging holders of Opco Common Units of 85% of certain net income tax benefits, if any, that the Company realizes (or in certain cases are deemed to realize) as a result of these increases in tax basis related to entering into the TRA, including tax benefits attributable to payments under the TRA. This payment obligation is an obligation of the Company and not of Opco. For purposes of the TRA, the cash tax savings in income tax will be computed by comparing the Company's actual income tax liability (calculated with certain assumptions) to the amount of such taxes that the Company would have been required to pay had there been no increase to the tax basis of the assets of Opco as a result of Opco having an election in effect under Section 754 of the Code for each taxable year in which an exchange of Opco Common Units for Class A Common Stock occurs and had the Company not entered into the TRA. Such change will be calculated under the TRA without regard to any transfers of Opco Common Units or distributions with respect to such Opco Common Units before the exchange under the Exchange Agreement to which Section 743(b) or 734(b) of the Code applies. As of June 30, 2025, 1,061,075 Opco Common Units had been exchanged for Class A Common Stock. Based on the Company's history of taxable losses, the Company has concluded that it is not probable to expect cash tax payments in the foreseeable future and as such, no value has been recorded under the TRA. Refer to Note 14 regarding the contingency related to the TRA.</w:t>
      </w:r>
    </w:p>
    <w:p>
      <w:pPr>
        <w:spacing w:after="0" w:line="193" w:lineRule="exact"/>
        <w:rPr>
          <w:sz w:val="20"/>
          <w:szCs w:val="20"/>
          <w:color w:val="auto"/>
        </w:rPr>
      </w:pPr>
    </w:p>
    <w:p>
      <w:pPr>
        <w:ind w:left="320" w:hanging="313"/>
        <w:spacing w:after="0"/>
        <w:tabs>
          <w:tab w:leader="none" w:pos="3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Sale of Bakkt Trust</w:t>
      </w:r>
    </w:p>
    <w:p>
      <w:pPr>
        <w:spacing w:after="0" w:line="236" w:lineRule="exact"/>
        <w:rPr>
          <w:sz w:val="20"/>
          <w:szCs w:val="20"/>
          <w:color w:val="auto"/>
        </w:rPr>
      </w:pPr>
    </w:p>
    <w:p>
      <w:pPr>
        <w:jc w:val="both"/>
        <w:ind w:right="60" w:firstLine="641"/>
        <w:spacing w:after="0" w:line="293" w:lineRule="auto"/>
        <w:rPr>
          <w:sz w:val="20"/>
          <w:szCs w:val="20"/>
          <w:color w:val="auto"/>
        </w:rPr>
      </w:pPr>
      <w:r>
        <w:rPr>
          <w:rFonts w:ascii="Times New Roman" w:cs="Times New Roman" w:eastAsia="Times New Roman" w:hAnsi="Times New Roman"/>
          <w:sz w:val="18"/>
          <w:szCs w:val="18"/>
          <w:color w:val="auto"/>
        </w:rPr>
        <w:t>On March 17, 2025, Bakkt entered into an agreement with ICE whereby ICE agreed to purchase all of the outstanding equity interests of Bakkt Trust for a cash payment of $1.5 million plus the assumption of Bakkt Trust’s regulatory capital requirement, which was approximately $3.0 million as of signing, and certain operating costs of Bakkt Trust during the period between the signing of the purchase agreement and the closing of the transaction (subject to such closing). The sale of Bakkt Trust was completed on May 15, 2025. As a result of the sale, Bakkt recognized a loss of $2.3 million reflected in Other (expense) income, net in the consolidated statement of operations.</w:t>
      </w:r>
    </w:p>
    <w:p>
      <w:pPr>
        <w:spacing w:after="0" w:line="193" w:lineRule="exact"/>
        <w:rPr>
          <w:sz w:val="20"/>
          <w:szCs w:val="20"/>
          <w:color w:val="auto"/>
        </w:rPr>
      </w:pPr>
    </w:p>
    <w:p>
      <w:pPr>
        <w:jc w:val="both"/>
        <w:ind w:right="60" w:firstLine="641"/>
        <w:spacing w:after="0" w:line="301" w:lineRule="auto"/>
        <w:rPr>
          <w:sz w:val="20"/>
          <w:szCs w:val="20"/>
          <w:color w:val="auto"/>
        </w:rPr>
      </w:pPr>
      <w:r>
        <w:rPr>
          <w:rFonts w:ascii="Times New Roman" w:cs="Times New Roman" w:eastAsia="Times New Roman" w:hAnsi="Times New Roman"/>
          <w:sz w:val="18"/>
          <w:szCs w:val="18"/>
          <w:color w:val="auto"/>
        </w:rPr>
        <w:t>In conjunction with the sale of Bakkt Trust, Bakkt and ICE entered into a transition services agreement ("TSA") whereby the Company agreed to provide certain transitional services to ICE for defined fees for a period of up to six months from closing of the sale of Bakkt Trust. Amounts billed under the TSA generally relate to pass through of a portion</w:t>
      </w:r>
    </w:p>
    <w:p>
      <w:pPr>
        <w:spacing w:after="0" w:line="200" w:lineRule="exact"/>
        <w:rPr>
          <w:sz w:val="20"/>
          <w:szCs w:val="20"/>
          <w:color w:val="auto"/>
        </w:rPr>
      </w:pPr>
    </w:p>
    <w:p>
      <w:pPr>
        <w:spacing w:after="0" w:line="35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00"/>
          </w:cols>
          <w:pgMar w:left="320" w:top="108" w:right="2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7"/>
          <w:szCs w:val="17"/>
          <w:color w:val="auto"/>
        </w:rPr>
        <w:t>of third-party software costs and time incurred by Bakkt employees supporting Bakkt Trust. The TSA can be terminated with six months notice by either party for cause or by mutual agreement of the parties. The amount of fees charged to ICE under the TSA were not material for the three-month period ended June 30, 2025. Amounts billed under the TSA are generally recognized as a recovery of expenses incurred or as a component of "Other (expense) income, net" in the consolidated statements of operations. The amount of any receivables owed to Bakkt under the TSA were not material as of June 30, 2025.</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ICE Credit Facility</w:t>
      </w:r>
    </w:p>
    <w:p>
      <w:pPr>
        <w:spacing w:after="0" w:line="263"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On August 12, 2024, Bakkt and Opco entered into the ICE Credit Facility, with certain subsidiaries of Bakkt party thereto from time to time, as guarantors, whereby the Lender agreed to provide a $40.0 million secured revolving line of credit to the Company for working capital and general corporate purposes. For the period beginning December 31, 2024 through March 30, 2025, Opco could borrow up to an aggregate principal amount (excluding any capitalized interest) of $10.0 million. For the period beginning March 31 through June 29, 2025, Opco could borrow up to an aggregate principal amount (excluding any capitalized interest) of $20.0 million. From the period beginning June 30 through September 29, 2025, Opco could borrow up to an aggregate principal amount (excluding any capitalized interest) of $30.0 million.</w:t>
      </w:r>
    </w:p>
    <w:p>
      <w:pPr>
        <w:spacing w:after="0" w:line="196"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Loans under the ICE Credit Facility do not amortize and mature on December 31, 2026. Borrowings under the ICE Credit Facility accrue interest at a rate equal to, at Opco’s election, either the secured overnight financing rate (“SOFR”) for a term of one, three or six months plus 12%, or the prime rate plus 11%. Interest is payable quarterly in arrears with respect to borrowings bearing interest at the prime rate or on the last day of an interest period, but at least every three months, with respect to borrowings bearing interest at the term SOFR rate; provided, that Opco can elect to pay interest in kind by adding such interest amount to the principal amount of the outstanding borrowings under the ICE Credit Facility. For any interest period for which Opco has elected to pay interest in kind, the applicable margin on the outstanding loans will increase by 1% per annum. Under certain circumstances, a default interest rate will apply on all obligations during the existence of an event of default under the ICE Credit Facility at a per annum rate equal to 2% above the otherwise applicable interest rate.</w:t>
      </w:r>
    </w:p>
    <w:p>
      <w:pPr>
        <w:spacing w:after="0" w:line="183"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Opco pays a commitment fee of 0.5% per annum on the daily average of the available commitment that can be borrowed, less the outstanding principal amount of all loans (excluding any capitalized interest). Fees are payable in cash quarterly and at maturity. Loans under the ICE Credit Facility can be prepaid without penalty, subject to customary breakage costs for loans bearing interest at the term SOFR rate. Amounts repaid under the ICE Credit Facility can be reborrowed prior to the maturity date, subject to certain customary conditions set forth in the ICE Credit Facility.</w:t>
      </w:r>
    </w:p>
    <w:p>
      <w:pPr>
        <w:spacing w:after="0" w:line="171"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The ICE Credit Facility contains customary affirmative and negative covenants, including negative covenants limiting the ability of the Company and its subsidiaries to, among other things, incur debt, grant liens, undergo certain fundamental changes, dispose of assets, make certain restricted payments and prepayments, enter into restrictive agreements, enter into transactions with affiliates, make investments, and amend certain agreements relating to debt, in each case, subject to limitations and exceptions set forth in the ICE Credit Facility. The ICE Credit Facility also contains various customary events of default that include, among others, payment defaults, breach of covenants, inaccuracy of representations and warranties, cross defaults to certain other indebtedness, bankruptcy and insolvency events, judgment defaults, and events constituting a change of control, subject to thresholds and cure periods as set forth in the ICE Credit Facility.</w:t>
      </w:r>
    </w:p>
    <w:p>
      <w:pPr>
        <w:spacing w:after="0" w:line="194"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The obligations under the ICE Credit Facility are required to be guaranteed by Bakkt and certain material domestic subsidiaries of the Company and secured by substantially all of the personal property of the Company and such subsidiary guarantors.</w:t>
      </w:r>
    </w:p>
    <w:p>
      <w:pPr>
        <w:spacing w:after="0" w:line="177"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On March 27, 2025, the Company drew down $5.0 million under ICE Credit Facility. As of March 31, 2025, approximately $5.0 million of borrowings were outstanding under the ICE Credit Facility. On June 18, 2025, the Company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repaid all principal and accrued interest then outstanding on the ICE Credit Facility. As of June 30, 2025, there are no borrowings outstanding under the ICE Credit Facility.</w:t>
      </w:r>
    </w:p>
    <w:p>
      <w:pPr>
        <w:spacing w:after="0" w:line="149"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On June 17, 2025, the Company, the Borrower and ICE entered into an amendment to the ICE Credit Facility to permit the issuance of the Convertible Debenture described in Note 6.</w:t>
      </w:r>
    </w:p>
    <w:p>
      <w:pPr>
        <w:spacing w:after="0" w:line="149"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The Company recognized interest expense of $0.2 million for the three and six months ended June 30, 2025. No interest costs were incurred related to the ICE Credit Facility for the three and six months ended June 30, 2024 since the ICE Credit Facility was not in place as of June 30, 2024. The effective interest rate on the ICE Credit Facility as of payoff on June 18, 2025 was 16.3%.</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July 30, 2025, the Company terminated the ICE Credit Facility and repaid all fees due thereunder through the date of termination.</w:t>
      </w:r>
    </w:p>
    <w:p>
      <w:pPr>
        <w:spacing w:after="0" w:line="2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ICE Management and Technical Support</w:t>
      </w:r>
    </w:p>
    <w:p>
      <w:pPr>
        <w:spacing w:after="0" w:line="26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Upon consummation of the VIH Business Combination, the Company entered into a Transition Services Agreement with ICE (the “ICE TSA”), pursuant to which ICE provided insurance, digital warehouse, data center, technical support, and other transition-related services in exchange for quarterly service fees payable by us. The ICE TSA terminated in December 2023. Bakkt did not recognize any expense related to the ICE TSA for the three and six months ended June 30, 2025 and June 30, 2024. As of June 30, 2025 and December 31, 2024, zero and $2.4 million was recorded as “Due to related party” in the consolidated balance sheets related to the ICE TSA, respectively.</w:t>
      </w:r>
    </w:p>
    <w:p>
      <w:pPr>
        <w:spacing w:after="0" w:line="175" w:lineRule="exact"/>
        <w:rPr>
          <w:sz w:val="20"/>
          <w:szCs w:val="20"/>
          <w:color w:val="auto"/>
        </w:rPr>
      </w:pPr>
    </w:p>
    <w:p>
      <w:pPr>
        <w:ind w:left="320" w:hanging="313"/>
        <w:spacing w:after="0"/>
        <w:tabs>
          <w:tab w:leader="none" w:pos="3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65"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As of June 30, 2025 and December 31, 2024, there were 7,140,383 public warrants to purchase Class A Common Stock (the "Public Warrants") outstanding. The Public Warrants may only be exercised for a whole number of shares. No fractional shares will be issued upon exercise of the Public Warrants. Holders of The Public Warrants can exercise 25 Public Warrants to purchase one share of Class A Common Stock at an exercise price of $287.50 per share. The Public Warrants became exercisable on November 15, 2021. The Public Warrants will expire on October 15, 2026, or earlier upon redemption or liquidation. Bakkt may redeem the outstanding warrants when various conditions are met, such as specific stock prices, as detailed in the specific warrant agreements. The warrants are recorded as a liability and reflected as “Warrant liability” in the consolidated balance sheets.</w:t>
      </w:r>
    </w:p>
    <w:p>
      <w:pPr>
        <w:spacing w:after="0" w:line="175"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During the six months ended June 30, 2025 and June 30, 2024, the Company received an immaterial amount of proceeds from the exercise of the Public Warrants. From the change in fair value of the warrant liability, Bakkt recognized a gain of $0.2 million and $2.8 million during the three and six months ended June 30, 2025, respectively. During the three and six months ended June 30, 2024, Bakkt recognized a loss of $0.3 million and a gain of $1.1 million, respectively.</w:t>
      </w:r>
    </w:p>
    <w:p>
      <w:pPr>
        <w:spacing w:after="0" w:line="171"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In connection with the Concurrent Offerings (as defined below), Bakkt issued and sold to the Third-Party Purchasers (as defined below) an aggregate of 1,396,701 shares of the Company’s Class A Common Stock, including 196,701 shares of Class A Common Stock issued upon exercise of certain of the Pre-Funded Warrants (as defined below) prior to the Third-Party Closing, Class 1 Warrants (“Class 1 Warrants”) to purchase an aggregate of 922,722 shares of Class A Common Stock, Class 2 Warrants (“Class 2 Warrants”) to purchase an aggregate of 922,722 shares of Class A Common Stock and Pre-Funded Warrants (“Pre-Funded Warrants”) to purchase an aggregate of 448,742 shares of Class A Common Stock.</w:t>
      </w:r>
    </w:p>
    <w:p>
      <w:pPr>
        <w:spacing w:after="0" w:line="193"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Concurrently, under the terms of the ICE Offering (as defined below) the Company entered into a securities purchase agreement (the “ICE Purchase Agreement” and, together with the Third-Party Purchase Agreement, the “Purchase Agreements”) with ICE, pursuant to which Bakkt issued and sold to ICE an aggregate of 461,361 shares of Class A Common Stock, Class 1 Warrants to purchase an aggregate of 230,680 shares of Class A Common Stock, and Class 2</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20"/>
        <w:spacing w:after="0" w:line="324" w:lineRule="auto"/>
        <w:rPr>
          <w:sz w:val="20"/>
          <w:szCs w:val="20"/>
          <w:color w:val="auto"/>
        </w:rPr>
      </w:pPr>
      <w:r>
        <w:rPr>
          <w:rFonts w:ascii="Times New Roman" w:cs="Times New Roman" w:eastAsia="Times New Roman" w:hAnsi="Times New Roman"/>
          <w:sz w:val="18"/>
          <w:szCs w:val="18"/>
          <w:color w:val="auto"/>
        </w:rPr>
        <w:t>Warrants to purchase an aggregate of 230,680 shares of Class A Common Stock. The consummation of the transactions contemplated by the ICE Purchase Agreement occurred on March 4, 2024 and April 25, 2024.</w:t>
      </w:r>
    </w:p>
    <w:p>
      <w:pPr>
        <w:spacing w:after="0" w:line="149"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The Class 1 and Class 2 Warrants each have an exercise price of $25.50 and have a five-and-a-half year term. The Class 1 and Class 2 Warrants may each be exercised at any time after the 6 month anniversary of the relevant closing. The Class 2 warrant agreement contains an alternative exercise clause that entitles the holder to exchange two warrants for a share of stock if certain conditions are met. The Class 1 and Class 2 Warrants issued in the Concurrent Offerings are initially recorded as a liability at fair value and reflected as “Warrant liability” in the consolidated balance sheets.</w:t>
      </w:r>
    </w:p>
    <w:p>
      <w:pPr>
        <w:spacing w:after="0" w:line="171"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The Class 1 Warrants and Class 2 Warrants issued on April 25, 2024 were valued at $2.6 million using the Black-Scholes-Merton model for Class 1 Warrants and a binomial lattice model for the Class 2 Warrants. Prior to the second quarter of 2024, the Company used a Monte Carlo simulation to measure the fair value of the Class 2 Warrants. During the second quarter of 2024, management adopted a binomial lattice model as the valuation technique as management believes it provides a more accurate and relevant measure of the fair value of the Class 2 Warrants. The Class 1 Warrants and Class 2 Warrants issued on March 4, 2024 were valued at $27.7 million using the Black-Scholes-Merton model for Class 1 Warrants and a Monte Carlo simulation for the Class 2 Warrants.</w:t>
      </w:r>
    </w:p>
    <w:p>
      <w:pPr>
        <w:spacing w:after="0" w:line="175"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As of June 30, 2025, Class 1 Warrants and Class 2 Warrants exercisable for 2,017,850 shares of Class A Common Stock remain outstanding. Bakkt recognized a loss from the change in fair value of the warrant liability associated with the Class 1 and Class 2 Warrants of $8.8 million and a gain of $20.9 million during the three and six months ended June 30, 2025, respectively. The Company recognized a loss from the change in fair value of the warrant liability associated with the Class 1 and Class 2 Warrants during the three and six months ended June 30, 2024 of $14.8 million and $7.2 million, respectively. During the three months ended March 31, 2024, holders exercised all of the Pre-Funded Warrants. The proceeds received from the exercise of Pre-Funded Warrants were immaterial.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Registered Direct Offering</w:t>
      </w:r>
    </w:p>
    <w:p>
      <w:pPr>
        <w:spacing w:after="0" w:line="211"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On February 29, 2024, Bakkt entered into a securities purchase agreement with certain institutional investors (the “Third-Party Purchasers”), pursuant to which the Company agreed to sell and issue a combination of Class A Common Stock, Class 1 Warrants, Class 2 Warrants and Pre-Funded Warrants in a registered direct offering (the “Third-Party Offering”). In a concurrent registered direct offering (the “ICE Offering” and, together with the Third-Party Offering, the “Concurrent Offerings”) on February 29, 2024, Bakkt entered into a securities purchase agreement with ICE (a related party), pursuant to which the Company agreed to sell and issue a combination of Class A Common Stock, Class 1 Warrants and Class 2 Warrants. Bakkt raised net proceeds from the Third-Party Offering of approximately $37.6 million, after deducting the placement agent’s fees and offering expenses payable by us, and raised net proceeds from the ICE Offering of approximately $9.8 million, after deducting offering expenses payable by us. Approximately $2.4 million of proceeds from the ICE Offering were received concurrently with the closing of the Third-Party Offering, with the remaining $7.4 million received in a subsequent closing of the ICE Offering on April 25, 2024 after the Company obtained stockholder approval for such issuance. The Company intends to use the net proceeds from the Concurrent Offerings for working capital and other general corporate purposes.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51"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Bakkt are authorized to issue 1,000,000 shares of preferred stock with a par value of $0.0001 per share. The holders of a series of preferred stock shall be entitled only to such voting rights as shall expressly be granted thereto by the Certificate of Incorporation (including any certificate of designation relating to such series of preferred stock). As of June 30, 2025, no shares of preferred stock have been issued.</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51"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Prior to June 17, 2025, Bakkt was authorized to issue 30,000,000 shares with a par value of $0.0001 per share. On June 17, 2025, the stockholders approved an amendment to the Company's Certificate of Incorporation to increase the number of authorized shares of Class A Common Stock from 30,000,000 shares to 60,000,000 shares. Each holder of record of Class A Common Stock is entitled to one vote for each share of Class A Common Stock held on all matters on which stockholders generally or holders of Class A Common Stock as a separate class are entitled to vote, including the election or removal of directors (whether voting separately as a class or together with one or more classes of our capital stock) provided that by agreement with ICE, any shares owned by ICE that exceeds 30.0% will be neutral shares with respect to voting rights, voted in proportion to all other votes cast (“for”, “against” or “abstain”) at a meeting of stockholders other than by ICE. As of June 30, 2025 and December 31, 2024, there were 6,974,740 and 6,510,885 shares of Class A Common Stock issued and outstanding,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2"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the Board out of funds legally available therefor. As of June 30, 2025, no dividends have been declared.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63"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Company's affairs, the holders of Class A Common Stock are entitled to share ratably in all assets remaining after payment of Bakkt's debts and other liabilities, subject to prior distribution rights of preferred stock or any class or series of stock having a preference over the Class A Common Stock, then outstanding, if 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265"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Bakkt is authorized to issue 10,000,000 shares with par value $0.0001 per share. These shares have no economic value but entitle the holder to one vote per share. Paired Interests may be exchanged for one share of the Company's Class A Common Stock or a cash amount in accordance with Opco's Third Amended and Restated Limited Liability Company Agreement (the "LLC Agreement") and the Exchange Agreement. Holders of Paired Interests became eligible on April 16, 2022 under the Exchange Agreement to exchange their Paired Interests for Class A Common Stock, or, at Bakkt's election, cash in lieu thereof. During the three and six months ended June 30, 2025, holders of Paired Interests exchanged 698 and 1,227 Paired Interests for the Company's Class A Common Stock, respectively, and Bakkt did not elect to settle any such exchanges in cash. As of June 30, 2025 and December 31, 2024, there were 7,177,076 and 7,178,303 shares of Class V Common Stock issued and outstanding,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Dividends will not be declared or paid on the Class V Common Stock.</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49"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Company's affairs, the holders of Class V Common Stock shall not be entitled to receive any of our assets.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Restrictions</w:t>
      </w:r>
    </w:p>
    <w:p>
      <w:pPr>
        <w:spacing w:after="0" w:line="263"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Opco Common Units, such share will automatically be transferred to Bakkt and cancelled for no consideration.</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8"/>
          <w:szCs w:val="18"/>
          <w:color w:val="auto"/>
        </w:rPr>
        <w:t>The Company will not issue additional shares of Class V Common Stock, other than in connection with the valid issuance or transfer of Opco Common Units in accordance with the LLC Agreement.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the ownership interest in Opco as of June 30, 2025 and December 31, 2024.</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620" w:type="dxa"/>
            <w:vAlign w:val="bottom"/>
          </w:tcPr>
          <w:p>
            <w:pPr>
              <w:spacing w:after="0"/>
              <w:rPr>
                <w:sz w:val="20"/>
                <w:szCs w:val="20"/>
                <w:color w:val="auto"/>
              </w:rPr>
            </w:pPr>
          </w:p>
        </w:tc>
        <w:tc>
          <w:tcPr>
            <w:tcW w:w="3260" w:type="dxa"/>
            <w:vAlign w:val="bottom"/>
            <w:tcBorders>
              <w:bottom w:val="single" w:sz="8" w:color="auto"/>
            </w:tcBorders>
            <w:gridSpan w:val="2"/>
          </w:tcPr>
          <w:p>
            <w:pPr>
              <w:jc w:val="right"/>
              <w:ind w:right="1011"/>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00" w:type="dxa"/>
            <w:vAlign w:val="bottom"/>
          </w:tcPr>
          <w:p>
            <w:pPr>
              <w:spacing w:after="0"/>
              <w:rPr>
                <w:sz w:val="20"/>
                <w:szCs w:val="20"/>
                <w:color w:val="auto"/>
              </w:rPr>
            </w:pPr>
          </w:p>
        </w:tc>
        <w:tc>
          <w:tcPr>
            <w:tcW w:w="3260" w:type="dxa"/>
            <w:vAlign w:val="bottom"/>
            <w:tcBorders>
              <w:bottom w:val="single" w:sz="8" w:color="auto"/>
            </w:tcBorders>
            <w:gridSpan w:val="2"/>
          </w:tcPr>
          <w:p>
            <w:pPr>
              <w:jc w:val="right"/>
              <w:ind w:right="811"/>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67"/>
        </w:trPr>
        <w:tc>
          <w:tcPr>
            <w:tcW w:w="4620" w:type="dxa"/>
            <w:vAlign w:val="bottom"/>
          </w:tcPr>
          <w:p>
            <w:pPr>
              <w:spacing w:after="0"/>
              <w:rPr>
                <w:sz w:val="14"/>
                <w:szCs w:val="14"/>
                <w:color w:val="auto"/>
              </w:rPr>
            </w:pPr>
          </w:p>
        </w:tc>
        <w:tc>
          <w:tcPr>
            <w:tcW w:w="1760" w:type="dxa"/>
            <w:vAlign w:val="bottom"/>
          </w:tcPr>
          <w:p>
            <w:pPr>
              <w:jc w:val="right"/>
              <w:ind w:right="651"/>
              <w:spacing w:after="0" w:line="167" w:lineRule="exact"/>
              <w:rPr>
                <w:sz w:val="20"/>
                <w:szCs w:val="20"/>
                <w:color w:val="auto"/>
              </w:rPr>
            </w:pPr>
            <w:r>
              <w:rPr>
                <w:rFonts w:ascii="Times New Roman" w:cs="Times New Roman" w:eastAsia="Times New Roman" w:hAnsi="Times New Roman"/>
                <w:sz w:val="18"/>
                <w:szCs w:val="18"/>
                <w:b w:val="1"/>
                <w:bCs w:val="1"/>
                <w:color w:val="auto"/>
              </w:rPr>
              <w:t>Opco</w:t>
            </w:r>
          </w:p>
        </w:tc>
        <w:tc>
          <w:tcPr>
            <w:tcW w:w="16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Ownership %</w:t>
            </w:r>
          </w:p>
        </w:tc>
        <w:tc>
          <w:tcPr>
            <w:tcW w:w="1760" w:type="dxa"/>
            <w:vAlign w:val="bottom"/>
          </w:tcPr>
          <w:p>
            <w:pPr>
              <w:jc w:val="right"/>
              <w:ind w:right="651"/>
              <w:spacing w:after="0" w:line="167" w:lineRule="exact"/>
              <w:rPr>
                <w:sz w:val="20"/>
                <w:szCs w:val="20"/>
                <w:color w:val="auto"/>
              </w:rPr>
            </w:pPr>
            <w:r>
              <w:rPr>
                <w:rFonts w:ascii="Times New Roman" w:cs="Times New Roman" w:eastAsia="Times New Roman" w:hAnsi="Times New Roman"/>
                <w:sz w:val="18"/>
                <w:szCs w:val="18"/>
                <w:b w:val="1"/>
                <w:bCs w:val="1"/>
                <w:color w:val="auto"/>
              </w:rPr>
              <w:t>Opco</w:t>
            </w:r>
          </w:p>
        </w:tc>
        <w:tc>
          <w:tcPr>
            <w:tcW w:w="1500" w:type="dxa"/>
            <w:vAlign w:val="bottom"/>
            <w:vMerge w:val="restart"/>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Ownership %</w:t>
            </w:r>
          </w:p>
        </w:tc>
        <w:tc>
          <w:tcPr>
            <w:tcW w:w="0" w:type="dxa"/>
            <w:vAlign w:val="bottom"/>
          </w:tcPr>
          <w:p>
            <w:pPr>
              <w:spacing w:after="0"/>
              <w:rPr>
                <w:sz w:val="1"/>
                <w:szCs w:val="1"/>
                <w:color w:val="auto"/>
              </w:rPr>
            </w:pPr>
          </w:p>
        </w:tc>
      </w:tr>
      <w:tr>
        <w:trPr>
          <w:trHeight w:val="240"/>
        </w:trPr>
        <w:tc>
          <w:tcPr>
            <w:tcW w:w="4620" w:type="dxa"/>
            <w:vAlign w:val="bottom"/>
          </w:tcPr>
          <w:p>
            <w:pPr>
              <w:spacing w:after="0"/>
              <w:rPr>
                <w:sz w:val="20"/>
                <w:szCs w:val="20"/>
                <w:color w:val="auto"/>
              </w:rPr>
            </w:pPr>
          </w:p>
        </w:tc>
        <w:tc>
          <w:tcPr>
            <w:tcW w:w="176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Common Units</w:t>
            </w:r>
          </w:p>
        </w:tc>
        <w:tc>
          <w:tcPr>
            <w:tcW w:w="1600" w:type="dxa"/>
            <w:vAlign w:val="bottom"/>
            <w:gridSpan w:val="2"/>
            <w:vMerge w:val="continue"/>
          </w:tcPr>
          <w:p>
            <w:pPr>
              <w:spacing w:after="0"/>
              <w:rPr>
                <w:sz w:val="20"/>
                <w:szCs w:val="20"/>
                <w:color w:val="auto"/>
              </w:rPr>
            </w:pPr>
          </w:p>
        </w:tc>
        <w:tc>
          <w:tcPr>
            <w:tcW w:w="176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Common Units</w:t>
            </w:r>
          </w:p>
        </w:tc>
        <w:tc>
          <w:tcPr>
            <w:tcW w:w="1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common units held by Bakkt Holdings, Inc.</w:t>
            </w:r>
          </w:p>
        </w:tc>
        <w:tc>
          <w:tcPr>
            <w:tcW w:w="17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6,974,740</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6,510,885</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27"/>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Opco common units held by noncontrolling interest holders</w:t>
            </w:r>
          </w:p>
        </w:tc>
        <w:tc>
          <w:tcPr>
            <w:tcW w:w="17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7,177,076</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7,178,303</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45"/>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Opco common units outstanding</w:t>
            </w:r>
          </w:p>
        </w:tc>
        <w:tc>
          <w:tcPr>
            <w:tcW w:w="17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14,151,816</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13,689,188</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The weighted average ownership percentages for the applicable reporting periods are used to attribute net income (loss) and other comprehensive income (loss) to the Company and the noncontrolling interest holders. The noncontrolling interest holders' weighted average ownership percentage for the three and six months ended June 30, 2025 was 51.3% and 51.8%,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Members’ Equity</w:t>
      </w:r>
    </w:p>
    <w:p>
      <w:pPr>
        <w:spacing w:after="0" w:line="265"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Prior to the VIH Business Combination, Opco had three classes of voting units – Class A, Class B and Class C voting units – and incentive units granted under the Opco Incentive Equity Plan (the “Opco Plan”).</w:t>
      </w:r>
    </w:p>
    <w:p>
      <w:pPr>
        <w:spacing w:after="0" w:line="177"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In connection with the VIH Business Combination, the Opco equity holders converted 16,000,000 Opco Class A voting units, 7,698,138 Opco Class B voting units, and 10,810,810 Opco Class C voting units to 7,597,331 shares of Class V common stock on a pro rata basis. Additionally, Bakkt issued 698,934 shares of Class V common stock related to the outstanding Opco incentive units.</w:t>
      </w:r>
    </w:p>
    <w:p>
      <w:pPr>
        <w:spacing w:after="0" w:line="183"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In connection with the VIH Business Combination, Class C warrants of Opco ("Class C Warrants") automatically converted into the right to purchase 31,734 Paired Interests in Opco at an exercise price of $126.00 per Paired Interest. Class C Warrants may only be exercised for a whole number of Paired Interests. Holders of Class C Warrants are entitled to purchase one Paired Interest for every 25 Class C Warrants. The Class C Warrants expired on September 23, 2024, and all Class C Warrants, vested and unvested, expired unexercised. Because Class C Warrants expired in 2024, no expense was recorded for the three and six months ended June 30, 2025, and no expense was recognized for the three and six months ended June 30, 2024, since the service conditions were not probable of being met.</w:t>
      </w:r>
    </w:p>
    <w:p>
      <w:pPr>
        <w:spacing w:after="0" w:line="192" w:lineRule="exact"/>
        <w:rPr>
          <w:sz w:val="20"/>
          <w:szCs w:val="20"/>
          <w:color w:val="auto"/>
        </w:rPr>
      </w:pPr>
    </w:p>
    <w:p>
      <w:pPr>
        <w:ind w:right="7600" w:firstLine="7"/>
        <w:spacing w:after="0" w:line="536" w:lineRule="auto"/>
        <w:tabs>
          <w:tab w:leader="none" w:pos="306"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and Unit-Based Compensation 2021 Incentive Plan</w:t>
      </w:r>
    </w:p>
    <w:p>
      <w:pPr>
        <w:spacing w:after="0" w:line="1" w:lineRule="exact"/>
        <w:rPr>
          <w:sz w:val="20"/>
          <w:szCs w:val="20"/>
          <w:color w:val="auto"/>
        </w:rPr>
      </w:pPr>
    </w:p>
    <w:p>
      <w:pPr>
        <w:jc w:val="both"/>
        <w:ind w:firstLine="641"/>
        <w:spacing w:after="0" w:line="289" w:lineRule="auto"/>
        <w:rPr>
          <w:sz w:val="20"/>
          <w:szCs w:val="20"/>
          <w:color w:val="auto"/>
        </w:rPr>
      </w:pPr>
      <w:r>
        <w:rPr>
          <w:rFonts w:ascii="Times New Roman" w:cs="Times New Roman" w:eastAsia="Times New Roman" w:hAnsi="Times New Roman"/>
          <w:sz w:val="18"/>
          <w:szCs w:val="18"/>
          <w:color w:val="auto"/>
        </w:rPr>
        <w:t>Bakkt's 2021 Omnibus Incentive Plan, as amended (the “2021 Incentive Plan”), became effective on the Closing Date with the approval of VIH’s shareholders and the Board. The 2021 Incentive Plan allows the Company to make equity and equity-based incentive awards to employees, non-employee directors and consultants. There were initially 1,032,677 shares of Class A Common Stock reserved for issuance under the 2021 Incentive Plan which can be granted as stock options, stock appreciation rights, restricted shares, restricted stock units ("RSUs"), performance stock units ("PSUs"), dividend equivalent rights and other share-based awards. On June 6, 2023, the Incentive Plan was amended to increase the shares reserved for issuance under the 2021 Incentive Plan by 1,063,618 shares. On May 31, 2024, the 2021 Incentive Plan was again amended to increase the shares reserved for issuance under the 2021 Incentive Plan by 938,625 shares for a new aggregate total of 3,034,920 shares. On June 17, 2025, the 2021 Incentive Plan was once more amended to increase the</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8"/>
          <w:szCs w:val="18"/>
          <w:color w:val="auto"/>
        </w:rPr>
        <w:t>shares reserved for issuance under the 2021 Incentive plan by 979,201 shares for a new aggregate of 4,014,121 shares. No award may vest earlier than the first anniversary of the date of grant, subject to limited exceptions.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265"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During the three and six months ended June 30, 2025, the Company granted 160,032 and 887,881 RSUs, respectively, to employees and directors. During the three and six months ended June 30, 2025, the Company granted 1,793,873 PSUs. During the three and six months ended June 30, 2024, Bakkt granted 545,553 and 1,028,152 RSUs, respectively, to employees and directors. During the three and six months ended June 30, 2024, Bakkt did not grant any PSUs.</w:t>
      </w:r>
    </w:p>
    <w:p>
      <w:pPr>
        <w:spacing w:after="0" w:line="191"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Bakkt recorded $3.6 million and $6.4 million of share-based compensation expense related to RSUs during the three and six months ended June 30, 2025, respectively. During the three and six months ended June 30, 2024, the Company recorded $2.4 million and $10.1 million of share-based compensation expense related to RSUs, respectively. The Company recorded $2.7 million and $3.2 million of share-based compensation expense related to PSUs during the three and six months ended June 30, 2025. During the three and six ended June 30, 2024, the company recorded zero and $0.3 million respectively of share-based compensation expense related to PSUs. Share-based compensation expense for both RSUs and PSUs, is included in “Compensation and benefits” in the consolidated statements of operations.</w:t>
      </w:r>
    </w:p>
    <w:p>
      <w:pPr>
        <w:spacing w:after="0" w:line="196" w:lineRule="exact"/>
        <w:rPr>
          <w:sz w:val="20"/>
          <w:szCs w:val="20"/>
          <w:color w:val="auto"/>
        </w:rPr>
      </w:pPr>
    </w:p>
    <w:p>
      <w:pPr>
        <w:jc w:val="both"/>
        <w:ind w:right="20" w:firstLine="641"/>
        <w:spacing w:after="0" w:line="301" w:lineRule="auto"/>
        <w:rPr>
          <w:sz w:val="20"/>
          <w:szCs w:val="20"/>
          <w:color w:val="auto"/>
        </w:rPr>
      </w:pPr>
      <w:r>
        <w:rPr>
          <w:rFonts w:ascii="Times New Roman" w:cs="Times New Roman" w:eastAsia="Times New Roman" w:hAnsi="Times New Roman"/>
          <w:sz w:val="18"/>
          <w:szCs w:val="18"/>
          <w:color w:val="auto"/>
        </w:rPr>
        <w:t>Unrecognized compensation expense as of June 30, 2025 and December 31, 2024 was $24.8 million and $12.9 million, respectively, for the RSUs and PSUs. The unrecognized compensation expense as of June 30, 2025 and December 31, 2024 will be recognized over a weighted-average period of 1.23 years and 1.36 years,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 and PSU Activity</w:t>
      </w:r>
    </w:p>
    <w:p>
      <w:pPr>
        <w:spacing w:after="0" w:line="251"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The following tables summarize RSU and PSU activity under the 2021 Incentive Plan for the six months ended June 30, 2025 and June 30, 2024 (in thousands, except per unit data):</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120" w:type="dxa"/>
            <w:vAlign w:val="bottom"/>
          </w:tcPr>
          <w:p>
            <w:pPr>
              <w:spacing w:after="0"/>
              <w:rPr>
                <w:sz w:val="18"/>
                <w:szCs w:val="18"/>
                <w:color w:val="auto"/>
              </w:rPr>
            </w:pPr>
          </w:p>
        </w:tc>
        <w:tc>
          <w:tcPr>
            <w:tcW w:w="16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02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Number of RSUs and</w:t>
            </w:r>
          </w:p>
        </w:tc>
        <w:tc>
          <w:tcPr>
            <w:tcW w:w="100" w:type="dxa"/>
            <w:vAlign w:val="bottom"/>
          </w:tcPr>
          <w:p>
            <w:pPr>
              <w:spacing w:after="0"/>
              <w:rPr>
                <w:sz w:val="15"/>
                <w:szCs w:val="15"/>
                <w:color w:val="auto"/>
              </w:rPr>
            </w:pPr>
          </w:p>
        </w:tc>
        <w:tc>
          <w:tcPr>
            <w:tcW w:w="1820" w:type="dxa"/>
            <w:vAlign w:val="bottom"/>
            <w:gridSpan w:val="2"/>
          </w:tcPr>
          <w:p>
            <w:pPr>
              <w:jc w:val="center"/>
              <w:ind w:right="120"/>
              <w:spacing w:after="0" w:line="174" w:lineRule="exact"/>
              <w:rPr>
                <w:sz w:val="20"/>
                <w:szCs w:val="20"/>
                <w:color w:val="auto"/>
              </w:rPr>
            </w:pPr>
            <w:r>
              <w:rPr>
                <w:rFonts w:ascii="Times New Roman" w:cs="Times New Roman" w:eastAsia="Times New Roman" w:hAnsi="Times New Roman"/>
                <w:sz w:val="18"/>
                <w:szCs w:val="18"/>
                <w:b w:val="1"/>
                <w:bCs w:val="1"/>
                <w:color w:val="auto"/>
                <w:w w:val="97"/>
              </w:rPr>
              <w:t>Remaining</w:t>
            </w:r>
          </w:p>
        </w:tc>
        <w:tc>
          <w:tcPr>
            <w:tcW w:w="12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vMerge w:val="restart"/>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w w:val="98"/>
              </w:rPr>
              <w:t>Aggregate Intrinsic</w:t>
            </w:r>
          </w:p>
        </w:tc>
        <w:tc>
          <w:tcPr>
            <w:tcW w:w="0" w:type="dxa"/>
            <w:vAlign w:val="bottom"/>
          </w:tcPr>
          <w:p>
            <w:pPr>
              <w:spacing w:after="0"/>
              <w:rPr>
                <w:sz w:val="1"/>
                <w:szCs w:val="1"/>
                <w:color w:val="auto"/>
              </w:rPr>
            </w:pPr>
          </w:p>
        </w:tc>
      </w:tr>
      <w:tr>
        <w:trPr>
          <w:trHeight w:val="187"/>
        </w:trPr>
        <w:tc>
          <w:tcPr>
            <w:tcW w:w="4020" w:type="dxa"/>
            <w:vAlign w:val="bottom"/>
            <w:vMerge w:val="restart"/>
          </w:tcPr>
          <w:p>
            <w:pPr>
              <w:ind w:left="1400"/>
              <w:spacing w:after="0"/>
              <w:rPr>
                <w:sz w:val="20"/>
                <w:szCs w:val="20"/>
                <w:color w:val="auto"/>
              </w:rPr>
            </w:pPr>
            <w:r>
              <w:rPr>
                <w:rFonts w:ascii="Times New Roman" w:cs="Times New Roman" w:eastAsia="Times New Roman" w:hAnsi="Times New Roman"/>
                <w:sz w:val="18"/>
                <w:szCs w:val="18"/>
                <w:b w:val="1"/>
                <w:bCs w:val="1"/>
                <w:color w:val="auto"/>
              </w:rPr>
              <w:t>RSUs and PSUs</w:t>
            </w:r>
          </w:p>
        </w:tc>
        <w:tc>
          <w:tcPr>
            <w:tcW w:w="1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2"/>
          </w:tcPr>
          <w:p>
            <w:pPr>
              <w:jc w:val="center"/>
              <w:ind w:right="120"/>
              <w:spacing w:after="0" w:line="187" w:lineRule="exact"/>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120" w:type="dxa"/>
            <w:vAlign w:val="bottom"/>
          </w:tcPr>
          <w:p>
            <w:pPr>
              <w:spacing w:after="0"/>
              <w:rPr>
                <w:sz w:val="16"/>
                <w:szCs w:val="16"/>
                <w:color w:val="auto"/>
              </w:rPr>
            </w:pPr>
          </w:p>
        </w:tc>
        <w:tc>
          <w:tcPr>
            <w:tcW w:w="1680" w:type="dxa"/>
            <w:vAlign w:val="bottom"/>
            <w:gridSpan w:val="2"/>
          </w:tcPr>
          <w:p>
            <w:pPr>
              <w:jc w:val="center"/>
              <w:ind w:right="240"/>
              <w:spacing w:after="0" w:line="187"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020" w:type="dxa"/>
            <w:vAlign w:val="bottom"/>
            <w:vMerge w:val="continue"/>
          </w:tcPr>
          <w:p>
            <w:pPr>
              <w:spacing w:after="0"/>
              <w:rPr>
                <w:sz w:val="19"/>
                <w:szCs w:val="19"/>
                <w:color w:val="auto"/>
              </w:rPr>
            </w:pPr>
          </w:p>
        </w:tc>
        <w:tc>
          <w:tcPr>
            <w:tcW w:w="1700" w:type="dxa"/>
            <w:vAlign w:val="bottom"/>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PSUs</w:t>
            </w:r>
          </w:p>
        </w:tc>
        <w:tc>
          <w:tcPr>
            <w:tcW w:w="100" w:type="dxa"/>
            <w:vAlign w:val="bottom"/>
          </w:tcPr>
          <w:p>
            <w:pPr>
              <w:spacing w:after="0"/>
              <w:rPr>
                <w:sz w:val="19"/>
                <w:szCs w:val="19"/>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20" w:type="dxa"/>
            <w:vAlign w:val="bottom"/>
          </w:tcPr>
          <w:p>
            <w:pPr>
              <w:spacing w:after="0"/>
              <w:rPr>
                <w:sz w:val="19"/>
                <w:szCs w:val="19"/>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19"/>
                <w:szCs w:val="19"/>
                <w:color w:val="auto"/>
              </w:rPr>
            </w:pPr>
          </w:p>
        </w:tc>
        <w:tc>
          <w:tcPr>
            <w:tcW w:w="1600" w:type="dxa"/>
            <w:vAlign w:val="bottom"/>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0"/>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0" w:type="dxa"/>
            <w:vAlign w:val="bottom"/>
          </w:tcPr>
          <w:p>
            <w:pPr>
              <w:spacing w:after="0"/>
              <w:rPr>
                <w:sz w:val="1"/>
                <w:szCs w:val="1"/>
                <w:color w:val="auto"/>
              </w:rPr>
            </w:pPr>
          </w:p>
        </w:tc>
      </w:tr>
      <w:tr>
        <w:trPr>
          <w:trHeight w:val="22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40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26,384</w:t>
            </w:r>
          </w:p>
        </w:tc>
        <w:tc>
          <w:tcPr>
            <w:tcW w:w="0" w:type="dxa"/>
            <w:vAlign w:val="bottom"/>
          </w:tcPr>
          <w:p>
            <w:pPr>
              <w:spacing w:after="0"/>
              <w:rPr>
                <w:sz w:val="1"/>
                <w:szCs w:val="1"/>
                <w:color w:val="auto"/>
              </w:rPr>
            </w:pPr>
          </w:p>
        </w:tc>
      </w:tr>
      <w:tr>
        <w:trPr>
          <w:trHeight w:val="22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2025</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During the three and six months ended June 30, 2025, Bakkt recorded $1.9 million and $1.9 million, respectively of share-based compensation expense related to the accelerated vesting of awards for certain employees, primarily related to the Sale of Bakkt Trust and the termination of a former executive. During the three and six months ended June 30, 2024, we recorded $4.9 million and $4.9 million, respectively, of share-based compensation expense related to the accelerated vesting of awards for certain employees, primarily related to the termination of a former executive. Acceleration of share-</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right="100"/>
        <w:spacing w:after="0" w:line="324" w:lineRule="auto"/>
        <w:rPr>
          <w:sz w:val="20"/>
          <w:szCs w:val="20"/>
          <w:color w:val="auto"/>
        </w:rPr>
      </w:pPr>
      <w:r>
        <w:rPr>
          <w:rFonts w:ascii="Times New Roman" w:cs="Times New Roman" w:eastAsia="Times New Roman" w:hAnsi="Times New Roman"/>
          <w:sz w:val="18"/>
          <w:szCs w:val="18"/>
          <w:color w:val="auto"/>
        </w:rPr>
        <w:t>based compensation expense related to the Company's restructuring efforts is included in “Restructuring expenses” in the consolidated statements of operations.</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Total fair value of vested RSU and PSU awards was $4.1 million and $6.9 million for the three and six months ended June 30, 2025, respectively.</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fair value of vested RSU and PSU awards was $1.6 million and $6.4 million for the three and six months ended June 30, 2024, respectively.</w:t>
      </w:r>
    </w:p>
    <w:p>
      <w:pPr>
        <w:spacing w:after="0" w:line="247" w:lineRule="exact"/>
        <w:rPr>
          <w:sz w:val="20"/>
          <w:szCs w:val="20"/>
          <w:color w:val="auto"/>
        </w:rPr>
      </w:pPr>
    </w:p>
    <w:p>
      <w:pPr>
        <w:jc w:val="both"/>
        <w:ind w:right="100" w:firstLine="641"/>
        <w:spacing w:after="0" w:line="299" w:lineRule="auto"/>
        <w:rPr>
          <w:sz w:val="20"/>
          <w:szCs w:val="20"/>
          <w:color w:val="auto"/>
        </w:rPr>
      </w:pPr>
      <w:r>
        <w:rPr>
          <w:rFonts w:ascii="Times New Roman" w:cs="Times New Roman" w:eastAsia="Times New Roman" w:hAnsi="Times New Roman"/>
          <w:sz w:val="18"/>
          <w:szCs w:val="18"/>
          <w:color w:val="auto"/>
        </w:rPr>
        <w:t>The fair value of the RSUs and PSUs used in determining share-based compensation expense is based on the closing price of Bakkt's common stock on the grant date for standard RSUs and PSUs. For PSUs with market conditions, fair value was determined using a Monte Carlo simulation model, along with a Geometric Brownian Motion formula to model stock price movements. The assumptions noted in the table below were used to estimate the fair value of the PSUs with market conditions.</w:t>
      </w:r>
    </w:p>
    <w:p>
      <w:pPr>
        <w:spacing w:after="0" w:line="202" w:lineRule="exact"/>
        <w:rPr>
          <w:sz w:val="20"/>
          <w:szCs w:val="20"/>
          <w:color w:val="auto"/>
        </w:rPr>
      </w:pPr>
    </w:p>
    <w:tbl>
      <w:tblPr>
        <w:tblLayout w:type="fixed"/>
        <w:tblInd w:w="640" w:type="dxa"/>
        <w:tblCellMar>
          <w:top w:w="0" w:type="dxa"/>
          <w:left w:w="0" w:type="dxa"/>
          <w:bottom w:w="0" w:type="dxa"/>
          <w:right w:w="0" w:type="dxa"/>
        </w:tblCellMar>
      </w:tblPr>
      <w:tr>
        <w:trPr>
          <w:trHeight w:val="227"/>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stock price</w:t>
            </w:r>
          </w:p>
        </w:tc>
        <w:tc>
          <w:tcPr>
            <w:tcW w:w="4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$8.71 - $12.7</w:t>
            </w:r>
          </w:p>
        </w:tc>
      </w:tr>
      <w:tr>
        <w:trPr>
          <w:trHeight w:val="227"/>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2 - 3 yea</w:t>
            </w:r>
          </w:p>
        </w:tc>
      </w:tr>
      <w:tr>
        <w:trPr>
          <w:trHeight w:val="227"/>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Coefficient of variation</w:t>
            </w:r>
          </w:p>
        </w:tc>
        <w:tc>
          <w:tcPr>
            <w:tcW w:w="4980" w:type="dxa"/>
            <w:vAlign w:val="bottom"/>
            <w:shd w:val="clear" w:color="auto" w:fill="CCEEFF"/>
          </w:tcPr>
          <w:p>
            <w:pPr>
              <w:spacing w:after="0"/>
              <w:rPr>
                <w:sz w:val="19"/>
                <w:szCs w:val="19"/>
                <w:color w:val="auto"/>
              </w:rPr>
            </w:pPr>
          </w:p>
        </w:tc>
      </w:tr>
      <w:tr>
        <w:trPr>
          <w:trHeight w:val="227"/>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free rate</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 - 3.98</w:t>
            </w:r>
          </w:p>
        </w:tc>
      </w:tr>
      <w:tr>
        <w:trPr>
          <w:trHeight w:val="227"/>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4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3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4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297" w:lineRule="exact"/>
        <w:rPr>
          <w:sz w:val="20"/>
          <w:szCs w:val="20"/>
          <w:color w:val="auto"/>
        </w:rPr>
      </w:pPr>
    </w:p>
    <w:p>
      <w:pPr>
        <w:jc w:val="both"/>
        <w:ind w:right="100" w:firstLine="641"/>
        <w:spacing w:after="0" w:line="288" w:lineRule="auto"/>
        <w:rPr>
          <w:sz w:val="20"/>
          <w:szCs w:val="20"/>
          <w:color w:val="auto"/>
        </w:rPr>
      </w:pPr>
      <w:r>
        <w:rPr>
          <w:rFonts w:ascii="Times New Roman" w:cs="Times New Roman" w:eastAsia="Times New Roman" w:hAnsi="Times New Roman"/>
          <w:sz w:val="18"/>
          <w:szCs w:val="18"/>
          <w:color w:val="auto"/>
        </w:rPr>
        <w:t>PSUs provide an opportunity for the recipient to receive a number of shares of the Company's common stock based on various performance metrics. Upon vesting, each performance stock unit equals one share of common stock of the Company. The Company accrues compensation expense for the PSUs based on management's assessment of the probable outcome of the performance conditions. PSUs awarded in 2025 are subject to market-based vesting conditions tied to the company’s stock performance. Specifically, the PSUs vest based on the achievement of a target stock price, determined using the volume-weighted average price ("VWAP") of the company’s Class A Common Stock over a specified period. Vesting occurs only if the company's average stock price meets or exceeds predetermined VWAP thresholds during the measurement period and the recipients provide at least one year of service. The metrics for PSUs granted during 2024 relate to the Company's performance during fiscal year 2024, as measured against objective performance goals approved by the Board. The actual number of units earned range from 0% to 150% or 200% of the target number of units depending on the metric and achievement of the 2024 performance goals. PSUs granted in 2024 vest in two equal annual installments from 2025 to 2026. The metrics for PSUs granted during 2023 relate to Bakkt's performance during fiscal year 2023, as measured against objective performance goals approved by the Board. The actual number of units earned range from 0% to 150% of the target number of units depending upon achievement of the 2023 performance goals. PSUs granted in 2023 vest in three equal annual installments from 2024 to 2026. The metrics for PSUs granted during 2022 relate to the Company's performance during fiscal years 2022, 2023 and 2024, as measured against objective performance goals as determined by the Board. The actual number of units earned range from 0% to 150% of the target number of units depending upon achievement of each year’s performance goals. PSUs granted in 2022 vest in three equal annual installments, subject to a catch-up provision over the three annual performance targets.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Opco Plan</w:t>
      </w:r>
    </w:p>
    <w:p>
      <w:pPr>
        <w:spacing w:after="0" w:line="238" w:lineRule="exact"/>
        <w:rPr>
          <w:sz w:val="20"/>
          <w:szCs w:val="20"/>
          <w:color w:val="auto"/>
        </w:rPr>
      </w:pPr>
    </w:p>
    <w:p>
      <w:pPr>
        <w:jc w:val="both"/>
        <w:ind w:right="100" w:firstLine="641"/>
        <w:spacing w:after="0" w:line="294" w:lineRule="auto"/>
        <w:rPr>
          <w:sz w:val="20"/>
          <w:szCs w:val="20"/>
          <w:color w:val="auto"/>
        </w:rPr>
      </w:pPr>
      <w:r>
        <w:rPr>
          <w:rFonts w:ascii="Times New Roman" w:cs="Times New Roman" w:eastAsia="Times New Roman" w:hAnsi="Times New Roman"/>
          <w:sz w:val="18"/>
          <w:szCs w:val="18"/>
          <w:color w:val="auto"/>
        </w:rPr>
        <w:t>Preferred incentive units and common incentive units (collectively, “incentive units”) represent an ownership interest in Opco and are entitled to receive distributions from Opco, subject to certain vesting conditions. Opco classifies incentive units as equity awards on its consolidated balance sheets. Participation units, issued directly by Opco to Opco Plan participants, do not represent an ownership interest in Opco but rather provide Opco Plan participants the contractual right to participate in the value of Opco, if any, through either a cash payment or issuance of Class A Common Stock upon the occurrence of certain events following vesting of the participation units. Refer to Note 11 to the consolidated financial statements included in the Company's 2024 Form 10-K where the modifications to the Opco Plan are described in detail.</w:t>
      </w:r>
    </w:p>
    <w:p>
      <w:pPr>
        <w:spacing w:after="0" w:line="200" w:lineRule="exact"/>
        <w:rPr>
          <w:sz w:val="20"/>
          <w:szCs w:val="20"/>
          <w:color w:val="auto"/>
        </w:rPr>
      </w:pPr>
    </w:p>
    <w:p>
      <w:pPr>
        <w:spacing w:after="0" w:line="3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340"/>
          </w:cols>
          <w:pgMar w:left="320" w:top="108"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Upon consummation of the VIH Business Combination, the 76,475,000 outstanding preferred incentive units and 23,219,745 outstanding common incentive units were converted into 17,473,362 common incentive units, and the 10,811,502 outstanding participation units were converted into 1,197,250 participation units. Opco preferred incentive units and common incentive units outstanding prior to the VIH Business Combination, as well as participation units, were not impacted by the Reverse Stock Split discussed in Note 2, therefore these amounts are presented without consideration of the Reverse Stock Split Ratio. Contemporaneously with the conversion, approximately one-third of the awards in the Opco Plan vested. The second tranche vested on the one-year anniversary of the Closing Date and the third tranche vested on the two-year anniversary of the Closing Date, although under the terms of the Opco Plan, employees who were terminated without cause after the Closing Date vested in the unvested portion of their awards immediately upon their termination date. There has not been, and will not be, any additional awards made under the Opco Plan following the VIH Business Combination.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Unit Activity</w:t>
      </w:r>
    </w:p>
    <w:p>
      <w:pPr>
        <w:spacing w:after="0" w:line="265"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The following table summarizes common incentive unit activity under the Opco Plan for the six months ended June 30, 2025 and June 30, 2024 (in thousands, except per unit data):</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580" w:type="dxa"/>
            <w:vAlign w:val="bottom"/>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vMerge w:val="restart"/>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4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Common</w:t>
            </w:r>
          </w:p>
        </w:tc>
        <w:tc>
          <w:tcPr>
            <w:tcW w:w="1580" w:type="dxa"/>
            <w:vAlign w:val="bottom"/>
          </w:tcPr>
          <w:p>
            <w:pPr>
              <w:jc w:val="center"/>
              <w:ind w:left="51"/>
              <w:spacing w:after="0" w:line="17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vMerge w:val="restart"/>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Aggregate Intrinsic</w:t>
            </w:r>
          </w:p>
        </w:tc>
        <w:tc>
          <w:tcPr>
            <w:tcW w:w="0" w:type="dxa"/>
            <w:vAlign w:val="bottom"/>
          </w:tcPr>
          <w:p>
            <w:pPr>
              <w:spacing w:after="0"/>
              <w:rPr>
                <w:sz w:val="1"/>
                <w:szCs w:val="1"/>
                <w:color w:val="auto"/>
              </w:rPr>
            </w:pPr>
          </w:p>
        </w:tc>
      </w:tr>
      <w:tr>
        <w:trPr>
          <w:trHeight w:val="187"/>
        </w:trPr>
        <w:tc>
          <w:tcPr>
            <w:tcW w:w="438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8"/>
                <w:szCs w:val="18"/>
                <w:b w:val="1"/>
                <w:bCs w:val="1"/>
                <w:color w:val="auto"/>
              </w:rPr>
              <w:t>Common Incentive Units</w:t>
            </w:r>
          </w:p>
        </w:tc>
        <w:tc>
          <w:tcPr>
            <w:tcW w:w="1700" w:type="dxa"/>
            <w:vAlign w:val="bottom"/>
            <w:vMerge w:val="continue"/>
          </w:tcPr>
          <w:p>
            <w:pPr>
              <w:spacing w:after="0"/>
              <w:rPr>
                <w:sz w:val="16"/>
                <w:szCs w:val="16"/>
                <w:color w:val="auto"/>
              </w:rPr>
            </w:pPr>
          </w:p>
        </w:tc>
        <w:tc>
          <w:tcPr>
            <w:tcW w:w="1580" w:type="dxa"/>
            <w:vAlign w:val="bottom"/>
          </w:tcPr>
          <w:p>
            <w:pPr>
              <w:jc w:val="center"/>
              <w:ind w:left="51"/>
              <w:spacing w:after="0" w:line="187" w:lineRule="exact"/>
              <w:rPr>
                <w:sz w:val="20"/>
                <w:szCs w:val="20"/>
                <w:color w:val="auto"/>
              </w:rPr>
            </w:pPr>
            <w:r>
              <w:rPr>
                <w:rFonts w:ascii="Times New Roman" w:cs="Times New Roman" w:eastAsia="Times New Roman" w:hAnsi="Times New Roman"/>
                <w:sz w:val="18"/>
                <w:szCs w:val="18"/>
                <w:b w:val="1"/>
                <w:bCs w:val="1"/>
                <w:color w:val="auto"/>
                <w:w w:val="96"/>
              </w:rPr>
              <w:t>Contractual Term</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center"/>
              <w:ind w:right="11"/>
              <w:spacing w:after="0" w:line="187" w:lineRule="exact"/>
              <w:rPr>
                <w:sz w:val="20"/>
                <w:szCs w:val="20"/>
                <w:color w:val="auto"/>
              </w:rPr>
            </w:pPr>
            <w:r>
              <w:rPr>
                <w:rFonts w:ascii="Times New Roman" w:cs="Times New Roman" w:eastAsia="Times New Roman" w:hAnsi="Times New Roman"/>
                <w:sz w:val="18"/>
                <w:szCs w:val="18"/>
                <w:b w:val="1"/>
                <w:bCs w:val="1"/>
                <w:color w:val="auto"/>
                <w:w w:val="97"/>
              </w:rPr>
              <w:t>Grant Date Fair</w:t>
            </w:r>
          </w:p>
        </w:tc>
        <w:tc>
          <w:tcPr>
            <w:tcW w:w="14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380" w:type="dxa"/>
            <w:vAlign w:val="bottom"/>
            <w:gridSpan w:val="2"/>
            <w:vMerge w:val="continue"/>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Incentive Units</w:t>
            </w:r>
          </w:p>
        </w:tc>
        <w:tc>
          <w:tcPr>
            <w:tcW w:w="1580" w:type="dxa"/>
            <w:vAlign w:val="bottom"/>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40" w:type="dxa"/>
            <w:vAlign w:val="bottom"/>
          </w:tcPr>
          <w:p>
            <w:pPr>
              <w:spacing w:after="0"/>
              <w:rPr>
                <w:sz w:val="19"/>
                <w:szCs w:val="19"/>
                <w:color w:val="auto"/>
              </w:rPr>
            </w:pPr>
          </w:p>
        </w:tc>
        <w:tc>
          <w:tcPr>
            <w:tcW w:w="160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27"/>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2024</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47,867</w:t>
            </w:r>
          </w:p>
        </w:tc>
        <w:tc>
          <w:tcPr>
            <w:tcW w:w="0" w:type="dxa"/>
            <w:vAlign w:val="bottom"/>
          </w:tcPr>
          <w:p>
            <w:pPr>
              <w:spacing w:after="0"/>
              <w:rPr>
                <w:sz w:val="1"/>
                <w:szCs w:val="1"/>
                <w:color w:val="auto"/>
              </w:rPr>
            </w:pPr>
          </w:p>
        </w:tc>
      </w:tr>
      <w:tr>
        <w:trPr>
          <w:trHeight w:val="227"/>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Exchanged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2025</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47,024</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CCEEFF"/>
            </w:tcBorders>
            <w:vMerge w:val="restart"/>
          </w:tcPr>
          <w:p>
            <w:pPr>
              <w:jc w:val="center"/>
              <w:ind w:left="31"/>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CCEEFF"/>
            </w:tcBorders>
            <w:vMerge w:val="restart"/>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1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1"/>
        </w:trPr>
        <w:tc>
          <w:tcPr>
            <w:tcW w:w="4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4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Common</w:t>
            </w:r>
          </w:p>
        </w:tc>
        <w:tc>
          <w:tcPr>
            <w:tcW w:w="1580" w:type="dxa"/>
            <w:vAlign w:val="bottom"/>
          </w:tcPr>
          <w:p>
            <w:pPr>
              <w:jc w:val="center"/>
              <w:ind w:left="31"/>
              <w:spacing w:after="0" w:line="174" w:lineRule="exact"/>
              <w:rPr>
                <w:sz w:val="20"/>
                <w:szCs w:val="20"/>
                <w:color w:val="auto"/>
              </w:rPr>
            </w:pPr>
            <w:r>
              <w:rPr>
                <w:rFonts w:ascii="Times New Roman" w:cs="Times New Roman" w:eastAsia="Times New Roman" w:hAnsi="Times New Roman"/>
                <w:sz w:val="18"/>
                <w:szCs w:val="18"/>
                <w:b w:val="1"/>
                <w:bCs w:val="1"/>
                <w:color w:val="auto"/>
                <w:w w:val="97"/>
              </w:rPr>
              <w:t>Remaining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vMerge w:val="restart"/>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8"/>
              </w:rPr>
              <w:t>Aggregate Intrinsic</w:t>
            </w:r>
          </w:p>
        </w:tc>
        <w:tc>
          <w:tcPr>
            <w:tcW w:w="0" w:type="dxa"/>
            <w:vAlign w:val="bottom"/>
          </w:tcPr>
          <w:p>
            <w:pPr>
              <w:spacing w:after="0"/>
              <w:rPr>
                <w:sz w:val="1"/>
                <w:szCs w:val="1"/>
                <w:color w:val="auto"/>
              </w:rPr>
            </w:pPr>
          </w:p>
        </w:tc>
      </w:tr>
      <w:tr>
        <w:trPr>
          <w:trHeight w:val="174"/>
        </w:trPr>
        <w:tc>
          <w:tcPr>
            <w:tcW w:w="438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8"/>
                <w:szCs w:val="18"/>
                <w:b w:val="1"/>
                <w:bCs w:val="1"/>
                <w:color w:val="auto"/>
              </w:rPr>
              <w:t>Common Incentive Units</w:t>
            </w:r>
          </w:p>
        </w:tc>
        <w:tc>
          <w:tcPr>
            <w:tcW w:w="1700" w:type="dxa"/>
            <w:vAlign w:val="bottom"/>
            <w:vMerge w:val="continue"/>
          </w:tcPr>
          <w:p>
            <w:pPr>
              <w:spacing w:after="0"/>
              <w:rPr>
                <w:sz w:val="15"/>
                <w:szCs w:val="15"/>
                <w:color w:val="auto"/>
              </w:rPr>
            </w:pPr>
          </w:p>
        </w:tc>
        <w:tc>
          <w:tcPr>
            <w:tcW w:w="1580" w:type="dxa"/>
            <w:vAlign w:val="bottom"/>
          </w:tcPr>
          <w:p>
            <w:pPr>
              <w:jc w:val="center"/>
              <w:ind w:left="31"/>
              <w:spacing w:after="0" w:line="174" w:lineRule="exact"/>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jc w:val="center"/>
              <w:ind w:right="31"/>
              <w:spacing w:after="0" w:line="174"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4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380" w:type="dxa"/>
            <w:vAlign w:val="bottom"/>
            <w:gridSpan w:val="2"/>
            <w:vMerge w:val="continue"/>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Incentive Units</w:t>
            </w:r>
          </w:p>
        </w:tc>
        <w:tc>
          <w:tcPr>
            <w:tcW w:w="1580" w:type="dxa"/>
            <w:vAlign w:val="bottom"/>
          </w:tcPr>
          <w:p>
            <w:pPr>
              <w:jc w:val="center"/>
              <w:ind w:left="11"/>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center"/>
              <w:ind w:right="31"/>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0" w:type="dxa"/>
            <w:vAlign w:val="bottom"/>
          </w:tcPr>
          <w:p>
            <w:pPr>
              <w:spacing w:after="0"/>
              <w:rPr>
                <w:sz w:val="20"/>
                <w:szCs w:val="20"/>
                <w:color w:val="auto"/>
              </w:rPr>
            </w:pPr>
          </w:p>
        </w:tc>
        <w:tc>
          <w:tcPr>
            <w:tcW w:w="160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7"/>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51,467</w:t>
            </w:r>
          </w:p>
        </w:tc>
        <w:tc>
          <w:tcPr>
            <w:tcW w:w="0" w:type="dxa"/>
            <w:vAlign w:val="bottom"/>
          </w:tcPr>
          <w:p>
            <w:pPr>
              <w:spacing w:after="0"/>
              <w:rPr>
                <w:sz w:val="1"/>
                <w:szCs w:val="1"/>
                <w:color w:val="auto"/>
              </w:rPr>
            </w:pPr>
          </w:p>
        </w:tc>
      </w:tr>
      <w:tr>
        <w:trPr>
          <w:trHeight w:val="227"/>
        </w:trPr>
        <w:tc>
          <w:tcPr>
            <w:tcW w:w="4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Exchanged</w:t>
            </w:r>
          </w:p>
        </w:tc>
        <w:tc>
          <w:tcPr>
            <w:tcW w:w="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6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50,677</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Company did not make any cash payments to settle vested participation units during the six months ended June 30, 2025 or June 30, 2024.</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251"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Basic loss per share is based on the weighted average number of shares of Class A Common Stock issued and outstanding. Diluted earnings per share is based on the weighted average number shares of Class A Common Stock issued and outstanding and the effect of all dilutive common stock equivalents and potentially dilutive share-based awards outstanding. The potentially dilutive securities that would be anti-dilutive are not included in the calculation of diluted earnings per share attributable to controlling interest.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The following is a reconciliation of the denominators of the basic and diluted per share computations for net income (loss) (in thousands, except share and per share data):</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c>
          <w:tcPr>
            <w:tcW w:w="120" w:type="dxa"/>
            <w:vAlign w:val="bottom"/>
          </w:tcPr>
          <w:p>
            <w:pPr>
              <w:spacing w:after="0"/>
              <w:rPr>
                <w:sz w:val="16"/>
                <w:szCs w:val="16"/>
                <w:color w:val="auto"/>
              </w:rPr>
            </w:pPr>
          </w:p>
        </w:tc>
        <w:tc>
          <w:tcPr>
            <w:tcW w:w="140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r>
      <w:tr>
        <w:trPr>
          <w:trHeight w:val="212"/>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June 30, 2025</w:t>
            </w:r>
          </w:p>
        </w:tc>
        <w:tc>
          <w:tcPr>
            <w:tcW w:w="120" w:type="dxa"/>
            <w:vAlign w:val="bottom"/>
          </w:tcPr>
          <w:p>
            <w:pPr>
              <w:spacing w:after="0"/>
              <w:rPr>
                <w:sz w:val="18"/>
                <w:szCs w:val="18"/>
                <w:color w:val="auto"/>
              </w:rPr>
            </w:pPr>
          </w:p>
        </w:tc>
        <w:tc>
          <w:tcPr>
            <w:tcW w:w="140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195"/>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per share:</w:t>
            </w:r>
          </w:p>
        </w:tc>
        <w:tc>
          <w:tcPr>
            <w:tcW w:w="180" w:type="dxa"/>
            <w:vAlign w:val="bottom"/>
            <w:tcBorders>
              <w:top w:val="single" w:sz="8" w:color="auto"/>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r>
      <w:tr>
        <w:trPr>
          <w:trHeight w:val="212"/>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 – basic and diluted:</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5"/>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(56,787)</w:t>
            </w:r>
          </w:p>
        </w:tc>
      </w:tr>
      <w:tr>
        <w:trPr>
          <w:trHeight w:val="211"/>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Net loss attributable to noncontrolling interest</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(15,418)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(19,088)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(32,198)</w:t>
            </w:r>
          </w:p>
        </w:tc>
      </w:tr>
      <w:tr>
        <w:trPr>
          <w:trHeight w:val="210"/>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attributable to Bakkt Holdings, Inc. – basic</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(24,589)</w:t>
            </w:r>
          </w:p>
        </w:tc>
      </w:tr>
      <w:tr>
        <w:trPr>
          <w:trHeight w:val="207"/>
        </w:trPr>
        <w:tc>
          <w:tcPr>
            <w:tcW w:w="4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attributable to Bakkt Holdings, Inc. – diluted</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(14,734)</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(16,424)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(24,589)</w:t>
            </w: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4"/>
        </w:trPr>
        <w:tc>
          <w:tcPr>
            <w:tcW w:w="4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12"/>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 – basic and diluted:</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5"/>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6,825,634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6,161,704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6,677,934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5,279,065</w:t>
            </w:r>
          </w:p>
        </w:tc>
      </w:tr>
      <w:tr>
        <w:trPr>
          <w:trHeight w:val="211"/>
        </w:trPr>
        <w:tc>
          <w:tcPr>
            <w:tcW w:w="4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 –diluted</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6,825,634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6,161,704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6,677,934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5,279,065</w:t>
            </w:r>
          </w:p>
        </w:tc>
      </w:tr>
      <w:tr>
        <w:trPr>
          <w:trHeight w:val="270"/>
        </w:trPr>
        <w:tc>
          <w:tcPr>
            <w:tcW w:w="4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r>
      <w:tr>
        <w:trPr>
          <w:trHeight w:val="211"/>
        </w:trPr>
        <w:tc>
          <w:tcPr>
            <w:tcW w:w="4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per share – basic</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r>
      <w:tr>
        <w:trPr>
          <w:trHeight w:val="216"/>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per share – diluted</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r>
    </w:tbl>
    <w:p>
      <w:pPr>
        <w:spacing w:after="0" w:line="302"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Potential common shares issuable to employees or directors upon exercise or conversion of shares under our share-based and unit-based compensation plans, conversion of debentures, and exercise of warrants are excluded from the computation of diluted earnings per common share when the effect would be anti-dilutive.</w:t>
      </w:r>
    </w:p>
    <w:p>
      <w:pPr>
        <w:spacing w:after="0" w:line="170"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The following table summarizes the total potential common shares excluded from diluted earnings per common share as their effect would be anti-dilutive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c>
          <w:tcPr>
            <w:tcW w:w="158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2"/>
        </w:trPr>
        <w:tc>
          <w:tcPr>
            <w:tcW w:w="4580" w:type="dxa"/>
            <w:vAlign w:val="bottom"/>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June 30, 2025</w:t>
            </w: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June 30, 2025</w:t>
            </w:r>
          </w:p>
        </w:tc>
        <w:tc>
          <w:tcPr>
            <w:tcW w:w="158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09"/>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and PSUs (treasury stock)</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3,215</w:t>
            </w:r>
          </w:p>
        </w:tc>
        <w:tc>
          <w:tcPr>
            <w:tcW w:w="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3,215</w:t>
            </w:r>
          </w:p>
        </w:tc>
        <w:tc>
          <w:tcPr>
            <w:tcW w:w="8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w:t>
            </w: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warrants (treasury stock)</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w:t>
            </w: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1 and Class 2 warrants (treasury stock)</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2,307</w:t>
            </w: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debentures (if-converted)</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w:t>
            </w:r>
          </w:p>
        </w:tc>
        <w:tc>
          <w:tcPr>
            <w:tcW w:w="8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1,912</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warrants (if-converted)</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27"/>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Opco common units (if-converted)</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7,177</w:t>
            </w:r>
          </w:p>
        </w:tc>
        <w:tc>
          <w:tcPr>
            <w:tcW w:w="8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7,195</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7,177</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7,195</w:t>
            </w:r>
          </w:p>
        </w:tc>
      </w:tr>
      <w:tr>
        <w:trPr>
          <w:trHeight w:val="252"/>
        </w:trPr>
        <w:tc>
          <w:tcPr>
            <w:tcW w:w="4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14,608</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14,608</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10,929</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154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shd w:val="clear" w:color="auto" w:fill="000000"/>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Capital Requirements</w:t>
      </w:r>
    </w:p>
    <w:p>
      <w:pPr>
        <w:spacing w:after="0" w:line="261"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b w:val="1"/>
          <w:bCs w:val="1"/>
          <w:color w:val="auto"/>
        </w:rPr>
        <w:t xml:space="preserve">Bakkt Crypto </w:t>
      </w:r>
      <w:r>
        <w:rPr>
          <w:rFonts w:ascii="Times New Roman" w:cs="Times New Roman" w:eastAsia="Times New Roman" w:hAnsi="Times New Roman"/>
          <w:sz w:val="18"/>
          <w:szCs w:val="18"/>
          <w:color w:val="0C0C0C"/>
        </w:rPr>
        <w:t>holds a BitLicense from NYDFS, which subjects it to NYDFS’s oversight with respect to business activities conducted in New York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0C0C0C"/>
        </w:rPr>
        <w:t xml:space="preserve">State and with New York residents, and </w:t>
      </w:r>
      <w:r>
        <w:rPr>
          <w:rFonts w:ascii="Times New Roman" w:cs="Times New Roman" w:eastAsia="Times New Roman" w:hAnsi="Times New Roman"/>
          <w:sz w:val="18"/>
          <w:szCs w:val="18"/>
          <w:color w:val="000000"/>
        </w:rPr>
        <w:t>is required to maintain a capital balance equal to the greater of a predefined minimum amount or the sum of the</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color w:val="000000"/>
        </w:rPr>
        <w:t>required percentages established for transmitted assets, cold wallet and hot wallet custody assets, and predefined wind-down costs, or expected costs associated with the orderly wind-down of the business. Bakkt Crypto also has money transmitter licenses wherever its business model requires (46 states plus Washington D.C., giving effect to the surrender of duplicative and unneeded licenses following the merger of Bakkt Crypto Solutions and Bakkt Marketplace discussed below) which require it to maintain a minimum tangible net worth. Several states have adopted the Model Money Transmission Modernization Act (“MMTMA”), which defined tangible net worth as the aggregate assets of a licensee excluding all intangible assets, less liabilities, and established a calculation for minimum tangible net worth as a percentage of total assets. For states that have not adopted the MMTMA, Bakkt Crypto is required to maintain tangible net worth of a minimum amount, plus the amount of customer funds held in transit. In March</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8"/>
          <w:szCs w:val="18"/>
          <w:color w:val="auto"/>
        </w:rPr>
        <w:t>2024, Bakkt received approval from NYDFS to merge, and has since merged, Bakkt Crypto Solutions and Bakkt Marketplace into one legal entity, now referred to as Bakkt Crypto.</w:t>
      </w:r>
    </w:p>
    <w:p>
      <w:pPr>
        <w:spacing w:after="0" w:line="149"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As of June 30, 2025 and December 31, 2024, Bakkt Crypto was in compliance with its respective regulatory capital requirements. The minimum capital requirements to which Bakkt Crypto is subject may restrict its ability to transfer cash. The Company may be required to transfer cash to Bakkt Crypto such that it can continue to meet minimum capital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38" w:lineRule="exact"/>
        <w:rPr>
          <w:sz w:val="20"/>
          <w:szCs w:val="20"/>
          <w:color w:val="auto"/>
        </w:rPr>
      </w:pPr>
    </w:p>
    <w:p>
      <w:pPr>
        <w:jc w:val="both"/>
        <w:ind w:firstLine="641"/>
        <w:spacing w:after="0" w:line="321" w:lineRule="auto"/>
        <w:rPr>
          <w:sz w:val="20"/>
          <w:szCs w:val="20"/>
          <w:color w:val="auto"/>
        </w:rPr>
      </w:pPr>
      <w:r>
        <w:rPr>
          <w:rFonts w:ascii="Times New Roman" w:cs="Times New Roman" w:eastAsia="Times New Roman" w:hAnsi="Times New Roman"/>
          <w:sz w:val="17"/>
          <w:szCs w:val="17"/>
          <w:color w:val="auto"/>
        </w:rPr>
        <w:t>Bakkt sponsors a 401(k) defined contribution plan covering all eligible U.S. employees. Both Company and employee contributions to the 401(k) plan are discretionary. For the three and six months ended June 30, 2025, the Company recognized approximately $0.4 million and $0.9 million, respectively of matching contributions to the 401(k). For the three and six months ended June 30, 2024, the Company recorded approximately $0.6 million and $1.3 million, respectively of expenses related to the 401(k) plan, which is included in "Compensation and benefits" in the consolidated statements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38"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The Company is party to a TRA with certain Opco equity holders. As of June 30, 2025, the Company has not recorded a liability under the TRA related to the income tax benefits originating from the exchanges of Opco Common Units as it is not probable that the Company will realize such tax benefits. 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in the Company's consolidated statements of operations and comprehensive loss at that time.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38"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On April 2, 2025, a putative class action complaint was filed in the U.S. District Court for the Southern District of New York against the Company and certain current and former officers. The complaint alleges that the Company made false or misleading statements and omissions of purportedly material fact, in violation of federal securities laws, in connection with disclosures relating to the non-renewal of the Company’s agreements with Webull and Bank of America N.A. ("Bank of America"). The complaint seeks damages, as well as fees and costs. The Company intends to defend the matter vigorously; however, it is refraining from expressing any judgment upon the likelihood of a favorable or unfavorable outcome in this matter given the early stage of the litigation. On May 6, 2025, the class action complaint was transferred to the Northern District of Georgia.</w:t>
      </w:r>
    </w:p>
    <w:p>
      <w:pPr>
        <w:spacing w:after="0" w:line="175"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On June 6, 2025, a verified stockholder derivative complaint captioned Kaivani v. Alexander, et. al., No. 25-cv-03196-MLB was filed in the United States District Court for the Northern District of Georgia against the Company and various officers and directors. The complaint asserted various claims for breach of fiduciary duty, unjust enrichment, and pursuant to Sections 10(b), 20(a), and 14(a) of the Securities Exchange Act of 1934 against defendants. The claims were premised on the same allegations as the federal securities litigation described above. On June 27, 2025, plaintiff filed a notice of voluntary dismissal without prejudice in this action.</w:t>
      </w:r>
    </w:p>
    <w:p>
      <w:pPr>
        <w:spacing w:after="0" w:line="19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On July 14, 2025, July 16, 2025, and July 18, 2025, the Company’s Board of Directors received demand letters from three shareholders (including Mr. Kaivani, who filed and withdrew the federal derivative litigation described above) (collectively, the “Demands”). These Demands are premised on the same alleged misconduct as the federal securities litigation described above, and seek (i) an internal investigation, (ii) a civil action, if applicable, and (iii) various Board actions in connection with the alleged misconduct. Defendants have asked these shareholders to pause the Board’s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18"/>
          <w:szCs w:val="18"/>
          <w:color w:val="auto"/>
        </w:rPr>
        <w:t>consideration of these Demands until resolution of Defendants’ anticipated motion to dismiss the federal securities litigation; to date, two of the three shareholders have so agreed.</w:t>
      </w:r>
    </w:p>
    <w:p>
      <w:pPr>
        <w:spacing w:after="0" w:line="149"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On January 25, 2024, the Company’s subsidiary, Aspire Loyalty Travel Solutions, LLC (“Aspire”) received a letter from one of its vendors alleging breach of its agreement with that vendor relating to a migration of Aspire’s systems to a different vendor. The alleged breach relates to a contractual provision requiring Aspire to originate at least a given percentage of its redemptions on the vendor’s systems. In May 2024, the Company settled the matter for $1.1 million.</w:t>
      </w:r>
    </w:p>
    <w:p>
      <w:pPr>
        <w:spacing w:after="0" w:line="171" w:lineRule="exact"/>
        <w:rPr>
          <w:sz w:val="20"/>
          <w:szCs w:val="20"/>
          <w:color w:val="auto"/>
        </w:rPr>
      </w:pPr>
    </w:p>
    <w:p>
      <w:pPr>
        <w:jc w:val="both"/>
        <w:ind w:firstLine="641"/>
        <w:spacing w:after="0" w:line="307" w:lineRule="auto"/>
        <w:rPr>
          <w:sz w:val="20"/>
          <w:szCs w:val="20"/>
          <w:color w:val="auto"/>
        </w:rPr>
      </w:pPr>
      <w:r>
        <w:rPr>
          <w:rFonts w:ascii="Times New Roman" w:cs="Times New Roman" w:eastAsia="Times New Roman" w:hAnsi="Times New Roman"/>
          <w:sz w:val="17"/>
          <w:szCs w:val="17"/>
          <w:color w:val="auto"/>
        </w:rPr>
        <w:t>As described above, in October 2021, Bakkt completed the VIH Business Combination with VIH, pursuant to which VIH changed its name to Bakkt Holdings, Inc. and the current directors and officers of the Company replaced the directors and officers in place prior to the VIH Business Combination. On April 21, 2022, a putative class action was filed against Bakkt Holdings, Inc. and certain of its directors and officers prior to the VIH Business Combination in the U.S. District Court for the Eastern District of New York on behalf of certain purchasers of securities of VIH and/or purchasers of Class A Common Stock issued in connection with the VIH Business Combination. On August 3, 2022, the Court appointed lead plaintiffs and lead counsel and on October 18, 2022, lead plaintiffs filed an amended complaint (the "Amended Complaint"). The Amended Complaint alleged that VIH made false or misleading statements and omissions of material fact in the registration statement and prospectus/proxy statement filing in connection with the VIH Business Combination and in other SEC filings made by VIH, in violation of federal securities laws in connection with disclosures relating to certain of VIH’s financial statements, accounting, and internal controls and that, as a result, VIH securities traded at artificially inflated prices. Plaintiffs sought certification of a class of purchasers of (1) VIH/Bakkt’s publicly traded securities between March 31, 2021 and November 19, 2021, and/or (2) Bakkt’s publicly traded securities pursuant and/or traceable to the registration statement. The Amended Complaint sought damages, as well as fees and costs. The Amended Complaint named as defendants only one current director, and no current officers, of Bakkt. On March 14, 2023, the parties reached a settlement in principle. On April 12, 2023, the parties completed a stipulation of settlement resolving the litigation for $3.0 million, subject to Court approval. The Court granted a final approval of the settlement on April 16, 2025. The settlement was covered primarily by the Company's insurance less its contractual retention.</w:t>
      </w:r>
    </w:p>
    <w:p>
      <w:pPr>
        <w:spacing w:after="0" w:line="186"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On June 23, 2023, an “opt-out” action related to the foregoing class action was filed against Bakkt Holdings, Inc. and the individuals named in the class action. In late February 2024, plaintiff provided notice that he intended to pursue his remedies as a class member, and therefore did not expect further to pursue this action. On March 1, 2024, the parties filed a joint stipulation of dismissal without a settlement or compromise between the parties, and on March 5, 2024 the Court issued an order dismissing the action.</w:t>
      </w:r>
    </w:p>
    <w:p>
      <w:pPr>
        <w:spacing w:after="0" w:line="191"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Prior to its acquisition by the Company, Bakkt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The SEC made a number of follow up requests for additional documents and information, and the Company responded to those requests on a timely basis. On March 3, 2025, the SEC concluded its inquiry of Bakkt Crypto and, based on the information it had at such time, the SEC advised the Company that it did not intend to recommend an enforcement action against Bakkt Crypto.</w:t>
      </w:r>
    </w:p>
    <w:p>
      <w:pPr>
        <w:spacing w:after="0" w:line="179"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Other legal and regulatory proceedings have arisen and may arise in the ordinary course of business. However, we do not believe that the resolution of these matters will have a material adverse effect on our financial position, results of operations or cash flows. However, future results could be materially and adversely affected by new developments relating to the legal proceedings and claims.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Cryptocurrency Held on Platform</w:t>
      </w:r>
    </w:p>
    <w:p>
      <w:pPr>
        <w:spacing w:after="0" w:line="291"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The Company is obligated to securely store crypto assets that it holds for customers, a substantial portion of which are held in cold storage. As such, the Company may be liable to users of its platform for losses arising from the Company’s failure to secure crypto assets from theft or loss. The Company has not incurred any losses related to such an obligation and</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spacing w:after="0" w:line="299" w:lineRule="auto"/>
        <w:rPr>
          <w:sz w:val="20"/>
          <w:szCs w:val="20"/>
          <w:color w:val="auto"/>
        </w:rPr>
      </w:pPr>
      <w:r>
        <w:rPr>
          <w:rFonts w:ascii="Times New Roman" w:cs="Times New Roman" w:eastAsia="Times New Roman" w:hAnsi="Times New Roman"/>
          <w:sz w:val="18"/>
          <w:szCs w:val="18"/>
          <w:color w:val="auto"/>
        </w:rPr>
        <w:t>therefore has not accrued a liability for losses as of June 30, 2025 or December 31, 2024. The Company has no reason to believe it will incur any expense associated with such potential liability because (i) it has no known or historical experience of claims to use as a basis of measurement, (ii) it accounts for and continually verifies the amount of crypto assets within its control, and (iii) it has established security around custodial product private keys to minimize the risk of theft or loss.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Purchasing Card Facility</w:t>
      </w:r>
    </w:p>
    <w:p>
      <w:pPr>
        <w:spacing w:after="0" w:line="238"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On April 7, 2022, Bakkt entered into a corporate card services agreement with Bank of America to provide a purchasing card facility that it utilizes for redemption purchases made from vendors as part of its loyalty redemption platform. Total borrowing capacity under the facility was $35 million and there is no defined maturity date. Expenditures made using the purchasing card facility are payable at least bi-monthly, are not subject to formula-based restrictions and do not bear interest if amounts outstanding are paid when due and in full. The purchasing card facility requires the Company to maintain a concentration account with the lender subject to a minimum liquidity maintenance requirement of $7.0 million along with the accounts receivable of the Company's subsidiary, within the loyalty business. Bakkt Holdings, Inc. serves as the guarantor on behalf of the subsidiary under the commercial purchasing card facility. Bakkt began using the purchasing card facility in August 2022.</w:t>
      </w:r>
    </w:p>
    <w:p>
      <w:pPr>
        <w:spacing w:after="0" w:line="194"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In March 2024, Bank of America required Bakkt to pledge as collateral the amounts which were previously required to be maintained in the concentration account. In April 2024, Bank of America reduced the credit line associated with the purchasing card facility from $35.0 million to $20.0 million. In January 2025, Bank of America further reduced the credit line associated with the purchasing card facility from $20.0 million to $18.0 million and changed payment frequency to weekly. In March 2025, Bank of America further reduced the credit line associated with the purchasing card facility from $18.0 million to $15.0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251"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In December 2021, the Company entered into a four-year cloud computing arrangement which includes minimum contractual payments due to the third-party provider. In December 2023, the Company agreed to amend the contract and extend the payment period for an additional year. During the year ended December 31, 2023, the Company entered into a five-year strategic marketing agreement which required a committed spend. In July 2024, the Company terminated the strategic marketing agreement, which required a settlement payment of $1.1 million and resulted in the release from future obligations. As of June 30, 2025, the Company's outstanding purchase obligations, net of the settlement described above, consisted of the following future minimum commitments (in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4"/>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0"/>
        </w:trPr>
        <w:tc>
          <w:tcPr>
            <w:tcW w:w="35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w w:val="97"/>
              </w:rPr>
              <w:t>Less than 1 year</w:t>
            </w: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9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More than 5 years</w:t>
            </w: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3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6,000</w:t>
            </w:r>
          </w:p>
        </w:tc>
        <w:tc>
          <w:tcPr>
            <w:tcW w:w="32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Cooperation Agreement</w:t>
      </w:r>
    </w:p>
    <w:p>
      <w:pPr>
        <w:spacing w:after="0" w:line="251"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On March 19, 2025, the Company entered into a Cooperation Agreement with Distributed Technologies Research Global Ltd. (“DTR”) and Akshay Naheta, the sole stockholder of DTR (the “Cooperation Agreement”). Pursuant to the Cooperation Agreement, DTR will provide the Company with certain exclusive payment processing technology, application programming interfaces, and infrastructure to be integrated into the Company’s platform for the enablement of global payments processing services in the jurisdictions where the Company or its affiliates operate. Refer to Note 18 to our consolidated financial statements included in the Form 10-K where the Cooperation Agreement is described in detail. Refer to Note 19 for additional details of the Commercial Agreement with DTR.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38"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As a result of the VIH Business Combination, the Company acquired a controlling interest in Opco, which is treated as a partnership for U.S. federal income tax purposes, and in most applicable state and local income tax</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8"/>
          <w:szCs w:val="18"/>
          <w:color w:val="auto"/>
        </w:rPr>
        <w:t>jurisdictions. As a partnership, Opco is not itself subject to U.S. federal and certain state and local income taxes. Any taxable income or loss generated by Opco is passed through to and included in the taxable income or loss of its partners, including the Company following the VIH Business Combination, on a pro rata basis. The Company's income tax benefit (expense) primarily relates to the Company’s allocable share of any taxable income or loss of Opco following the VIH Business Combination. In addition, Opco’s wholly owned corporate subsidiaries that are consolidated for U.S. GAAP purposes but separately taxed for federal, state, and foreign income tax purposes as corporations are generating federal, state, and foreign income tax expense.</w:t>
      </w:r>
    </w:p>
    <w:p>
      <w:pPr>
        <w:spacing w:after="0" w:line="193"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Our effective tax rates of (0.20)% and (0.8)% for the three and six months ended June 30, 2025. respectively, differ from statutory rates primarily due to the noncontrolling interest that is not taxed to the Company and the absence of taxable income to realize the Company's net operating losses and other deferred tax assets.</w:t>
      </w:r>
    </w:p>
    <w:p>
      <w:pPr>
        <w:spacing w:after="0" w:line="170"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Our effective tax rates of (0.3)% and (0.4)% for the three and six months ended June 30, 2024. respectively, differ from statutory rates primarily due to the noncontrolling interest that is not taxed to the Company and the absence of taxable income to realize the Company's net operating losses and other deferred tax assets.</w:t>
      </w:r>
    </w:p>
    <w:p>
      <w:pPr>
        <w:spacing w:after="0" w:line="18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Deferred tax assets are reduced by a valuation allowance if, based on the weight of available evidence, it is more likely than not that some portion or all of the deferred tax assets will not be realized. The realizability of the Company's deferred tax assets, in each jurisdiction, is dependent upon the generation of future taxable income sufficient to utilize the deferred tax assets on income tax returns, including the reversal of existing temporary differences, historical and projected operating results and tax planning strategies. As of June 30, 2025 and December 31, 2024, the Company believed that it was not more likely than not that the net deferred tax assets would be realizable and thus maintained a full valuation allowance.</w:t>
      </w:r>
    </w:p>
    <w:p>
      <w:pPr>
        <w:spacing w:after="0" w:line="19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The effects of uncertain tax positions are recognized in the consolidated financial statements if these positions meet a “more-likely-than-not” threshold. For those uncertain tax positions that are recognized in the consolidated financial statements, liabilities are established to reflect the portion of those positions it cannot conclude “more-likely-than-not” to be realized upon ultimate settlement. The Company had no unrecognized tax benefits or related interest and penalties accrued as of June 30, 2025 or December 31,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Leases</w:t>
      </w:r>
    </w:p>
    <w:p>
      <w:pPr>
        <w:spacing w:after="0" w:line="238" w:lineRule="exact"/>
        <w:rPr>
          <w:sz w:val="20"/>
          <w:szCs w:val="20"/>
          <w:color w:val="auto"/>
        </w:rPr>
      </w:pPr>
    </w:p>
    <w:p>
      <w:pPr>
        <w:jc w:val="both"/>
        <w:ind w:right="20" w:firstLine="641"/>
        <w:spacing w:after="0" w:line="308" w:lineRule="auto"/>
        <w:rPr>
          <w:sz w:val="20"/>
          <w:szCs w:val="20"/>
          <w:color w:val="auto"/>
        </w:rPr>
      </w:pPr>
      <w:r>
        <w:rPr>
          <w:rFonts w:ascii="Times New Roman" w:cs="Times New Roman" w:eastAsia="Times New Roman" w:hAnsi="Times New Roman"/>
          <w:sz w:val="18"/>
          <w:szCs w:val="18"/>
          <w:color w:val="auto"/>
        </w:rPr>
        <w:t>The Company leases real estate for office space under operating leases. Management considers a lease to have commenced on the date when the Company is granted access to the leased asset.</w:t>
      </w:r>
    </w:p>
    <w:p>
      <w:pPr>
        <w:spacing w:after="0" w:line="177"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Certain of the Company's real estate leasing agreements include terms requiring it to reimburse the lessor for the Company's share of real estate taxes, insurance, operating costs and utilities which the Company accounts for as variable lease costs when incurred since the Company has elected to not separate lease and non-lease components, and hence are not included in the measurement of lease liability. There are no restrictions or covenants imposed by any of the leases, and none of the Company's leases contain material residual value guarantees.</w:t>
      </w:r>
    </w:p>
    <w:p>
      <w:pPr>
        <w:spacing w:after="0" w:line="191"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The discount rates for all of the Company's leases are based on its estimated incremental borrowing rate since the rates implicit in the leases were not determinable. The Company's incremental borrowing rate is based on management’s estimate of the rate of interest the Company would have to pay to borrow on a fully collateralized basis over a similar term an amount equal to the lease payments in a similar economic environment.</w:t>
      </w:r>
    </w:p>
    <w:p>
      <w:pPr>
        <w:spacing w:after="0" w:line="170"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The Company has elected the practical expedient under which lease components are not be separated from the non-lease components for all our classes of underlying assets. Accordingly, each lease component and the non-lease components related to the lease component are accounted for as a single lease component.</w:t>
      </w:r>
    </w:p>
    <w:p>
      <w:pPr>
        <w:spacing w:after="0" w:line="183"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In December 2024, the Company signed a Lease Assignment and Assumption Agreement (the “Lease Assignment”) for its New York office lease, whereby a third-party agreed to assume all the Company’s rights, title and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interest in and to the lease, including but not limited to the performance by the third-party of all of the Company’s duties and obligations under the lease. The Lease Assignment was contingent upon the landlord’s consent. In January 2025, the Company signed an Assignment and Assumption of Lease with Landlord’s Consent for the New York office lease, which provided the landlord’s consent to the Lease Assignment. The Company is joint and severally liable with the third-party assignee for the obligations under the New York office lease. For the six month period ended June 30, 2025 the Company recognized income of approximately $1.8 million related to the Lease Assignment, net of approximately $0.9 million paid to the third-party assignee under the Lease Assignment, all of which is recognized in Other (expense) income, net in the consolidated statements of operations.</w:t>
      </w:r>
    </w:p>
    <w:p>
      <w:pPr>
        <w:spacing w:after="0" w:line="175"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On December 21, 2023, the Company signed an agreement to sublease a portion of its corporate headquarters office space in Alpharetta, Georgia. The sublease commenced in March 2024. The Company's Scottsdale, Arizona lease has a term of 89 months and total fixed lease payments over the term of $5.7 million. The Alpharetta call center lease has a term of 47 months and total fixed lease payments over the term of the lease are $5.9 million. As of June 30, 2025, the Company does not have any active finance leases. Several of these leases include escalation clauses for adjusting rentals.</w:t>
      </w:r>
    </w:p>
    <w:p>
      <w:pPr>
        <w:spacing w:after="0" w:line="171"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The Company's real estate leases have remaining lease terms as of June 30, 2025 ranging from 10 months to 87 months, with three of the leases containing an option to extend the term for a period of 5 years exercisable by the Company, which the Company was not reasonably certain of exercising at commencement. None of the Company's real estate leases contain an option to terminate the lease without cause at the option of either party during the lease term.</w:t>
      </w:r>
    </w:p>
    <w:p>
      <w:pPr>
        <w:spacing w:after="0" w:line="171"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As of June 30, 2025, the weighted average remaining lease term for the Company's operating leases was approximately 76 months, and the weighted average discount rate was 5.4%. As of December 31, 2024, the weighted average remaining lease term for the Company's operating leases was approximately 76 months, and the weighted average discount rate was 5.3%. The Company was party to short-term leases during the three and six months ended June 30, 2025 and June 30, 2024, which resulted in less than $0.1 million of rent expense,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Fair Value Measurements</w:t>
      </w:r>
    </w:p>
    <w:p>
      <w:pPr>
        <w:spacing w:after="0" w:line="251"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Financial assets and liabilities that are measured at fair value on a recurring basis are classified as Level 1, Level 2 and Level 3 as follows (in thousands):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Crypto Assets</w:t>
      </w:r>
    </w:p>
    <w:p>
      <w:pPr>
        <w:spacing w:after="0" w:line="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30" w:lineRule="exact"/>
        <w:rPr>
          <w:sz w:val="20"/>
          <w:szCs w:val="20"/>
          <w:color w:val="auto"/>
        </w:rPr>
      </w:pPr>
    </w:p>
    <w:p>
      <w:pPr>
        <w:ind w:left="140" w:right="1120"/>
        <w:spacing w:after="0" w:line="280" w:lineRule="auto"/>
        <w:rPr>
          <w:sz w:val="20"/>
          <w:szCs w:val="20"/>
          <w:color w:val="auto"/>
        </w:rPr>
      </w:pPr>
      <w:r>
        <w:rPr>
          <w:rFonts w:ascii="Times New Roman" w:cs="Times New Roman" w:eastAsia="Times New Roman" w:hAnsi="Times New Roman"/>
          <w:sz w:val="18"/>
          <w:szCs w:val="18"/>
          <w:color w:val="auto"/>
        </w:rPr>
        <w:t>Warrant liability - Class 1 and Class 2 warrants Warrant liability - public warrants</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30" w:lineRule="exact"/>
        <w:rPr>
          <w:sz w:val="20"/>
          <w:szCs w:val="20"/>
          <w:color w:val="auto"/>
        </w:rPr>
      </w:pPr>
    </w:p>
    <w:p>
      <w:pPr>
        <w:ind w:left="140" w:right="1120"/>
        <w:spacing w:after="0" w:line="281" w:lineRule="auto"/>
        <w:rPr>
          <w:sz w:val="20"/>
          <w:szCs w:val="20"/>
          <w:color w:val="auto"/>
        </w:rPr>
      </w:pPr>
      <w:r>
        <w:rPr>
          <w:rFonts w:ascii="Times New Roman" w:cs="Times New Roman" w:eastAsia="Times New Roman" w:hAnsi="Times New Roman"/>
          <w:sz w:val="18"/>
          <w:szCs w:val="18"/>
          <w:color w:val="auto"/>
        </w:rPr>
        <w:t>Warrant liability - Class 1 and Class 2 warrants Warrant liability - public warrants</w:t>
      </w:r>
    </w:p>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As of June 30, 2025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434"/>
        </w:trPr>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3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 $</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3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83"/>
        </w:trPr>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21,922</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21,922</w:t>
            </w:r>
          </w:p>
        </w:tc>
      </w:tr>
      <w:tr>
        <w:trPr>
          <w:trHeight w:val="232"/>
        </w:trPr>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23,279</w:t>
            </w:r>
          </w:p>
        </w:tc>
        <w:tc>
          <w:tcPr>
            <w:tcW w:w="3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3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21,922</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-3373120</wp:posOffset>
            </wp:positionH>
            <wp:positionV relativeFrom="paragraph">
              <wp:posOffset>-1246505</wp:posOffset>
            </wp:positionV>
            <wp:extent cx="7133590" cy="144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3590" cy="1441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-957580</wp:posOffset>
            </wp:positionV>
            <wp:extent cx="7133590" cy="169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3590" cy="1695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-618490</wp:posOffset>
            </wp:positionV>
            <wp:extent cx="7133590" cy="144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3590" cy="1441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-330200</wp:posOffset>
            </wp:positionV>
            <wp:extent cx="7133590" cy="144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of December 31, 2024</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20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429"/>
        </w:trPr>
        <w:tc>
          <w:tcPr>
            <w:tcW w:w="3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42,782</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4"/>
                <w:szCs w:val="24"/>
                <w:color w:val="auto"/>
              </w:rPr>
            </w:pPr>
          </w:p>
        </w:tc>
        <w:tc>
          <w:tcPr>
            <w:tcW w:w="14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42,782</w:t>
            </w:r>
          </w:p>
        </w:tc>
      </w:tr>
      <w:tr>
        <w:trPr>
          <w:trHeight w:val="232"/>
        </w:trPr>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46,923</w:t>
            </w:r>
          </w:p>
        </w:tc>
        <w:tc>
          <w:tcPr>
            <w:tcW w:w="3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3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42,782</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-3373120</wp:posOffset>
            </wp:positionH>
            <wp:positionV relativeFrom="paragraph">
              <wp:posOffset>-618490</wp:posOffset>
            </wp:positionV>
            <wp:extent cx="7133590" cy="144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3590" cy="144145"/>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-330200</wp:posOffset>
            </wp:positionV>
            <wp:extent cx="7133590" cy="144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3590" cy="144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600" w:space="720"/>
            <w:col w:w="5920"/>
          </w:cols>
          <w:pgMar w:left="320" w:top="108" w:right="339"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and cash equivalents, accounts receivables, unbilled accounts receivables, due from related party, deposits with clearinghouse, due to related party, accounts payable and accrued liabilities, and operating lease obligations approximate their fair values due to their short-term nature. The balance of deposits with clearinghouse not invested in U.S. government securities are in the form of cash, and therefore approximate fair value.</w:t>
      </w:r>
    </w:p>
    <w:p>
      <w:pPr>
        <w:spacing w:after="0" w:line="171" w:lineRule="exact"/>
        <w:rPr>
          <w:sz w:val="20"/>
          <w:szCs w:val="20"/>
          <w:color w:val="auto"/>
        </w:rPr>
      </w:pPr>
    </w:p>
    <w:p>
      <w:pPr>
        <w:jc w:val="both"/>
        <w:ind w:right="20" w:firstLine="641"/>
        <w:spacing w:after="0" w:line="324" w:lineRule="auto"/>
        <w:rPr>
          <w:sz w:val="20"/>
          <w:szCs w:val="20"/>
          <w:color w:val="auto"/>
        </w:rPr>
      </w:pPr>
      <w:r>
        <w:rPr>
          <w:rFonts w:ascii="Times New Roman" w:cs="Times New Roman" w:eastAsia="Times New Roman" w:hAnsi="Times New Roman"/>
          <w:sz w:val="18"/>
          <w:szCs w:val="18"/>
          <w:color w:val="auto"/>
        </w:rPr>
        <w:t>The fair value of the Company's crypto assets was determined using Level 2 inputs which included using the value of the crypto asset determined as the mid-point of a bid-ask spread in the market management determined to be the principal market for the related crypto assets as of June 30, 2025.</w:t>
      </w:r>
    </w:p>
    <w:p>
      <w:pPr>
        <w:spacing w:after="0" w:line="1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Public Warrant liability is valued based on quoted prices in active markets and is classified within Level 1.</w:t>
      </w:r>
    </w:p>
    <w:p>
      <w:pPr>
        <w:spacing w:after="0" w:line="261"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Since the second quarter 2024, the Company's Class 1 Warrants and Class 2 Warrants were valued using the Black-Scholes-Merton model and a binomial lattice model, respectively, both of which utilize certain Level 3 inputs. Prior to the second quarter of 2024, the Class 1 Warrants and Class 2 Warrants were valued using the Black-Scholes-Merton model and a Monte Carlo simulation, respectively. A significant input to the Monte Carlo simulation included the volatility of movement in the price of the stock underlying the warrants, which was estimated using the historical volatility of the Company's Class A Common Stock over the contractual period of the warrant.</w:t>
      </w:r>
    </w:p>
    <w:p>
      <w:pPr>
        <w:spacing w:after="0" w:line="179" w:lineRule="exact"/>
        <w:rPr>
          <w:sz w:val="20"/>
          <w:szCs w:val="20"/>
          <w:color w:val="auto"/>
        </w:rPr>
      </w:pPr>
    </w:p>
    <w:p>
      <w:pPr>
        <w:jc w:val="both"/>
        <w:ind w:right="20" w:firstLine="641"/>
        <w:spacing w:after="0" w:line="324" w:lineRule="auto"/>
        <w:rPr>
          <w:sz w:val="20"/>
          <w:szCs w:val="20"/>
          <w:color w:val="auto"/>
        </w:rPr>
      </w:pPr>
      <w:r>
        <w:rPr>
          <w:rFonts w:ascii="Times New Roman" w:cs="Times New Roman" w:eastAsia="Times New Roman" w:hAnsi="Times New Roman"/>
          <w:sz w:val="18"/>
          <w:szCs w:val="18"/>
          <w:color w:val="auto"/>
        </w:rPr>
        <w:t>The significant unobservable inputs used for the fair value measurement of the Class 1 Warrants and Class 2 Warrants liabilities as of June 30, 2025 are summarized as follows:</w:t>
      </w:r>
    </w:p>
    <w:p>
      <w:pPr>
        <w:sectPr>
          <w:pgSz w:w="11900" w:h="16838" w:orient="portrait"/>
          <w:cols w:equalWidth="0" w:num="1">
            <w:col w:w="11240"/>
          </w:cols>
          <w:pgMar w:left="320" w:top="108" w:right="339" w:bottom="1440" w:gutter="0" w:footer="0" w:header="0"/>
        </w:sectPr>
      </w:pP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term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7133590" cy="169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3590" cy="169545"/>
                    </a:xfrm>
                    <a:prstGeom prst="rect">
                      <a:avLst/>
                    </a:prstGeom>
                    <a:noFill/>
                  </pic:spPr>
                </pic:pic>
              </a:graphicData>
            </a:graphic>
          </wp:anchor>
        </w:drawing>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Continuous risk-free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wp:posOffset>
            </wp:positionV>
            <wp:extent cx="7133590" cy="169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3590" cy="169545"/>
                    </a:xfrm>
                    <a:prstGeom prst="rect">
                      <a:avLst/>
                    </a:prstGeom>
                    <a:noFill/>
                  </pic:spPr>
                </pic:pic>
              </a:graphicData>
            </a:graphic>
          </wp:anchor>
        </w:drawing>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volatility</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4.18</w:t>
      </w:r>
    </w:p>
    <w:p>
      <w:pPr>
        <w:spacing w:after="0" w:line="6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3.68%</w:t>
      </w:r>
    </w:p>
    <w:p>
      <w:pPr>
        <w:spacing w:after="0" w:line="60"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125.0%</w:t>
      </w:r>
    </w:p>
    <w:p>
      <w:pPr>
        <w:spacing w:after="0" w:line="213" w:lineRule="exact"/>
        <w:rPr>
          <w:sz w:val="20"/>
          <w:szCs w:val="20"/>
          <w:color w:val="auto"/>
        </w:rPr>
      </w:pPr>
    </w:p>
    <w:p>
      <w:pPr>
        <w:sectPr>
          <w:pgSz w:w="11900" w:h="16838" w:orient="portrait"/>
          <w:cols w:equalWidth="0" w:num="2">
            <w:col w:w="9900" w:space="720"/>
            <w:col w:w="620"/>
          </w:cols>
          <w:pgMar w:left="320" w:top="108" w:right="339" w:bottom="1440" w:gutter="0" w:footer="0" w:header="0"/>
          <w:type w:val="continuous"/>
        </w:sectPr>
      </w:pPr>
    </w:p>
    <w:p>
      <w:pPr>
        <w:spacing w:after="0" w:line="154"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The preceding methods described may produce fair value calculations that may not be indicative of net realizable value or reflective of future fair values. Furthermore, although management believes the Company's valuation techniques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71" w:lineRule="exact"/>
        <w:rPr>
          <w:sz w:val="20"/>
          <w:szCs w:val="20"/>
          <w:color w:val="auto"/>
        </w:rPr>
      </w:pPr>
    </w:p>
    <w:p>
      <w:pPr>
        <w:ind w:right="140" w:firstLine="641"/>
        <w:spacing w:after="0" w:line="301" w:lineRule="auto"/>
        <w:rPr>
          <w:sz w:val="20"/>
          <w:szCs w:val="20"/>
          <w:color w:val="auto"/>
        </w:rPr>
      </w:pPr>
      <w:r>
        <w:rPr>
          <w:rFonts w:ascii="Times New Roman" w:cs="Times New Roman" w:eastAsia="Times New Roman" w:hAnsi="Times New Roman"/>
          <w:sz w:val="18"/>
          <w:szCs w:val="18"/>
          <w:color w:val="auto"/>
        </w:rPr>
        <w:t>Considering the convertible debenture was issued in close proximity to June 30, 2025, was issued with zero percent interest rate at a five percent discount to the principal amount, and was negotiated with a third-party investor, management believes carrying value approximates fair value as of June 30,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 Reporting</w:t>
      </w:r>
    </w:p>
    <w:p>
      <w:pPr>
        <w:spacing w:after="0" w:line="251" w:lineRule="exact"/>
        <w:rPr>
          <w:sz w:val="20"/>
          <w:szCs w:val="20"/>
          <w:color w:val="auto"/>
        </w:rPr>
      </w:pPr>
    </w:p>
    <w:p>
      <w:pPr>
        <w:jc w:val="both"/>
        <w:ind w:right="20" w:firstLine="641"/>
        <w:spacing w:after="0" w:line="326" w:lineRule="auto"/>
        <w:rPr>
          <w:sz w:val="20"/>
          <w:szCs w:val="20"/>
          <w:color w:val="auto"/>
        </w:rPr>
      </w:pPr>
      <w:r>
        <w:rPr>
          <w:rFonts w:ascii="Times New Roman" w:cs="Times New Roman" w:eastAsia="Times New Roman" w:hAnsi="Times New Roman"/>
          <w:sz w:val="17"/>
          <w:szCs w:val="17"/>
          <w:color w:val="auto"/>
        </w:rPr>
        <w:t>The measure of segment assets is reported in the consolidated balance sheets as total assets. The CODM uses net income (loss) to allocate resources as part of the Company's annual and long-term planning processes, and to evaluate operating performance based on budget to actual results. Certain information provided to the CODM presents operating expenses on a different basis than that presented in the consolidated statements of operations.</w:t>
      </w:r>
    </w:p>
    <w:p>
      <w:pPr>
        <w:spacing w:after="0" w:line="165"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During the three and six months ended June 30, 2025 and June 30, 2024, all material operations are within the United States. Our chief operating decision maker allocates resources and assesses performance based upon financial information at the consolidated level.</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0" w:name="page41"/>
    <w:bookmarkEnd w:id="40"/>
    <w:p>
      <w:pPr>
        <w:ind w:left="640"/>
        <w:spacing w:after="0"/>
        <w:rPr>
          <w:sz w:val="20"/>
          <w:szCs w:val="20"/>
          <w:color w:val="auto"/>
        </w:rPr>
      </w:pPr>
      <w:r>
        <w:rPr>
          <w:rFonts w:ascii="Times New Roman" w:cs="Times New Roman" w:eastAsia="Times New Roman" w:hAnsi="Times New Roman"/>
          <w:sz w:val="17"/>
          <w:szCs w:val="17"/>
          <w:color w:val="auto"/>
        </w:rPr>
        <w:t>The following table represents significant segment expenses provided to the CODM for the three and six months ended June 30, 2025, and June 30,</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2024 (in thousands):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13"/>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00" w:type="dxa"/>
            <w:vAlign w:val="bottom"/>
          </w:tcPr>
          <w:p>
            <w:pPr>
              <w:spacing w:after="0"/>
              <w:rPr>
                <w:sz w:val="18"/>
                <w:szCs w:val="18"/>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c>
          <w:tcPr>
            <w:tcW w:w="100" w:type="dxa"/>
            <w:vAlign w:val="bottom"/>
          </w:tcPr>
          <w:p>
            <w:pPr>
              <w:spacing w:after="0"/>
              <w:rPr>
                <w:sz w:val="18"/>
                <w:szCs w:val="18"/>
                <w:color w:val="auto"/>
              </w:rPr>
            </w:pPr>
          </w:p>
        </w:tc>
        <w:tc>
          <w:tcPr>
            <w:tcW w:w="128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w w:val="98"/>
              </w:rPr>
              <w:t>Six Months</w:t>
            </w:r>
          </w:p>
        </w:tc>
      </w:tr>
      <w:tr>
        <w:trPr>
          <w:trHeight w:val="178"/>
        </w:trPr>
        <w:tc>
          <w:tcPr>
            <w:tcW w:w="5460" w:type="dxa"/>
            <w:vAlign w:val="bottom"/>
          </w:tcPr>
          <w:p>
            <w:pPr>
              <w:spacing w:after="0"/>
              <w:rPr>
                <w:sz w:val="15"/>
                <w:szCs w:val="15"/>
                <w:color w:val="auto"/>
              </w:rPr>
            </w:pPr>
          </w:p>
        </w:tc>
        <w:tc>
          <w:tcPr>
            <w:tcW w:w="1460" w:type="dxa"/>
            <w:vAlign w:val="bottom"/>
            <w:gridSpan w:val="3"/>
          </w:tcPr>
          <w:p>
            <w:pPr>
              <w:jc w:val="center"/>
              <w:ind w:right="100"/>
              <w:spacing w:after="0" w:line="178" w:lineRule="exact"/>
              <w:rPr>
                <w:sz w:val="20"/>
                <w:szCs w:val="20"/>
                <w:color w:val="auto"/>
              </w:rPr>
            </w:pPr>
            <w:r>
              <w:rPr>
                <w:rFonts w:ascii="Times New Roman" w:cs="Times New Roman" w:eastAsia="Times New Roman" w:hAnsi="Times New Roman"/>
                <w:sz w:val="18"/>
                <w:szCs w:val="18"/>
                <w:b w:val="1"/>
                <w:bCs w:val="1"/>
                <w:color w:val="auto"/>
                <w:w w:val="97"/>
              </w:rPr>
              <w:t>Ended June 30,</w:t>
            </w:r>
          </w:p>
        </w:tc>
        <w:tc>
          <w:tcPr>
            <w:tcW w:w="100" w:type="dxa"/>
            <w:vAlign w:val="bottom"/>
          </w:tcPr>
          <w:p>
            <w:pPr>
              <w:spacing w:after="0"/>
              <w:rPr>
                <w:sz w:val="15"/>
                <w:szCs w:val="15"/>
                <w:color w:val="auto"/>
              </w:rPr>
            </w:pPr>
          </w:p>
        </w:tc>
        <w:tc>
          <w:tcPr>
            <w:tcW w:w="1360" w:type="dxa"/>
            <w:vAlign w:val="bottom"/>
            <w:gridSpan w:val="2"/>
          </w:tcPr>
          <w:p>
            <w:pPr>
              <w:jc w:val="center"/>
              <w:ind w:right="200"/>
              <w:spacing w:after="0" w:line="178" w:lineRule="exact"/>
              <w:rPr>
                <w:sz w:val="20"/>
                <w:szCs w:val="20"/>
                <w:color w:val="auto"/>
              </w:rPr>
            </w:pPr>
            <w:r>
              <w:rPr>
                <w:rFonts w:ascii="Times New Roman" w:cs="Times New Roman" w:eastAsia="Times New Roman" w:hAnsi="Times New Roman"/>
                <w:sz w:val="18"/>
                <w:szCs w:val="18"/>
                <w:b w:val="1"/>
                <w:bCs w:val="1"/>
                <w:color w:val="auto"/>
                <w:w w:val="97"/>
              </w:rPr>
              <w:t>Ended June 30,</w:t>
            </w:r>
          </w:p>
        </w:tc>
        <w:tc>
          <w:tcPr>
            <w:tcW w:w="100" w:type="dxa"/>
            <w:vAlign w:val="bottom"/>
          </w:tcPr>
          <w:p>
            <w:pPr>
              <w:spacing w:after="0"/>
              <w:rPr>
                <w:sz w:val="15"/>
                <w:szCs w:val="15"/>
                <w:color w:val="auto"/>
              </w:rPr>
            </w:pPr>
          </w:p>
        </w:tc>
        <w:tc>
          <w:tcPr>
            <w:tcW w:w="1380" w:type="dxa"/>
            <w:vAlign w:val="bottom"/>
            <w:gridSpan w:val="2"/>
          </w:tcPr>
          <w:p>
            <w:pPr>
              <w:jc w:val="center"/>
              <w:ind w:right="200"/>
              <w:spacing w:after="0" w:line="178" w:lineRule="exact"/>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100" w:type="dxa"/>
            <w:vAlign w:val="bottom"/>
          </w:tcPr>
          <w:p>
            <w:pPr>
              <w:spacing w:after="0"/>
              <w:rPr>
                <w:sz w:val="15"/>
                <w:szCs w:val="15"/>
                <w:color w:val="auto"/>
              </w:rPr>
            </w:pPr>
          </w:p>
        </w:tc>
        <w:tc>
          <w:tcPr>
            <w:tcW w:w="1280" w:type="dxa"/>
            <w:vAlign w:val="bottom"/>
          </w:tcPr>
          <w:p>
            <w:pPr>
              <w:jc w:val="center"/>
              <w:ind w:right="18"/>
              <w:spacing w:after="0" w:line="178" w:lineRule="exact"/>
              <w:rPr>
                <w:sz w:val="20"/>
                <w:szCs w:val="20"/>
                <w:color w:val="auto"/>
              </w:rPr>
            </w:pPr>
            <w:r>
              <w:rPr>
                <w:rFonts w:ascii="Times New Roman" w:cs="Times New Roman" w:eastAsia="Times New Roman" w:hAnsi="Times New Roman"/>
                <w:sz w:val="18"/>
                <w:szCs w:val="18"/>
                <w:b w:val="1"/>
                <w:bCs w:val="1"/>
                <w:color w:val="auto"/>
                <w:w w:val="99"/>
              </w:rPr>
              <w:t>Ended June 30,</w:t>
            </w:r>
          </w:p>
        </w:tc>
      </w:tr>
      <w:tr>
        <w:trPr>
          <w:trHeight w:val="236"/>
        </w:trPr>
        <w:tc>
          <w:tcPr>
            <w:tcW w:w="54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47"/>
        </w:trPr>
        <w:tc>
          <w:tcPr>
            <w:tcW w:w="5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11"/>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577,882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509,898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1,652,792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1,364,480</w:t>
            </w:r>
          </w:p>
        </w:tc>
      </w:tr>
      <w:tr>
        <w:trPr>
          <w:trHeight w:val="250"/>
        </w:trPr>
        <w:tc>
          <w:tcPr>
            <w:tcW w:w="54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211"/>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Segment expenses: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54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Personnel</w:t>
            </w:r>
            <w:r>
              <w:rPr>
                <w:rFonts w:ascii="Times New Roman" w:cs="Times New Roman" w:eastAsia="Times New Roman" w:hAnsi="Times New Roman"/>
                <w:sz w:val="20"/>
                <w:szCs w:val="20"/>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43,218</w:t>
            </w:r>
          </w:p>
        </w:tc>
      </w:tr>
      <w:tr>
        <w:trPr>
          <w:trHeight w:val="214"/>
        </w:trPr>
        <w:tc>
          <w:tcPr>
            <w:tcW w:w="5460" w:type="dxa"/>
            <w:vAlign w:val="bottom"/>
          </w:tcPr>
          <w:p>
            <w:pPr>
              <w:ind w:left="20"/>
              <w:spacing w:after="0" w:line="214" w:lineRule="exact"/>
              <w:rPr>
                <w:sz w:val="20"/>
                <w:szCs w:val="20"/>
                <w:color w:val="auto"/>
              </w:rPr>
            </w:pPr>
            <w:r>
              <w:rPr>
                <w:rFonts w:ascii="Times New Roman" w:cs="Times New Roman" w:eastAsia="Times New Roman" w:hAnsi="Times New Roman"/>
                <w:sz w:val="16"/>
                <w:szCs w:val="16"/>
                <w:color w:val="auto"/>
              </w:rPr>
              <w:t>Non-cash compensation</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10,420</w:t>
            </w:r>
          </w:p>
        </w:tc>
      </w:tr>
      <w:tr>
        <w:trPr>
          <w:trHeight w:val="214"/>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7,214</w:t>
            </w:r>
          </w:p>
        </w:tc>
      </w:tr>
      <w:tr>
        <w:trPr>
          <w:trHeight w:val="211"/>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Technology</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9,349</w:t>
            </w:r>
          </w:p>
        </w:tc>
      </w:tr>
      <w:tr>
        <w:trPr>
          <w:trHeight w:val="216"/>
        </w:trPr>
        <w:tc>
          <w:tcPr>
            <w:tcW w:w="54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Occupancy</w:t>
            </w:r>
            <w:r>
              <w:rPr>
                <w:rFonts w:ascii="Times New Roman" w:cs="Times New Roman" w:eastAsia="Times New Roman" w:hAnsi="Times New Roman"/>
                <w:sz w:val="20"/>
                <w:szCs w:val="20"/>
                <w:color w:val="auto"/>
                <w:vertAlign w:val="superscript"/>
              </w:rPr>
              <w:t>2</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1,846</w:t>
            </w:r>
          </w:p>
        </w:tc>
      </w:tr>
      <w:tr>
        <w:trPr>
          <w:trHeight w:val="214"/>
        </w:trPr>
        <w:tc>
          <w:tcPr>
            <w:tcW w:w="5460" w:type="dxa"/>
            <w:vAlign w:val="bottom"/>
          </w:tcPr>
          <w:p>
            <w:pPr>
              <w:ind w:left="20"/>
              <w:spacing w:after="0" w:line="214" w:lineRule="exact"/>
              <w:rPr>
                <w:sz w:val="20"/>
                <w:szCs w:val="20"/>
                <w:color w:val="auto"/>
              </w:rPr>
            </w:pPr>
            <w:r>
              <w:rPr>
                <w:rFonts w:ascii="Times New Roman" w:cs="Times New Roman" w:eastAsia="Times New Roman" w:hAnsi="Times New Roman"/>
                <w:sz w:val="16"/>
                <w:szCs w:val="16"/>
                <w:color w:val="auto"/>
              </w:rPr>
              <w:t>Marketing and promotions</w:t>
            </w:r>
            <w:r>
              <w:rPr>
                <w:rFonts w:ascii="Times New Roman" w:cs="Times New Roman" w:eastAsia="Times New Roman" w:hAnsi="Times New Roman"/>
                <w:sz w:val="20"/>
                <w:szCs w:val="20"/>
                <w:color w:val="auto"/>
                <w:vertAlign w:val="superscript"/>
              </w:rPr>
              <w:t>3</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w:t>
            </w:r>
          </w:p>
        </w:tc>
      </w:tr>
      <w:tr>
        <w:trPr>
          <w:trHeight w:val="214"/>
        </w:trPr>
        <w:tc>
          <w:tcPr>
            <w:tcW w:w="5460" w:type="dxa"/>
            <w:vAlign w:val="bottom"/>
            <w:shd w:val="clear" w:color="auto" w:fill="CCEEFF"/>
          </w:tcPr>
          <w:p>
            <w:pPr>
              <w:ind w:left="20"/>
              <w:spacing w:after="0" w:line="214" w:lineRule="exact"/>
              <w:rPr>
                <w:sz w:val="20"/>
                <w:szCs w:val="20"/>
                <w:color w:val="auto"/>
              </w:rPr>
            </w:pPr>
            <w:r>
              <w:rPr>
                <w:rFonts w:ascii="Times New Roman" w:cs="Times New Roman" w:eastAsia="Times New Roman" w:hAnsi="Times New Roman"/>
                <w:sz w:val="16"/>
                <w:szCs w:val="16"/>
                <w:color w:val="auto"/>
              </w:rPr>
              <w:t>Business insurance</w:t>
            </w:r>
            <w:r>
              <w:rPr>
                <w:rFonts w:ascii="Times New Roman" w:cs="Times New Roman" w:eastAsia="Times New Roman" w:hAnsi="Times New Roman"/>
                <w:sz w:val="20"/>
                <w:szCs w:val="20"/>
                <w:color w:val="auto"/>
                <w:vertAlign w:val="superscript"/>
              </w:rPr>
              <w:t>4</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6,903</w:t>
            </w:r>
          </w:p>
        </w:tc>
      </w:tr>
      <w:tr>
        <w:trPr>
          <w:trHeight w:val="211"/>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r>
      <w:tr>
        <w:trPr>
          <w:trHeight w:val="216"/>
        </w:trPr>
        <w:tc>
          <w:tcPr>
            <w:tcW w:w="54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Other operating costs</w:t>
            </w:r>
            <w:r>
              <w:rPr>
                <w:rFonts w:ascii="Times New Roman" w:cs="Times New Roman" w:eastAsia="Times New Roman" w:hAnsi="Times New Roman"/>
                <w:sz w:val="20"/>
                <w:szCs w:val="20"/>
                <w:color w:val="auto"/>
                <w:vertAlign w:val="superscript"/>
              </w:rPr>
              <w:t>5</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5,371</w:t>
            </w:r>
          </w:p>
        </w:tc>
      </w:tr>
      <w:tr>
        <w:trPr>
          <w:trHeight w:val="211"/>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Crypto costs</w:t>
            </w: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561,074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491,701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1,615,709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1,323,673</w:t>
            </w:r>
          </w:p>
        </w:tc>
      </w:tr>
      <w:tr>
        <w:trPr>
          <w:trHeight w:val="21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Execution, clearing and brokerage fees</w:t>
            </w: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11,832</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9,022</w:t>
            </w:r>
          </w:p>
        </w:tc>
      </w:tr>
      <w:tr>
        <w:trPr>
          <w:trHeight w:val="205"/>
        </w:trPr>
        <w:tc>
          <w:tcPr>
            <w:tcW w:w="5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operating expenses per Consolidated Statements of Operations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596,371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531,915</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1,689,801</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1,418,334</w:t>
            </w:r>
          </w:p>
        </w:tc>
      </w:tr>
      <w:tr>
        <w:trPr>
          <w:trHeight w:val="210"/>
        </w:trPr>
        <w:tc>
          <w:tcPr>
            <w:tcW w:w="5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loss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(53,854)</w:t>
            </w:r>
          </w:p>
        </w:tc>
      </w:tr>
      <w:tr>
        <w:trPr>
          <w:trHeight w:val="214"/>
        </w:trPr>
        <w:tc>
          <w:tcPr>
            <w:tcW w:w="5460" w:type="dxa"/>
            <w:vAlign w:val="bottom"/>
            <w:tcBorders>
              <w:bottom w:val="single" w:sz="8" w:color="CCEEFF"/>
            </w:tcBorders>
          </w:tcPr>
          <w:p>
            <w:pPr>
              <w:ind w:left="20"/>
              <w:spacing w:after="0" w:line="214" w:lineRule="exact"/>
              <w:rPr>
                <w:sz w:val="20"/>
                <w:szCs w:val="20"/>
                <w:color w:val="auto"/>
              </w:rPr>
            </w:pPr>
            <w:r>
              <w:rPr>
                <w:rFonts w:ascii="Times New Roman" w:cs="Times New Roman" w:eastAsia="Times New Roman" w:hAnsi="Times New Roman"/>
                <w:sz w:val="16"/>
                <w:szCs w:val="16"/>
                <w:color w:val="auto"/>
              </w:rPr>
              <w:t>Other income, net</w:t>
            </w:r>
            <w:r>
              <w:rPr>
                <w:rFonts w:ascii="Times New Roman" w:cs="Times New Roman" w:eastAsia="Times New Roman" w:hAnsi="Times New Roman"/>
                <w:sz w:val="20"/>
                <w:szCs w:val="20"/>
                <w:color w:val="auto"/>
                <w:vertAlign w:val="superscript"/>
              </w:rPr>
              <w:t>6</w:t>
            </w: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11,663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13,495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(23,094)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2,933</w:t>
            </w:r>
          </w:p>
        </w:tc>
      </w:tr>
      <w:tr>
        <w:trPr>
          <w:trHeight w:val="232"/>
        </w:trPr>
        <w:tc>
          <w:tcPr>
            <w:tcW w:w="54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(30,152)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(35,512)</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(56,787)</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ind w:left="260" w:right="360" w:hanging="235"/>
        <w:spacing w:after="0" w:line="288" w:lineRule="auto"/>
        <w:tabs>
          <w:tab w:leader="none" w:pos="2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Personnel includes payroll and benefits, excluding stock-based compensation, which is included in Non-cash compensation. Both are reported as part of Compensation and benefits on the consolidated statements of operations.</w:t>
      </w:r>
    </w:p>
    <w:p>
      <w:pPr>
        <w:spacing w:after="0" w:line="1" w:lineRule="exact"/>
        <w:rPr>
          <w:sz w:val="20"/>
          <w:szCs w:val="20"/>
          <w:color w:val="auto"/>
        </w:rPr>
      </w:pPr>
    </w:p>
    <w:p>
      <w:pPr>
        <w:ind w:left="260" w:hanging="235"/>
        <w:spacing w:after="0"/>
        <w:tabs>
          <w:tab w:leader="none" w:pos="2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Occupancy includes facility related expenses such as rent and is reported as Selling, general and administrative on the consolidated statements of operations.</w:t>
      </w:r>
    </w:p>
    <w:p>
      <w:pPr>
        <w:spacing w:after="0" w:line="39" w:lineRule="exact"/>
        <w:rPr>
          <w:sz w:val="20"/>
          <w:szCs w:val="20"/>
          <w:color w:val="auto"/>
        </w:rPr>
      </w:pPr>
    </w:p>
    <w:p>
      <w:pPr>
        <w:ind w:left="260" w:right="460" w:hanging="235"/>
        <w:spacing w:after="0" w:line="237" w:lineRule="auto"/>
        <w:tabs>
          <w:tab w:leader="none" w:pos="26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Marketing and promotions primarily consist of web-based promotional campaigns, promotional activities with clients, conferences and user events, and brand-building activities and are reported as Selling, general and administrative on the consolidated statements of operations.</w:t>
      </w:r>
    </w:p>
    <w:p>
      <w:pPr>
        <w:spacing w:after="0" w:line="16" w:lineRule="exact"/>
        <w:rPr>
          <w:sz w:val="20"/>
          <w:szCs w:val="20"/>
          <w:color w:val="auto"/>
        </w:rPr>
      </w:pPr>
    </w:p>
    <w:p>
      <w:pPr>
        <w:ind w:left="260" w:hanging="235"/>
        <w:spacing w:after="0"/>
        <w:tabs>
          <w:tab w:leader="none" w:pos="2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Business insurance primarily consists of business liability insurance premiums and is recorded as Selling, general and administrative on the consolidated statements of operations.</w:t>
      </w:r>
    </w:p>
    <w:p>
      <w:pPr>
        <w:spacing w:after="0" w:line="39" w:lineRule="exact"/>
        <w:rPr>
          <w:sz w:val="20"/>
          <w:szCs w:val="20"/>
          <w:color w:val="auto"/>
        </w:rPr>
      </w:pPr>
    </w:p>
    <w:p>
      <w:pPr>
        <w:ind w:left="260" w:right="320" w:hanging="235"/>
        <w:spacing w:after="0" w:line="237" w:lineRule="auto"/>
        <w:tabs>
          <w:tab w:leader="none" w:pos="26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operating costs consist primarily of Restructuring costs and Impairment of long-lived assets as presented on the statements of operations, as well as costs that are reported as Selling, general and administrative, Other operating expenses, and Compensation and benefits on the consolidated statements of operations.</w:t>
      </w:r>
    </w:p>
    <w:p>
      <w:pPr>
        <w:spacing w:after="0" w:line="16" w:lineRule="exact"/>
        <w:rPr>
          <w:sz w:val="20"/>
          <w:szCs w:val="20"/>
          <w:color w:val="auto"/>
        </w:rPr>
      </w:pPr>
    </w:p>
    <w:p>
      <w:pPr>
        <w:ind w:left="260" w:right="220" w:hanging="235"/>
        <w:spacing w:after="0" w:line="237" w:lineRule="auto"/>
        <w:tabs>
          <w:tab w:leader="none" w:pos="26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expense (income), net consists primarily of Interest income, net, (Loss) gain from change in fair value of warrant liability, and Other expense, net, and Income tax (expense) benefit as presented in the consolidated statements of operations.</w:t>
      </w:r>
    </w:p>
    <w:p>
      <w:pPr>
        <w:spacing w:after="0" w:line="314"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On March 14, 2025, the Company's largest client, Webull Pay LLC (“Webull”), notified the Company that it will not renew its agreement with Bakkt when it ended on June 14, 2025, although the Company continues to service a limited number of states under an amended agreement with Webull. Webull represented approximately 74% of the Company’s Crypto services revenue for the year ended December 31, 2024.</w:t>
      </w:r>
    </w:p>
    <w:p>
      <w:pPr>
        <w:spacing w:after="0" w:line="183"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Bakkt also received notice from Bank of America Corporation (“Bank of America”) on March 14, 2025 that Bank of America will not renew its commercial agreement with Bakkt. As a result, such agreement expired in accordance with its terms on April 22, 2025, subject to the Company’s obligation to provide transition services for up to a 12-month period. Bank of America represented approximately 16% of the Company's loyalty business’s net revenue for the year ended December 31, 2024.</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41" w:name="page42"/>
    <w:bookmarkEnd w:id="41"/>
    <w:p>
      <w:pPr>
        <w:ind w:left="320" w:hanging="313"/>
        <w:spacing w:after="0"/>
        <w:tabs>
          <w:tab w:leader="none" w:pos="3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231F20"/>
        </w:rPr>
        <w:t>Subsequent Events</w:t>
      </w:r>
    </w:p>
    <w:p>
      <w:pPr>
        <w:spacing w:after="0" w:line="2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Departure of Certain Officers and Directors</w:t>
      </w:r>
    </w:p>
    <w:p>
      <w:pPr>
        <w:spacing w:after="0" w:line="249" w:lineRule="exact"/>
        <w:rPr>
          <w:sz w:val="20"/>
          <w:szCs w:val="20"/>
          <w:color w:val="auto"/>
        </w:rPr>
      </w:pPr>
    </w:p>
    <w:p>
      <w:pPr>
        <w:ind w:right="100" w:firstLine="641"/>
        <w:spacing w:after="0" w:line="299" w:lineRule="auto"/>
        <w:rPr>
          <w:sz w:val="20"/>
          <w:szCs w:val="20"/>
          <w:color w:val="auto"/>
        </w:rPr>
      </w:pPr>
      <w:r>
        <w:rPr>
          <w:rFonts w:ascii="Times New Roman" w:cs="Times New Roman" w:eastAsia="Times New Roman" w:hAnsi="Times New Roman"/>
          <w:sz w:val="18"/>
          <w:szCs w:val="18"/>
          <w:color w:val="auto"/>
        </w:rPr>
        <w:t>Andrew Main is departing as co-Chief Executive Officer and President of the Company, effective as of August 11, 2025. Effective as of August 11, 2025, Mr. Main will also resign from the Board of Directors. Mr. Main will serve as an advisor to the Company through the completion of the Company’s sale of the Loyalty business. The Company’s current co-Chief Executive Officer, Akshay Naheta, will serve as the Chief Executive Officer of the Company and will assume the additional title of President following Mr. Main’s separation.</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August 8, 2025, Gordon Watson resigned, effective as of August 11, 2025, as a member of the Board of Directors.</w:t>
      </w:r>
    </w:p>
    <w:p>
      <w:pPr>
        <w:spacing w:after="0" w:line="2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Increase of Authorized Capital</w:t>
      </w:r>
    </w:p>
    <w:p>
      <w:pPr>
        <w:spacing w:after="0" w:line="249"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On August 6, 2025, the stockholders approved an amendment to the Company's Certificate of Incorporation to increase the number of authorized shares of Class A Common Stock from 60,000,000 shares to 560,000,000 shares and, accordingly, to increase the number of authorized shares of the Company’s Common Stock from 70,000,000 to 570,000,000.</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Acquisition of Interest In MarushoHotta Co., Ltd.</w:t>
      </w:r>
    </w:p>
    <w:p>
      <w:pPr>
        <w:spacing w:after="0" w:line="209"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On August 6, 2025, we entered into a share purchase agreement with RIZAP Group, Inc. to acquire approximately 30% of the outstanding shares of MarushoHotta Co., Ltd. (MHT), a Tokyo-listed company, for ¥1,676,551,082 ($11.5 million).</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Commercial Agreement With DTR</w:t>
      </w:r>
    </w:p>
    <w:p>
      <w:pPr>
        <w:spacing w:after="0" w:line="263"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On July 31, 2025, we entered into a Commercial Agreement (the “Commercial Agreement”) with DTR, which sets forth the terms and conditions governing the integration of Bakkt’s various solutions related to financial transaction processing and cryptocurrency trading with DTR’s technology related to the execution of global payments powered by stablecoins.</w:t>
      </w:r>
    </w:p>
    <w:p>
      <w:pPr>
        <w:spacing w:after="0" w:line="170"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Pursuant to the Commercial Agreement, DTR grants Bakkt and its affiliates a non-exclusive, non-transferable, sublicensable license for the duration of the term of the Commercial Agreement to access, display, reproduce, modify, create derivative works of, and otherwise use the DTR’s technology in certain territories; and DTR and its affiliates a non-exclusive, non-transferable, sublicensable, worldwide, right and license to display, reproduce, modify, create derivative works of, and otherwise use Bakkt solutions as needed. For each payment that is processed under the Commercial Agreement, Bakkt will be entitled to a customary fee for similar types of transactions.</w:t>
      </w:r>
    </w:p>
    <w:p>
      <w:pPr>
        <w:spacing w:after="0" w:line="193"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The initial term of the Commercial Agreement will be three years from the date of execution, unless terminated earlier. At any time, either party will be able to terminate the Commercial Agreement in the event of insolvency of the other party or a material breach of the other party that has not been cured. Pursuant to the terms and conditions of the Commercial Agreement, DTR will be subject to certain restrictions on its ability to provide services or technology that are competitive with the project in certain territories. The Commercial Agreement contains customary representations, warranties and covenants. The parties have also agreed to indemnify and hold each other harmless from claims alleging infringement of third-party intellectual property, gross negligence or willful misconduct, or arising from a party’s customer agreement, except these indemnification obligations to not apply with respect to any intellectual property or data that is not created or provided by the other party, combined with other products or processes not provided by the other party, or where the other party continues the alleged infringing activity.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42" w:name="page43"/>
    <w:bookmarkEnd w:id="42"/>
    <w:p>
      <w:pPr>
        <w:ind w:left="640"/>
        <w:spacing w:after="0"/>
        <w:rPr>
          <w:sz w:val="20"/>
          <w:szCs w:val="20"/>
          <w:color w:val="auto"/>
        </w:rPr>
      </w:pPr>
      <w:r>
        <w:rPr>
          <w:rFonts w:ascii="Times New Roman" w:cs="Times New Roman" w:eastAsia="Times New Roman" w:hAnsi="Times New Roman"/>
          <w:sz w:val="18"/>
          <w:szCs w:val="18"/>
          <w:i w:val="1"/>
          <w:iCs w:val="1"/>
          <w:color w:val="auto"/>
        </w:rPr>
        <w:t>Termination of ICE Credit Facility</w:t>
      </w:r>
    </w:p>
    <w:p>
      <w:pPr>
        <w:spacing w:after="0" w:line="2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On July 30, 2025, the Company terminated the ICE Credit Facility and repaid all fees due thereunder through the date of termination.</w:t>
      </w:r>
    </w:p>
    <w:p>
      <w:pPr>
        <w:spacing w:after="0" w:line="2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July 2025 Equity Offering</w:t>
      </w:r>
    </w:p>
    <w:p>
      <w:pPr>
        <w:spacing w:after="0" w:line="263" w:lineRule="exact"/>
        <w:rPr>
          <w:sz w:val="20"/>
          <w:szCs w:val="20"/>
          <w:color w:val="auto"/>
        </w:rPr>
      </w:pPr>
    </w:p>
    <w:p>
      <w:pPr>
        <w:jc w:val="both"/>
        <w:ind w:firstLine="641"/>
        <w:spacing w:after="0" w:line="289" w:lineRule="auto"/>
        <w:rPr>
          <w:sz w:val="20"/>
          <w:szCs w:val="20"/>
          <w:color w:val="auto"/>
        </w:rPr>
      </w:pPr>
      <w:r>
        <w:rPr>
          <w:rFonts w:ascii="Times New Roman" w:cs="Times New Roman" w:eastAsia="Times New Roman" w:hAnsi="Times New Roman"/>
          <w:sz w:val="18"/>
          <w:szCs w:val="18"/>
          <w:color w:val="auto"/>
        </w:rPr>
        <w:t>On July 28, 2025, the Company entered into an Underwriting Agreement (the “Underwriting Agreement”) with Clear Street LLC and Cohen &amp; Co. Capital Markets, a division of Cohen &amp; Company Securities, LLC (collectively, the “Underwriters”), pursuant to which the Company agreed to sell and issue to the Underwriters an aggregate of 6,753,627 shares (the “Shares”) of the Company’s Class A common stock, par value $0.0001 per share (the “Common Stock”) and, for certain purchasers, pre-funded warrants (the “Pre-Funded Warrants”) to purchase an aggregate of 746,373 shares of Common Stock (the “Offering”). The price to the public in the Offering was $10.00 per Share and $9.9999 per Pre-Funded Warrant, which was the price per share at which the Shares were being sold to the public in the Offering, minus the $0.0001 exercise price per Pre-Funded Warrant. In addition, under the terms of the Underwriting Agreement, the Company granted the Underwriters the option, for 30 days, to purchase up to an additional 1,125,000 Shares at the public offering price, less underwriting discounts and commissions.</w:t>
      </w:r>
    </w:p>
    <w:p>
      <w:pPr>
        <w:spacing w:after="0" w:line="197"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The Offering closed on July 30, 2025. The aggregate gross proceeds to the Company from the Offering were $75 million, before deducting fees to the underwriters and other offering expenses payable by the Company. The Company intends to use the net proceeds from the Offering to purchase Bitcoin and other digital assets in accordance with its Investment Policy, for working capital, and for general corporate purposes.</w:t>
      </w:r>
    </w:p>
    <w:p>
      <w:pPr>
        <w:spacing w:after="0" w:line="170"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by the Company (including a lock-up agreement, pursuant to which, subject to specified exceptions, the Company has agreed not to offer or transfer Shares during the 60 day period following the date of the Underwriting Agreement), customary conditions to closing, indemnification obligations of the Company and the Underwriters, including for liabilities under the Securities Act of 1933, as amended (the “Securities Act”) and termination provisions. In connection with the Offering, the Company’s officers and directors and ICE have also entered into lock-up agreements, pursuant to which, subject to specified exceptions, they have agreed not to offer or transfer their Shares during the 90-day period following the date of the Underwriting Agreement.</w:t>
      </w:r>
    </w:p>
    <w:p>
      <w:pPr>
        <w:spacing w:after="0" w:line="189" w:lineRule="exact"/>
        <w:rPr>
          <w:sz w:val="20"/>
          <w:szCs w:val="20"/>
          <w:color w:val="auto"/>
        </w:rPr>
      </w:pPr>
    </w:p>
    <w:p>
      <w:pPr>
        <w:jc w:val="both"/>
        <w:ind w:firstLine="641"/>
        <w:spacing w:after="0" w:line="289" w:lineRule="auto"/>
        <w:rPr>
          <w:sz w:val="20"/>
          <w:szCs w:val="20"/>
          <w:color w:val="auto"/>
        </w:rPr>
      </w:pPr>
      <w:r>
        <w:rPr>
          <w:rFonts w:ascii="Times New Roman" w:cs="Times New Roman" w:eastAsia="Times New Roman" w:hAnsi="Times New Roman"/>
          <w:sz w:val="18"/>
          <w:szCs w:val="18"/>
          <w:color w:val="auto"/>
        </w:rPr>
        <w:t>The Pre-Funded Warrants are exercisable at any time so long as the aggregate number of shares of Common Stock beneficially owned by the holder (together with its affiliates) would not exceed 4.99% of the number of Shares outstanding immediately after giving effect to the exercise, as such percentage ownership is determined in accordance with the terms of such Pre-Funded Warrant. Such percentage may be increased or decreased to any number not in excess of 9.99% at the holder’s election upon notice to the Company, any such increase not to take effect until the 61st day after notice to the Company. The Pre-Funded Warrants contain standard adjustments to the exercise price, including for stock splits, stock dividends and pro rata distributions and contain customary terms regarding the treatment of such Pre-Funded Warrants in the event of a fundamental transaction, which include but are not limited to a merger or consolidation involving the Company, a sale of all or substantially all of the assets of the Company, or a business combination resulting in any person acquiring more than 50% of the voting power of the capital stock of the Company.</w:t>
      </w:r>
    </w:p>
    <w:p>
      <w:pPr>
        <w:spacing w:after="0" w:line="1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Conversion of Convertible Debenture</w:t>
      </w:r>
    </w:p>
    <w:p>
      <w:pPr>
        <w:spacing w:after="0" w:line="249"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On July 7, 2025 and July 28, 2025, the Company received Conversion Notices from the Convertible Debenture Investor to convert $4.0 million of the Convertible Debenture into Class A Common Stock. In total, 597,641 shares of Class A Common Stock were issued to YA II PN, LTD. with respect to the conversions. As of the date of this filing, the outstanding balance of the Convertible Debenture is $17,000,000.</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43" w:name="page44"/>
    <w:bookmarkEnd w:id="43"/>
    <w:p>
      <w:pPr>
        <w:ind w:left="640"/>
        <w:spacing w:after="0"/>
        <w:rPr>
          <w:sz w:val="20"/>
          <w:szCs w:val="20"/>
          <w:color w:val="auto"/>
        </w:rPr>
      </w:pPr>
      <w:r>
        <w:rPr>
          <w:rFonts w:ascii="Times New Roman" w:cs="Times New Roman" w:eastAsia="Times New Roman" w:hAnsi="Times New Roman"/>
          <w:sz w:val="18"/>
          <w:szCs w:val="18"/>
          <w:i w:val="1"/>
          <w:iCs w:val="1"/>
          <w:color w:val="auto"/>
        </w:rPr>
        <w:t>Sale of Loyalty Business</w:t>
      </w:r>
    </w:p>
    <w:p>
      <w:pPr>
        <w:spacing w:after="0" w:line="263"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On July 23, 2025, Opco entered into an Equity Purchase Agreement (the “Purchase Agreement”) by and among Opco, Project Labrador Holdco, LLC, a wholly owned subsidiary of Roman DBDR Technology Advisors, Inc. (the “Purchaser”), and Bridge2 Solutions, LLC, Aspire Loyalty Travel Solutions, LLC, Bridge2 Solutions Canada, Ltd., each a wholly owned subsidiary of Opco, and B2S Resale, LLC, an indirect wholly owned subsidiary of Opco (collectively, the “Acquired Companies”). Pursuant to the terms and subject to the conditions set forth in the Purchase Agreement, Opco has agreed to sell to the Purchaser all of the issued and outstanding equity interests of the Acquired Companies, which constitute the entities that conduct the loyalty and travel redemption business of the Company (the “Transaction”).</w:t>
      </w:r>
    </w:p>
    <w:p>
      <w:pPr>
        <w:spacing w:after="0" w:line="196" w:lineRule="exact"/>
        <w:rPr>
          <w:sz w:val="20"/>
          <w:szCs w:val="20"/>
          <w:color w:val="auto"/>
        </w:rPr>
      </w:pPr>
    </w:p>
    <w:p>
      <w:pPr>
        <w:jc w:val="both"/>
        <w:ind w:firstLine="641"/>
        <w:spacing w:after="0" w:line="289" w:lineRule="auto"/>
        <w:rPr>
          <w:sz w:val="20"/>
          <w:szCs w:val="20"/>
          <w:color w:val="auto"/>
        </w:rPr>
      </w:pPr>
      <w:r>
        <w:rPr>
          <w:rFonts w:ascii="Times New Roman" w:cs="Times New Roman" w:eastAsia="Times New Roman" w:hAnsi="Times New Roman"/>
          <w:sz w:val="18"/>
          <w:szCs w:val="18"/>
          <w:color w:val="auto"/>
        </w:rPr>
        <w:t>The consideration to be paid to Opco in connection with the Transaction is $1.00, subject to certain adjustments following the Closing (as defined in the Purchase Agreement). At the Closing, Opco shall deliver the equity of the Acquired Entities, together with an amount of cash equal to $11 million plus (i) the amount of the most negative working capital of the business that existed in the twelve months prior to the closing date and (ii) the amount of estimated indebtedness, subject to post-closing adjustments. Opco shall also place the Escrow Amount (defined below) into an escrow account, to hold funds for the indemnity obligations of Opco and the working capital adjustment and indebtedness adjustment, in each case as set forth in the Purchase Agreement and an accompanying escrow agreement. At the closing of the transaction, pursuant to an escrow agreement, Opco will deposit with the escrow agent (i) $1,000,000 into an indemnity escrow account (the “Indemnity Escrow Amount”), and (ii) $1,500,000 into a working capital adjustment escrow account (the “Adjustment Escrow Amount” and together with the Indemnity Escrow Amount, the “Escrow Amount”), in each case to be disbursed by the escrow agent in accordance with the terms of the Purchase Agreement and the escrow agreement. Subject to certain exceptions, on the applicable Escrow Termination Date (as defined in the Purchase Agreement), the escrow agent shall disburse the remaining Escrow Amount, if any. After the twelve-month anniversary of the closing date, the parties will determine whether the value of working capital delivered to the Purchaser at the Closing was greater than the greatest absolute value of working capital that existed in the twelve months following the closing date. If the value of working capital delivered to the Purchaser at the Closing was greater that such greatest absolute value, the Purchaser shall pay to Opco the difference between the value of working capital delivered to the Purchaser at the Closing and such greatest absolute value.</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Bakkt management expects to recognize a loss on the sale of the Loyalty business.</w:t>
      </w:r>
    </w:p>
    <w:p>
      <w:pPr>
        <w:spacing w:after="0" w:line="261" w:lineRule="exact"/>
        <w:rPr>
          <w:sz w:val="20"/>
          <w:szCs w:val="20"/>
          <w:color w:val="auto"/>
        </w:rPr>
      </w:pPr>
    </w:p>
    <w:p>
      <w:pPr>
        <w:jc w:val="both"/>
        <w:ind w:firstLine="641"/>
        <w:spacing w:after="0" w:line="303" w:lineRule="auto"/>
        <w:rPr>
          <w:sz w:val="20"/>
          <w:szCs w:val="20"/>
          <w:color w:val="auto"/>
        </w:rPr>
      </w:pPr>
      <w:r>
        <w:rPr>
          <w:rFonts w:ascii="Times New Roman" w:cs="Times New Roman" w:eastAsia="Times New Roman" w:hAnsi="Times New Roman"/>
          <w:sz w:val="17"/>
          <w:szCs w:val="17"/>
          <w:color w:val="auto"/>
        </w:rPr>
        <w:t>The Purchase Agreement contains customary representations, warranties and covenants, as well as certain indemnification provisions, with respect to Opco and the Acquired Companies, on the one hand, and the Purchaser, on the other. Furthermore, in connection with the Transaction, the Company plans to enter into ancillary agreements including (i) a note issued by the Purchaser to Opco pursuant to which Opco will loan to the Purchaser an amount equal to the restricted cash held by the Acquired Entities for the lesser of 18 months or the time the agreement is terminated pursuant to which such cash is restricted,</w:t>
      </w:r>
    </w:p>
    <w:p>
      <w:pPr>
        <w:spacing w:after="0" w:line="1" w:lineRule="exact"/>
        <w:rPr>
          <w:sz w:val="20"/>
          <w:szCs w:val="20"/>
          <w:color w:val="auto"/>
        </w:rPr>
      </w:pPr>
    </w:p>
    <w:p>
      <w:pPr>
        <w:jc w:val="both"/>
        <w:ind w:firstLine="7"/>
        <w:spacing w:after="0" w:line="303" w:lineRule="auto"/>
        <w:tabs>
          <w:tab w:leader="none" w:pos="274"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escrow agreement described above, and (iii) a transition services agreement pursuant to which Opco and the Purchaser or their respective affiliates will provide certain transition services to one another (the “Ancillary Agreements”). Consummation of the Transaction is subject to the satisfaction or waiver</w:t>
      </w:r>
    </w:p>
    <w:p>
      <w:pPr>
        <w:spacing w:after="0" w:line="30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of certain conditions, including, but not limited to, the execution of certain of the Ancillary Agreements, the completion by the Purchaser of certain operational integrations, and the assignment of certain contracts to the Purchaser.</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One-Time Option Awards</w:t>
      </w:r>
    </w:p>
    <w:p>
      <w:pPr>
        <w:spacing w:after="0" w:line="249"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In connection with the Offering, the Company’s Board of Directors and its Compensation Committee (the “Compensation Committee”) approved a one-time award of stock options to purchase up to $74.5 million worth of Common Stock (the “Options”), in the aggregate, to 10 employees. No consideration was received by the Company for the granting of the Options. Due to the limited share reserve under the Bakkt Holdings, Inc. 2021 Omnibus Employee Incentive Plan (the “Omnibus Incentive Plan”), the Options were approved by the Board of Directors outside the Omnibus Incentive Plan and are subject to stockholder approval. Notwithstanding the foregoing, the Options will be governed in all respects as if issued under the Omnibus Incentive Plan, except with respect to the Omnibus Incentive Plan’s minimum</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44" w:name="page45"/>
    <w:bookmarkEnd w:id="44"/>
    <w:p>
      <w:pPr>
        <w:jc w:val="both"/>
        <w:spacing w:after="0" w:line="301" w:lineRule="auto"/>
        <w:rPr>
          <w:sz w:val="20"/>
          <w:szCs w:val="20"/>
          <w:color w:val="auto"/>
        </w:rPr>
      </w:pPr>
      <w:r>
        <w:rPr>
          <w:rFonts w:ascii="Times New Roman" w:cs="Times New Roman" w:eastAsia="Times New Roman" w:hAnsi="Times New Roman"/>
          <w:sz w:val="18"/>
          <w:szCs w:val="18"/>
          <w:color w:val="auto"/>
        </w:rPr>
        <w:t>vesting requirements. Accordingly, the Compensation Committee will administer the Options and have the authority in its sole discretion to, among other actions: construe, interpret and implement the Options; amend the Options in any respect without stockholder approval; and determine the treatment of the Options in the event of a change in control of the Company.</w:t>
      </w:r>
    </w:p>
    <w:p>
      <w:pPr>
        <w:spacing w:after="0" w:line="183"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Consistent with the purpose of the Omnibus Incentive Plan and subject to stockholder approval, the Options are structured as a commitment by the grantee to exercise a predetermined number of Options every quarter for eight quarters (such committed number of Options, the “Mandatory Exercise Options”) at an exercise price per share set forth in the applicable award agreement, which exercise price will be equal to the value of a share of Common Stock as negotiated in the Offering, which reflects a third-party negotiated fair market value, or to the extent required to comply with Section 409A of the Internal Revenue Code, the fair market value of a share of Common Stock on the date of grant. For each quarter in which the grantee exercises the Mandatory Exercise Options, the grantee will be entitled to exercise an additional number of Options (the “Optional Exercise Options”) which Optional Exercise Options will become exercisable for a period of up to two years. The grantee must personally fund the exercise price in order to exercise the Mandatory Exercise Options, as net settlement of the Mandatory Exercise Options will not be permitted. The grantee may either personally fund the exercise price in order to exercise the Optional Exercise Options or may elect to net settle the Optional Exercise Options.</w:t>
      </w:r>
    </w:p>
    <w:p>
      <w:pPr>
        <w:spacing w:after="0" w:line="180"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Subject to stockholder approval, the award pool for Options will be $74.5 million (the “Total Pool”). The Total Pool will be divided into two sub-pools from which the grantees will receive options to purchase Common Stock in the following amounts:</w:t>
      </w:r>
    </w:p>
    <w:p>
      <w:pPr>
        <w:spacing w:after="0" w:line="189" w:lineRule="exact"/>
        <w:rPr>
          <w:sz w:val="20"/>
          <w:szCs w:val="20"/>
          <w:color w:val="auto"/>
        </w:rPr>
      </w:pPr>
    </w:p>
    <w:p>
      <w:pPr>
        <w:ind w:left="840" w:hanging="192"/>
        <w:spacing w:after="0"/>
        <w:tabs>
          <w:tab w:leader="none" w:pos="8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Pool One: 81% of the Total Pool will be allocated to Pool One. For each grantee in Pool One, 1/8 of their Options will become exercisable each</w:t>
      </w:r>
    </w:p>
    <w:p>
      <w:pPr>
        <w:spacing w:after="0" w:line="60" w:lineRule="exact"/>
        <w:rPr>
          <w:rFonts w:ascii="Times New Roman" w:cs="Times New Roman" w:eastAsia="Times New Roman" w:hAnsi="Times New Roman"/>
          <w:sz w:val="18"/>
          <w:szCs w:val="18"/>
          <w:color w:val="auto"/>
        </w:rPr>
      </w:pPr>
    </w:p>
    <w:p>
      <w:pPr>
        <w:ind w:left="960" w:right="20"/>
        <w:spacing w:after="0" w:line="30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 (the “Quarterly Tranche”), with 20% of each Quarterly Tranche being Mandatory Exercise Options, and the remainder of the Quarterly Tranche being Optional Exercise Options.</w:t>
      </w:r>
    </w:p>
    <w:p>
      <w:pPr>
        <w:spacing w:after="0" w:line="216" w:lineRule="exact"/>
        <w:rPr>
          <w:rFonts w:ascii="Times New Roman" w:cs="Times New Roman" w:eastAsia="Times New Roman" w:hAnsi="Times New Roman"/>
          <w:sz w:val="18"/>
          <w:szCs w:val="18"/>
          <w:color w:val="auto"/>
        </w:rPr>
      </w:pPr>
    </w:p>
    <w:p>
      <w:pPr>
        <w:ind w:left="960" w:hanging="312"/>
        <w:spacing w:after="0" w:line="309" w:lineRule="auto"/>
        <w:tabs>
          <w:tab w:leader="none" w:pos="82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Pool Two: 19% of the Total Pool will be allocated to Pool Two. For each grantee in Pool Two, 1/8 of their Options will become exercisable each quarter, with 10% of each Quarterly Tranche being Mandatory Exercise Options, and the remainder of the Quarterly Tranche being Optional Exercise Options.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Each quarter, a Quarterly Tranche will become exercisable as follows:</w:t>
      </w:r>
    </w:p>
    <w:p>
      <w:pPr>
        <w:spacing w:after="0" w:line="301" w:lineRule="exact"/>
        <w:rPr>
          <w:sz w:val="20"/>
          <w:szCs w:val="20"/>
          <w:color w:val="auto"/>
        </w:rPr>
      </w:pPr>
    </w:p>
    <w:p>
      <w:pPr>
        <w:ind w:left="960" w:right="20" w:hanging="312"/>
        <w:spacing w:after="0" w:line="284" w:lineRule="auto"/>
        <w:tabs>
          <w:tab w:leader="none" w:pos="955"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Mandatory Exercise portion of the tranche will be exercisable over a two-day period in the applicable quarter (the “Mandatory Exercise Period”).</w:t>
      </w:r>
    </w:p>
    <w:p>
      <w:pPr>
        <w:spacing w:after="0" w:line="217" w:lineRule="exact"/>
        <w:rPr>
          <w:rFonts w:ascii="Times New Roman" w:cs="Times New Roman" w:eastAsia="Times New Roman" w:hAnsi="Times New Roman"/>
          <w:sz w:val="21"/>
          <w:szCs w:val="21"/>
          <w:color w:val="auto"/>
        </w:rPr>
      </w:pPr>
    </w:p>
    <w:p>
      <w:pPr>
        <w:ind w:left="960" w:hanging="312"/>
        <w:spacing w:after="0"/>
        <w:tabs>
          <w:tab w:leader="none" w:pos="9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17"/>
          <w:szCs w:val="17"/>
          <w:color w:val="auto"/>
        </w:rPr>
        <w:t>If the grantee exercises the Mandatory Exercise portion of the tranche during the Mandatory Exercise Period, then the remaining portion of the</w:t>
      </w:r>
    </w:p>
    <w:p>
      <w:pPr>
        <w:spacing w:after="0" w:line="37" w:lineRule="exact"/>
        <w:rPr>
          <w:rFonts w:ascii="Times New Roman" w:cs="Times New Roman" w:eastAsia="Times New Roman" w:hAnsi="Times New Roman"/>
          <w:sz w:val="20"/>
          <w:szCs w:val="20"/>
          <w:color w:val="auto"/>
        </w:rPr>
      </w:pPr>
    </w:p>
    <w:p>
      <w:pPr>
        <w:ind w:left="960"/>
        <w:spacing w:after="0" w:line="308" w:lineRule="auto"/>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Quarterly Tranche will become exercisable for a period of two years thereafter. The grantee may choose when within that two year period to exercise the Optional Exercise Options.</w:t>
      </w:r>
    </w:p>
    <w:p>
      <w:pPr>
        <w:spacing w:after="0" w:line="216" w:lineRule="exact"/>
        <w:rPr>
          <w:rFonts w:ascii="Times New Roman" w:cs="Times New Roman" w:eastAsia="Times New Roman" w:hAnsi="Times New Roman"/>
          <w:sz w:val="20"/>
          <w:szCs w:val="20"/>
          <w:color w:val="auto"/>
        </w:rPr>
      </w:pPr>
    </w:p>
    <w:p>
      <w:pPr>
        <w:ind w:left="960" w:hanging="312"/>
        <w:spacing w:after="0" w:line="284" w:lineRule="auto"/>
        <w:tabs>
          <w:tab w:leader="none" w:pos="955"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If the grantee does not exercise the Mandatory Exercise portion of any Quarterly Tranche during the Mandatory Exercise Period, then all remaining Options (for that quarter and all future quarters) will be forfeited.</w:t>
      </w:r>
    </w:p>
    <w:p>
      <w:pPr>
        <w:spacing w:after="0" w:line="177"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Subject to stockholder approval, any portion of the Options, including both the Mandatory Exercise portion and/or the Optional Exercise portion of any Quarterly Tranche, may be exercised on an accelerated basis prior to the applicable quarter in which the Quarterly Tranche would otherwise become exercisable (but not before the first Mandatory Exercise Period); provided, that any shares of Common Stock acquired on exercise of Optional Exercise Options will be subject to a</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45" w:name="page46"/>
    <w:bookmarkEnd w:id="45"/>
    <w:p>
      <w:pPr>
        <w:jc w:val="both"/>
        <w:spacing w:after="0" w:line="324" w:lineRule="auto"/>
        <w:rPr>
          <w:sz w:val="20"/>
          <w:szCs w:val="20"/>
          <w:color w:val="auto"/>
        </w:rPr>
      </w:pPr>
      <w:r>
        <w:rPr>
          <w:rFonts w:ascii="Times New Roman" w:cs="Times New Roman" w:eastAsia="Times New Roman" w:hAnsi="Times New Roman"/>
          <w:sz w:val="18"/>
          <w:szCs w:val="18"/>
          <w:color w:val="auto"/>
        </w:rPr>
        <w:t>trading lock up and will not be freely tradable, sellable or transferrable until the date on which the Optional Exercise Options would otherwise have become exercisable pursuant to the Quarterly Tranche schedule described above.</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One Big Beautiful Bill Act (“OBBBA”)</w:t>
      </w:r>
    </w:p>
    <w:p>
      <w:pPr>
        <w:spacing w:after="0" w:line="263"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On July 4, 2025, the OBBBA was signed into law by President Trump. Key provisions of the Act include the reinstatement of 100% bonus depreciation, the immediate expensing of domestic research and experimentation expenditures, and modifications to the limitation on business interest deductions. Management is evaluating the impact that the OBBBA will have on the Company's consolidated financial statements and disclosures.</w:t>
      </w:r>
    </w:p>
    <w:p>
      <w:pPr>
        <w:spacing w:after="0" w:line="170"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Management evaluated subsequent events through the date of issuance of these consolidated financial statements and determined that no other events or transactions, other than those disclosed above, met the definition of a subsequent event for purposes of recognition or disclosure in the accompanying consolidated financial statements.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2"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7"/>
          <w:szCs w:val="17"/>
          <w:i w:val="1"/>
          <w:iCs w:val="1"/>
          <w:color w:val="231F20"/>
        </w:rPr>
        <w:t xml:space="preserve">The following discussion and analysis of financial condition and results of operations should be read together with the accompanying consolidated financial statements and related notes thereto included elsewhere in this Quarterly Report on Form 10-Q for the quarter ended </w:t>
      </w:r>
      <w:r>
        <w:rPr>
          <w:rFonts w:ascii="Times New Roman" w:cs="Times New Roman" w:eastAsia="Times New Roman" w:hAnsi="Times New Roman"/>
          <w:sz w:val="17"/>
          <w:szCs w:val="17"/>
          <w:i w:val="1"/>
          <w:iCs w:val="1"/>
          <w:color w:val="000000"/>
        </w:rPr>
        <w:t>June 30, 2025</w:t>
      </w:r>
      <w:r>
        <w:rPr>
          <w:rFonts w:ascii="Times New Roman" w:cs="Times New Roman" w:eastAsia="Times New Roman" w:hAnsi="Times New Roman"/>
          <w:sz w:val="17"/>
          <w:szCs w:val="17"/>
          <w:i w:val="1"/>
          <w:iCs w:val="1"/>
          <w:color w:val="231F20"/>
        </w:rPr>
        <w:t xml:space="preserve"> (this "Report") and in our Annual Report on Form 10-K for the fiscal year ended </w:t>
      </w:r>
      <w:r>
        <w:rPr>
          <w:rFonts w:ascii="Times New Roman" w:cs="Times New Roman" w:eastAsia="Times New Roman" w:hAnsi="Times New Roman"/>
          <w:sz w:val="17"/>
          <w:szCs w:val="17"/>
          <w:i w:val="1"/>
          <w:iCs w:val="1"/>
          <w:color w:val="000000"/>
        </w:rPr>
        <w:t>December 31, 2024 (our "Form 10-K")</w:t>
      </w:r>
      <w:r>
        <w:rPr>
          <w:rFonts w:ascii="Times New Roman" w:cs="Times New Roman" w:eastAsia="Times New Roman" w:hAnsi="Times New Roman"/>
          <w:sz w:val="17"/>
          <w:szCs w:val="17"/>
          <w:i w:val="1"/>
          <w:iCs w:val="1"/>
          <w:color w:val="231F20"/>
        </w:rPr>
        <w:t xml:space="preserve">, which is incorporated herein by reference. References in this section to “we,” “us,” “our,” “Bakkt” or the “Company” and like terms refer to Bakkt Holdings, Inc. and its subsidiaries for the </w:t>
      </w:r>
      <w:r>
        <w:rPr>
          <w:rFonts w:ascii="Times New Roman" w:cs="Times New Roman" w:eastAsia="Times New Roman" w:hAnsi="Times New Roman"/>
          <w:sz w:val="17"/>
          <w:szCs w:val="17"/>
          <w:i w:val="1"/>
          <w:iCs w:val="1"/>
          <w:color w:val="000000"/>
        </w:rPr>
        <w:t>three and six months</w:t>
      </w:r>
      <w:r>
        <w:rPr>
          <w:rFonts w:ascii="Times New Roman" w:cs="Times New Roman" w:eastAsia="Times New Roman" w:hAnsi="Times New Roman"/>
          <w:sz w:val="17"/>
          <w:szCs w:val="17"/>
          <w:i w:val="1"/>
          <w:iCs w:val="1"/>
          <w:color w:val="231F20"/>
        </w:rPr>
        <w:t xml:space="preserve"> </w:t>
      </w:r>
      <w:r>
        <w:rPr>
          <w:rFonts w:ascii="Times New Roman" w:cs="Times New Roman" w:eastAsia="Times New Roman" w:hAnsi="Times New Roman"/>
          <w:sz w:val="17"/>
          <w:szCs w:val="17"/>
          <w:i w:val="1"/>
          <w:iCs w:val="1"/>
          <w:color w:val="000000"/>
        </w:rPr>
        <w:t xml:space="preserve">ending June 30, 2025, </w:t>
      </w:r>
      <w:r>
        <w:rPr>
          <w:rFonts w:ascii="Times New Roman" w:cs="Times New Roman" w:eastAsia="Times New Roman" w:hAnsi="Times New Roman"/>
          <w:sz w:val="17"/>
          <w:szCs w:val="17"/>
          <w:i w:val="1"/>
          <w:iCs w:val="1"/>
          <w:color w:val="231F20"/>
        </w:rPr>
        <w:t>unless the context otherwise requires. Some of the information contained in this discussion and analysis or set forth elsewhere in this</w:t>
      </w:r>
      <w:r>
        <w:rPr>
          <w:rFonts w:ascii="Times New Roman" w:cs="Times New Roman" w:eastAsia="Times New Roman" w:hAnsi="Times New Roman"/>
          <w:sz w:val="17"/>
          <w:szCs w:val="17"/>
          <w:i w:val="1"/>
          <w:iCs w:val="1"/>
          <w:color w:val="000000"/>
        </w:rPr>
        <w:t xml:space="preserve"> </w:t>
      </w:r>
      <w:r>
        <w:rPr>
          <w:rFonts w:ascii="Times New Roman" w:cs="Times New Roman" w:eastAsia="Times New Roman" w:hAnsi="Times New Roman"/>
          <w:sz w:val="17"/>
          <w:szCs w:val="17"/>
          <w:i w:val="1"/>
          <w:iCs w:val="1"/>
          <w:color w:val="231F20"/>
        </w:rPr>
        <w:t>Report, including information with respect to our plans and strategy for our business, includes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Factors that could cause or contribute to such differences include, but are not limited to, those factors discussed above in “Cautionary Statement Regarding Forward-Looking Statements” and “Item 1A. Risk Factors.”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2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0C0C0C"/>
        </w:rPr>
        <w:t>In this section and elsewhere in this Report, we use the following terms, which are defined as follows:</w:t>
      </w:r>
    </w:p>
    <w:p>
      <w:pPr>
        <w:spacing w:after="0" w:line="257" w:lineRule="exact"/>
        <w:rPr>
          <w:sz w:val="20"/>
          <w:szCs w:val="20"/>
          <w:color w:val="auto"/>
        </w:rPr>
      </w:pPr>
    </w:p>
    <w:p>
      <w:pPr>
        <w:jc w:val="both"/>
        <w:ind w:left="640" w:hanging="313"/>
        <w:spacing w:after="0" w:line="288"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"Client" </w:t>
      </w:r>
      <w:r>
        <w:rPr>
          <w:rFonts w:ascii="Times New Roman" w:cs="Times New Roman" w:eastAsia="Times New Roman" w:hAnsi="Times New Roman"/>
          <w:sz w:val="18"/>
          <w:szCs w:val="18"/>
          <w:color w:val="auto"/>
        </w:rPr>
        <w:t>means businesses with whom we contract to provide services to customers on our platform, and includes financial institutions, hedge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funds, merchants, retailers, third party partners and other businesses (except in the accompanying </w:t>
      </w:r>
      <w:r>
        <w:rPr>
          <w:rFonts w:ascii="Times New Roman" w:cs="Times New Roman" w:eastAsia="Times New Roman" w:hAnsi="Times New Roman"/>
          <w:sz w:val="18"/>
          <w:szCs w:val="18"/>
          <w:color w:val="231F20"/>
        </w:rPr>
        <w:t>notes to the consolidated financial statements,</w:t>
      </w:r>
    </w:p>
    <w:p>
      <w:pPr>
        <w:spacing w:after="0" w:line="1" w:lineRule="exact"/>
        <w:rPr>
          <w:rFonts w:ascii="Times New Roman" w:cs="Times New Roman" w:eastAsia="Times New Roman" w:hAnsi="Times New Roman"/>
          <w:sz w:val="18"/>
          <w:szCs w:val="18"/>
          <w:color w:val="auto"/>
        </w:rPr>
      </w:pPr>
    </w:p>
    <w:p>
      <w:pPr>
        <w:ind w:left="640"/>
        <w:spacing w:after="0" w:line="30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where we refer to revenue earned from customers, instead of clients. The term customers is </w:t>
      </w:r>
      <w:r>
        <w:rPr>
          <w:rFonts w:ascii="Times New Roman" w:cs="Times New Roman" w:eastAsia="Times New Roman" w:hAnsi="Times New Roman"/>
          <w:sz w:val="18"/>
          <w:szCs w:val="18"/>
          <w:color w:val="000000"/>
        </w:rPr>
        <w:t>in accordance with the Financial Accounting Standards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Board (“FASB”) Accounting Standards Codification (“ASC”) Topic </w:t>
      </w:r>
      <w:r>
        <w:rPr>
          <w:rFonts w:ascii="Times New Roman" w:cs="Times New Roman" w:eastAsia="Times New Roman" w:hAnsi="Times New Roman"/>
          <w:sz w:val="18"/>
          <w:szCs w:val="18"/>
          <w:color w:val="231F20"/>
        </w:rPr>
        <w:t>606,</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231F20"/>
        </w:rPr>
        <w:t>Revenue from Contracts with Customers</w:t>
      </w:r>
      <w:r>
        <w:rPr>
          <w:rFonts w:ascii="Times New Roman" w:cs="Times New Roman" w:eastAsia="Times New Roman" w:hAnsi="Times New Roman"/>
          <w:sz w:val="18"/>
          <w:szCs w:val="18"/>
          <w:color w:val="231F20"/>
        </w:rPr>
        <w:t>.)</w:t>
      </w:r>
    </w:p>
    <w:p>
      <w:pPr>
        <w:spacing w:after="0" w:line="172" w:lineRule="exact"/>
        <w:rPr>
          <w:rFonts w:ascii="Times New Roman" w:cs="Times New Roman" w:eastAsia="Times New Roman" w:hAnsi="Times New Roman"/>
          <w:sz w:val="18"/>
          <w:szCs w:val="18"/>
          <w:color w:val="auto"/>
        </w:rPr>
      </w:pPr>
    </w:p>
    <w:p>
      <w:pPr>
        <w:jc w:val="both"/>
        <w:ind w:left="640" w:hanging="313"/>
        <w:spacing w:after="0" w:line="303"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"Crypto" or "Crypto asset" </w:t>
      </w:r>
      <w:r>
        <w:rPr>
          <w:rFonts w:ascii="Times New Roman" w:cs="Times New Roman" w:eastAsia="Times New Roman" w:hAnsi="Times New Roman"/>
          <w:sz w:val="18"/>
          <w:szCs w:val="18"/>
          <w:color w:val="auto"/>
        </w:rPr>
        <w:t>means an asset that is built using blockchain technology, including virtual currencies (as used in the State of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York), coins, cryptocurrencies, stablecoins, and other tokens. Our platform enables transactions in certain supported crypto assets. For purposes of this Form 10-Q, we use crypto assets, virtual currency, coins, and tokens interchangeably.</w:t>
      </w:r>
    </w:p>
    <w:p>
      <w:pPr>
        <w:spacing w:after="0" w:line="164"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"Customer" </w:t>
      </w:r>
      <w:r>
        <w:rPr>
          <w:rFonts w:ascii="Times New Roman" w:cs="Times New Roman" w:eastAsia="Times New Roman" w:hAnsi="Times New Roman"/>
          <w:sz w:val="18"/>
          <w:szCs w:val="18"/>
          <w:color w:val="auto"/>
        </w:rPr>
        <w:t>means an individual user of our platform. Customers include customers of our loyalty clients who use our platform to transact in</w:t>
      </w:r>
    </w:p>
    <w:p>
      <w:pPr>
        <w:spacing w:after="0" w:line="50" w:lineRule="exact"/>
        <w:rPr>
          <w:rFonts w:ascii="Times New Roman" w:cs="Times New Roman" w:eastAsia="Times New Roman" w:hAnsi="Times New Roman"/>
          <w:sz w:val="18"/>
          <w:szCs w:val="18"/>
          <w:color w:val="auto"/>
        </w:rPr>
      </w:pPr>
    </w:p>
    <w:p>
      <w:pPr>
        <w:ind w:left="640"/>
        <w:spacing w:after="0" w:line="30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loyalty points, as well as customers of our clients who transact in crypto through, and have accounts on, our platform (except as defined for ASC 606 purposes above).</w:t>
      </w:r>
    </w:p>
    <w:p>
      <w:pPr>
        <w:spacing w:after="0" w:line="17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"Loyalty points" </w:t>
      </w:r>
      <w:r>
        <w:rPr>
          <w:rFonts w:ascii="Times New Roman" w:cs="Times New Roman" w:eastAsia="Times New Roman" w:hAnsi="Times New Roman"/>
          <w:sz w:val="18"/>
          <w:szCs w:val="18"/>
          <w:color w:val="auto"/>
        </w:rPr>
        <w:t>means loyalty and/or reward points that are issued by clients to their customers.</w:t>
      </w:r>
    </w:p>
    <w:p>
      <w:pPr>
        <w:spacing w:after="0" w:line="251"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151515"/>
        </w:rPr>
        <w:t>Founded in 2018, Bakkt builds technology that enables our clients to deliver new opportunities to their customers through Software as a Service (“SaaS”) and Application Programming Interface (“API”) solutions that provide crypto trading capabilities and loyalty solutions for our clients and customers. The global market for crypto, while nascent, is rapidly evolving and expanding. We believe we are well-positioned to provide innovative, multi-faceted product solutions and grow with this evolving market. Our platform is well positioned to power commerce by enabling businesses, institutions, and consumers, to better manage, transact with and monetize crypto.</w:t>
      </w:r>
    </w:p>
    <w:p>
      <w:pPr>
        <w:spacing w:after="0" w:line="19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151515"/>
        </w:rPr>
        <w:t>Our platform is built to operate across various crypto assets and offers clients the flexibility to choose some or all of our capabilities, and the manner in which these capabilities are enabled for consumers, based on their needs and objectives. Some clients may choose to enable our capabilities directly in their experience, while others may want a “ready-to-go” storefront and leverage capabilities such as our web-based technology. Our institutional-grade platform, born out of our former parent company, Intercontinental Exchange, Inc. (“ICE”), supports "know your customer" ("KYC"), anti-money laundering ("AML"), and other anti-fraud measures to combat financial crime</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1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Crypto Market Developments</w:t>
      </w:r>
    </w:p>
    <w:p>
      <w:pPr>
        <w:spacing w:after="0" w:line="265" w:lineRule="exact"/>
        <w:rPr>
          <w:sz w:val="20"/>
          <w:szCs w:val="20"/>
          <w:color w:val="auto"/>
        </w:rPr>
      </w:pPr>
    </w:p>
    <w:p>
      <w:pPr>
        <w:ind w:right="20" w:firstLine="641"/>
        <w:spacing w:after="0" w:line="308" w:lineRule="auto"/>
        <w:rPr>
          <w:sz w:val="20"/>
          <w:szCs w:val="20"/>
          <w:color w:val="auto"/>
        </w:rPr>
      </w:pPr>
      <w:r>
        <w:rPr>
          <w:rFonts w:ascii="Times New Roman" w:cs="Times New Roman" w:eastAsia="Times New Roman" w:hAnsi="Times New Roman"/>
          <w:sz w:val="18"/>
          <w:szCs w:val="18"/>
          <w:color w:val="151515"/>
        </w:rPr>
        <w:t>The U.S. cryptocurrency market has undergone a significant transformation, driven by a maturing regulatory environment, increased institutional participation, and sustained retail adoption. This positive momentum creates a favorable backdrop for Bakkt's continued growth.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51515"/>
        </w:rPr>
        <w:t>Key Market Drivers</w:t>
      </w:r>
    </w:p>
    <w:p>
      <w:pPr>
        <w:spacing w:after="0" w:line="247" w:lineRule="exact"/>
        <w:rPr>
          <w:sz w:val="20"/>
          <w:szCs w:val="20"/>
          <w:color w:val="auto"/>
        </w:rPr>
      </w:pPr>
    </w:p>
    <w:p>
      <w:pPr>
        <w:jc w:val="both"/>
        <w:ind w:left="640" w:hanging="313"/>
        <w:spacing w:after="0" w:line="288" w:lineRule="auto"/>
        <w:tabs>
          <w:tab w:leader="none" w:pos="609" w:val="left"/>
        </w:tabs>
        <w:numPr>
          <w:ilvl w:val="0"/>
          <w:numId w:val="29"/>
        </w:numPr>
        <w:rPr>
          <w:rFonts w:ascii="Times New Roman" w:cs="Times New Roman" w:eastAsia="Times New Roman" w:hAnsi="Times New Roman"/>
          <w:sz w:val="18"/>
          <w:szCs w:val="18"/>
          <w:color w:val="151515"/>
        </w:rPr>
      </w:pPr>
      <w:r>
        <w:rPr>
          <w:rFonts w:ascii="Times New Roman" w:cs="Times New Roman" w:eastAsia="Times New Roman" w:hAnsi="Times New Roman"/>
          <w:sz w:val="18"/>
          <w:szCs w:val="18"/>
          <w:b w:val="1"/>
          <w:bCs w:val="1"/>
          <w:color w:val="auto"/>
        </w:rPr>
        <w:t xml:space="preserve">Political Shift and Pro-Innovation Policy: </w:t>
      </w:r>
      <w:r>
        <w:rPr>
          <w:rFonts w:ascii="Times New Roman" w:cs="Times New Roman" w:eastAsia="Times New Roman" w:hAnsi="Times New Roman"/>
          <w:sz w:val="18"/>
          <w:szCs w:val="18"/>
          <w:color w:val="auto"/>
        </w:rPr>
        <w:t>The current political climate is increasingly supportive of digital assets. Recent actions,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establishment of a Strategic Bitcoin Reserve and the signing of the </w:t>
      </w:r>
      <w:r>
        <w:rPr>
          <w:rFonts w:ascii="Times New Roman" w:cs="Times New Roman" w:eastAsia="Times New Roman" w:hAnsi="Times New Roman"/>
          <w:sz w:val="18"/>
          <w:szCs w:val="18"/>
          <w:b w:val="1"/>
          <w:bCs w:val="1"/>
          <w:color w:val="auto"/>
        </w:rPr>
        <w:t>GENIUS Act</w:t>
      </w:r>
      <w:r>
        <w:rPr>
          <w:rFonts w:ascii="Times New Roman" w:cs="Times New Roman" w:eastAsia="Times New Roman" w:hAnsi="Times New Roman"/>
          <w:sz w:val="18"/>
          <w:szCs w:val="18"/>
          <w:color w:val="auto"/>
        </w:rPr>
        <w:t xml:space="preserve">, signal a commitment to positioning the U.S. as a global leader in blockchain innovation. The bipartisan push for the </w:t>
      </w:r>
      <w:r>
        <w:rPr>
          <w:rFonts w:ascii="Times New Roman" w:cs="Times New Roman" w:eastAsia="Times New Roman" w:hAnsi="Times New Roman"/>
          <w:sz w:val="18"/>
          <w:szCs w:val="18"/>
          <w:b w:val="1"/>
          <w:bCs w:val="1"/>
          <w:color w:val="auto"/>
        </w:rPr>
        <w:t>Blockchain Regulatory Certainty Act</w:t>
      </w:r>
      <w:r>
        <w:rPr>
          <w:rFonts w:ascii="Times New Roman" w:cs="Times New Roman" w:eastAsia="Times New Roman" w:hAnsi="Times New Roman"/>
          <w:sz w:val="18"/>
          <w:szCs w:val="18"/>
          <w:color w:val="auto"/>
        </w:rPr>
        <w:t xml:space="preserve"> (often referred to as the 'Clarity Act') also aims to provide clear rules for non-custodial service providers, fostering a more stable environment for developers.</w:t>
      </w:r>
    </w:p>
    <w:p>
      <w:pPr>
        <w:spacing w:after="0" w:line="35" w:lineRule="exact"/>
        <w:rPr>
          <w:rFonts w:ascii="Times New Roman" w:cs="Times New Roman" w:eastAsia="Times New Roman" w:hAnsi="Times New Roman"/>
          <w:sz w:val="18"/>
          <w:szCs w:val="18"/>
          <w:color w:val="151515"/>
        </w:rPr>
      </w:pPr>
    </w:p>
    <w:p>
      <w:pPr>
        <w:jc w:val="both"/>
        <w:ind w:left="640" w:hanging="313"/>
        <w:spacing w:after="0" w:line="281" w:lineRule="auto"/>
        <w:tabs>
          <w:tab w:leader="none" w:pos="608"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b w:val="1"/>
          <w:bCs w:val="1"/>
          <w:color w:val="auto"/>
        </w:rPr>
        <w:t xml:space="preserve">Legislative Progress: </w:t>
      </w:r>
      <w:r>
        <w:rPr>
          <w:rFonts w:ascii="Times New Roman" w:cs="Times New Roman" w:eastAsia="Times New Roman" w:hAnsi="Times New Roman"/>
          <w:sz w:val="18"/>
          <w:szCs w:val="18"/>
          <w:color w:val="auto"/>
        </w:rPr>
        <w:t>The newly enacted</w:t>
      </w:r>
      <w:r>
        <w:rPr>
          <w:rFonts w:ascii="Times New Roman" w:cs="Times New Roman" w:eastAsia="Times New Roman" w:hAnsi="Times New Roman"/>
          <w:sz w:val="18"/>
          <w:szCs w:val="18"/>
          <w:b w:val="1"/>
          <w:bCs w:val="1"/>
          <w:color w:val="auto"/>
        </w:rPr>
        <w:t xml:space="preserve"> GENIUS Act </w:t>
      </w:r>
      <w:r>
        <w:rPr>
          <w:rFonts w:ascii="Times New Roman" w:cs="Times New Roman" w:eastAsia="Times New Roman" w:hAnsi="Times New Roman"/>
          <w:sz w:val="18"/>
          <w:szCs w:val="18"/>
          <w:color w:val="auto"/>
        </w:rPr>
        <w:t>is a landmark piece of legislation that provides a comprehensive regulatory framework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stablecoins. By mandating full reserve backing and defining stablecoins as a distinct asset class (not a security or commodity), the Act enhances consumer protection and provides the regulatory certainty needed to unlock significant growth in this sector.</w:t>
      </w:r>
    </w:p>
    <w:p>
      <w:pPr>
        <w:spacing w:after="0" w:line="34" w:lineRule="exact"/>
        <w:rPr>
          <w:rFonts w:ascii="Times New Roman" w:cs="Times New Roman" w:eastAsia="Times New Roman" w:hAnsi="Times New Roman"/>
          <w:sz w:val="21"/>
          <w:szCs w:val="21"/>
          <w:color w:val="auto"/>
        </w:rPr>
      </w:pPr>
    </w:p>
    <w:p>
      <w:pPr>
        <w:jc w:val="both"/>
        <w:ind w:left="640" w:hanging="313"/>
        <w:spacing w:after="0" w:line="280" w:lineRule="auto"/>
        <w:tabs>
          <w:tab w:leader="none" w:pos="608"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b w:val="1"/>
          <w:bCs w:val="1"/>
          <w:color w:val="auto"/>
        </w:rPr>
        <w:t xml:space="preserve">Broadening Adoption: </w:t>
      </w:r>
      <w:r>
        <w:rPr>
          <w:rFonts w:ascii="Times New Roman" w:cs="Times New Roman" w:eastAsia="Times New Roman" w:hAnsi="Times New Roman"/>
          <w:sz w:val="18"/>
          <w:szCs w:val="18"/>
          <w:color w:val="auto"/>
        </w:rPr>
        <w:t>The market continues to see robust adoption. According to the 2025 "Security.org" report, approximately 28% of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adults now own cryptocurrency, a figure that has nearly doubled since 2021. This demonstrates growing public confidence and a lasting shift in consumer behavior.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51515"/>
        </w:rPr>
        <w:t>Market Performance</w:t>
      </w:r>
    </w:p>
    <w:p>
      <w:pPr>
        <w:spacing w:after="0" w:line="251"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Bitcoin's price performance has been a key indicator of this bullish sentiment. The approval of U.S. spot Bitcoin Exchange-Traded Funds (ETFs) in early 2024 was a pivotal moment, attracting significant institutional capital and contributing to a strong 2024. Bitcoin's price reached highs near $100,000, and it has continued to demonstrate resilience, with its market cap now above $1.8 trillion. This performance, while volatile, reflects a market that is fundamentally stronger and more resilient than in previous cycles.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 Developments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DTR Commercial Agreement</w:t>
      </w:r>
    </w:p>
    <w:p>
      <w:pPr>
        <w:spacing w:after="0" w:line="209"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On July 31, 2025, we entered into a Commercial Agreement (the “Commercial Agreement”) with Distributed Technologies Research Global Ltd. (“DTR”), which sets forth the terms and conditions governing the integration of Bakkt’s various solutions related to financial transaction processing and cryptocurrency trading with DTR’s technology related to the execution of global payments powered by stablecoins.</w:t>
      </w:r>
    </w:p>
    <w:p>
      <w:pPr>
        <w:spacing w:after="0" w:line="18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Pursuant to the Commercial Agreement, DTR grants Bakkt and its affiliates a non-exclusive, non-transferable, sublicensable license for the duration of the term of the Commercial Agreement to access, display, reproduce, modify, create derivative works of, and otherwise use the DTR’s technology in certain territories; and DTR and its affiliates a non-exclusive, non-transferable, sublicensable, worldwide, right and license to display, reproduce, modify, create derivative works of, and otherwise use Bakkt solutions as needed. For each payment that is processed under the Commercial Agreement, Bakkt will be entitled to a customary fee for similar types of transactions.</w:t>
      </w:r>
    </w:p>
    <w:p>
      <w:pPr>
        <w:spacing w:after="0" w:line="19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The initial term of the Commercial Agreement will be three years from the date of execution, unless terminated earlier. At any time, either party will be able to terminate the Commercial Agreement in the event of insolvency of the other party or a material breach of the other party that has not been cured. Pursuant to the terms and conditions of the Commercial Agreement, DTR will be subject to certain restrictions on its ability to provide services or technology that are competitive with the project in certain territories. The Commercial Agreement contains customary representations,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48" w:name="page49"/>
    <w:bookmarkEnd w:id="48"/>
    <w:p>
      <w:pPr>
        <w:jc w:val="both"/>
        <w:spacing w:after="0" w:line="299" w:lineRule="auto"/>
        <w:rPr>
          <w:sz w:val="20"/>
          <w:szCs w:val="20"/>
          <w:color w:val="auto"/>
        </w:rPr>
      </w:pPr>
      <w:r>
        <w:rPr>
          <w:rFonts w:ascii="Times New Roman" w:cs="Times New Roman" w:eastAsia="Times New Roman" w:hAnsi="Times New Roman"/>
          <w:sz w:val="18"/>
          <w:szCs w:val="18"/>
          <w:color w:val="auto"/>
        </w:rPr>
        <w:t>warranties and covenants. The parties have also agreed to indemnify and hold each other harmless from claims alleging infringement of third-party intellectual property, gross negligence or willful misconduct, or arising from a party’s customer agreement, except these indemnification obligations to not apply with respect to any intellectual property or data that is not created or provided by the other party, combined with other products or processes not provided by the other party, or where the other party continues the alleged infringing activity.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and Warrant Offering</w:t>
      </w:r>
    </w:p>
    <w:p>
      <w:pPr>
        <w:spacing w:after="0" w:line="209"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On July 28, 2025, we entered into an Underwriting Agreement (the “Underwriting Agreement”) with Clear Street LLC and Cohen &amp; Co. Capital Markets, a division of Cohen &amp; Company Securities, LLC (collectively, the “Underwriters”), pursuant to which we agreed to sell and issue to the Underwriters an aggregate of 6,753,627 shares (the “Shares”) of the Company’s Class A common stock, par value $0.0001 per share (the “Common Stock”) and, for certain purchasers, pre-funded warrants (the “Pre-Funded Warrants”) to purchase an aggregate of 746,373 shares of Common Stock (the “Offering”). The price to the public in the Offering was $10.00 per Share and $9.9999 per Pre-Funded Warrant, which was the price per share at which the Shares were being sold to the public in the Offering, minus the $0.0001 exercise price per Pre-Funded Warrant. In addition, under the terms of the Underwriting Agreement, the Company granted the Underwriters the option, for 30 days, to purchase up to an additional 1,125,000 Shares and at the public offering price, less underwriting discounts and commissions.</w:t>
      </w:r>
    </w:p>
    <w:p>
      <w:pPr>
        <w:spacing w:after="0" w:line="196"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The aggregate gross proceeds to the Company from the Offering were approximately $75 million, before deducting fees to the underwriters and other estimated offering expenses payable by the Company. We intend to use the net proceeds from the Offering to purchase Bitcoin and other digital assets in accordance with its Investment Policy, working capital, and for general corporate purposes.</w:t>
      </w:r>
    </w:p>
    <w:p>
      <w:pPr>
        <w:spacing w:after="0" w:line="170"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agreements by the Company (including a lock-up agreement, pursuant to which, subject to specified exceptions, the Company has agreed not to offer or transfer Shares during the 60 day period following the date of the Underwriting Agreement), customary conditions to closing, indemnification obligations of the Company and the Underwriters, including for liabilities under the Securities Act of 1933, as amended (the “Securities Act”) and termination provisions. In connection with the Offering, the Company’s officers and directors and ICE have also entered into lock-up agreements, pursuant to which, subject to specified exceptions, they have agreed not to offer or transfer their Shares during the 90-day period following the date of the Underwriting Agreement.</w:t>
      </w:r>
    </w:p>
    <w:p>
      <w:pPr>
        <w:spacing w:after="0" w:line="175"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The Pre-Funded Warrants are exercisable at any time so long as the aggregate number of shares of Common Stock beneficially owned by the holder (together with its affiliates) would not exceed 4.99% of the number of Shares outstanding immediately after giving effect to the exercise, as such percentage ownership is determined in accordance with the terms of such Pre-Funded Warrant. Such percentage may be increased or decreased to any number not in excess of 9.99% at the holder’s election upon notice to the Company, any such increase not to take effect until the 61st day after notice to the Company. The Pre-Funded Warrants contain standard adjustments to the exercise price, including for stock splits, stock dividends and pro rata distributions and contain customary terms regarding the treatment of such Pre-Funded Warrants in the event of a fundamental transaction, which include but are not limited to a merger or consolidation involving the Company, a sale of all or substantially all of the assets of the Company, or a business combination resulting in any person acquiring more than 50% of the voting power of the capital stock of the Company.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Bakkt Loyalty Solutions Exit</w:t>
      </w:r>
    </w:p>
    <w:p>
      <w:pPr>
        <w:spacing w:after="0" w:line="20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March 2025, we announced our investigation of strategic alternatives for our loyalty business as we work to realign our business with a crypto</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focus.</w:t>
      </w:r>
    </w:p>
    <w:p>
      <w:pPr>
        <w:spacing w:after="0" w:line="247"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On July 23, 2025, Opco entered into an Equity Purchase Agreement (the “Purchase Agreement”) by and among Opco, Project Labrador Holdco, LLC, a wholly owned subsidiary of Roman DBDR Technology Advisors, Inc. (the “Purchaser”), and Bridge2 Solutions, LLC, Aspire Loyalty Travel Solutions, LLC, Bridge2 Solutions Canada, Ltd., each a</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49" w:name="page50"/>
    <w:bookmarkEnd w:id="49"/>
    <w:p>
      <w:pPr>
        <w:jc w:val="both"/>
        <w:spacing w:after="0" w:line="299" w:lineRule="auto"/>
        <w:rPr>
          <w:sz w:val="20"/>
          <w:szCs w:val="20"/>
          <w:color w:val="auto"/>
        </w:rPr>
      </w:pPr>
      <w:r>
        <w:rPr>
          <w:rFonts w:ascii="Times New Roman" w:cs="Times New Roman" w:eastAsia="Times New Roman" w:hAnsi="Times New Roman"/>
          <w:sz w:val="18"/>
          <w:szCs w:val="18"/>
          <w:color w:val="auto"/>
        </w:rPr>
        <w:t>wholly owned subsidiary of Opco, and B2S Resale, LLC, an indirect wholly owned subsidiary of Opco (collectively, the “Acquired Companies”). Pursuant to the terms and subject to the conditions set forth in the Purchase Agreement, Opco has agreed to sell to the Purchaser all of the issued and outstanding equity interests of the Acquired Companies, which constitute the entities that conduct the loyalty and travel redemption business of the Company (the “Transaction”).</w:t>
      </w:r>
    </w:p>
    <w:p>
      <w:pPr>
        <w:spacing w:after="0" w:line="171" w:lineRule="exact"/>
        <w:rPr>
          <w:sz w:val="20"/>
          <w:szCs w:val="20"/>
          <w:color w:val="auto"/>
        </w:rPr>
      </w:pPr>
    </w:p>
    <w:p>
      <w:pPr>
        <w:jc w:val="both"/>
        <w:ind w:firstLine="641"/>
        <w:spacing w:after="0" w:line="322" w:lineRule="auto"/>
        <w:rPr>
          <w:sz w:val="20"/>
          <w:szCs w:val="20"/>
          <w:color w:val="auto"/>
        </w:rPr>
      </w:pPr>
      <w:r>
        <w:rPr>
          <w:rFonts w:ascii="Times New Roman" w:cs="Times New Roman" w:eastAsia="Times New Roman" w:hAnsi="Times New Roman"/>
          <w:sz w:val="17"/>
          <w:szCs w:val="17"/>
          <w:color w:val="auto"/>
        </w:rPr>
        <w:t>The consideration to be paid to Opco in connection with the Transaction is $1.00, subject to certain adjustments following the Closing (as defined in the Purchase Agreement). At the Closing, Opco shall deliver the equity of the Acquired Entities, together with an amount of cash equal to $11 million plus (i) the amount of the most negative working capital of the business that existed in the twelve months prior to the closing date and (ii) the amount of estimated</w:t>
      </w:r>
    </w:p>
    <w:p>
      <w:pPr>
        <w:spacing w:after="0" w:line="1" w:lineRule="exact"/>
        <w:rPr>
          <w:sz w:val="20"/>
          <w:szCs w:val="20"/>
          <w:color w:val="auto"/>
        </w:rPr>
      </w:pPr>
    </w:p>
    <w:p>
      <w:pPr>
        <w:jc w:val="both"/>
        <w:spacing w:after="0" w:line="291" w:lineRule="auto"/>
        <w:rPr>
          <w:sz w:val="20"/>
          <w:szCs w:val="20"/>
          <w:color w:val="auto"/>
        </w:rPr>
      </w:pPr>
      <w:r>
        <w:rPr>
          <w:rFonts w:ascii="Times New Roman" w:cs="Times New Roman" w:eastAsia="Times New Roman" w:hAnsi="Times New Roman"/>
          <w:sz w:val="18"/>
          <w:szCs w:val="18"/>
          <w:color w:val="auto"/>
        </w:rPr>
        <w:t>indebtedness, subject to post-closing adjustments. Opco shall also place the Escrow Amount (defined below) into an escrow account, to hold funds for the indemnity obligations of Opco and the working capital adjustment and indebtedness adjustment, in each case as set forth in the Purchase Agreement and an accompanying escrow agreement. At the closing of the transaction, pursuant to an escrow agreement, Opco will deposit with the escrow agent (i) $1,000,000 into an indemnity escrow account (the “Indemnity Escrow Amount”), and (ii) $1,500,000 into a working capital adjustment escrow account (the “Adjustment Escrow Amount” and together with the Indemnity Escrow Amount, the “Escrow Amount”), in each case to be disbursed by the escrow agent in accordance with the terms of the Purchase Agreement and the escrow agreement. Subject to certain exceptions, on the applicable Escrow Termination Date (as defined in the Purchase Agreement), the escrow agent shall disburse the remaining Escrow Amount, if any. After the twelve-month anniversary of the closing date, the parties will determine whether the value of working capital delivered to the Purchaser at the Closing was greater than the greatest absolute value of working capital that existed in the twelve months following the closing date. If the value of working capital delivered to the Purchaser at the Closing was greater that such greatest absolute value, the Purchaser shall pay to Opco the difference between the value of working capital delivered to the Purchaser at the Closing and such greatest absolute value.</w:t>
      </w:r>
    </w:p>
    <w:p>
      <w:pPr>
        <w:spacing w:after="0" w:line="178" w:lineRule="exact"/>
        <w:rPr>
          <w:sz w:val="20"/>
          <w:szCs w:val="20"/>
          <w:color w:val="auto"/>
        </w:rPr>
      </w:pPr>
    </w:p>
    <w:p>
      <w:pPr>
        <w:jc w:val="both"/>
        <w:ind w:firstLine="641"/>
        <w:spacing w:after="0" w:line="303" w:lineRule="auto"/>
        <w:rPr>
          <w:sz w:val="20"/>
          <w:szCs w:val="20"/>
          <w:color w:val="auto"/>
        </w:rPr>
      </w:pPr>
      <w:r>
        <w:rPr>
          <w:rFonts w:ascii="Times New Roman" w:cs="Times New Roman" w:eastAsia="Times New Roman" w:hAnsi="Times New Roman"/>
          <w:sz w:val="17"/>
          <w:szCs w:val="17"/>
          <w:color w:val="auto"/>
        </w:rPr>
        <w:t>The Purchase Agreement contains customary representations, warranties and covenants, as well as certain indemnification provisions, with respect to Opco and the Acquired Companies, on the one hand, and the Purchaser, on the other. Furthermore, in connection with the Transaction, the Company plans to enter into ancillary agreements including (i) a note issued by the Purchaser to Opco pursuant to which Opco will loan to the Purchaser an amount equal to the restricted cash held by the Acquired Entities for the lesser of 18 months or the time the agreement is terminated pursuant to which such cash is restricted,</w:t>
      </w:r>
    </w:p>
    <w:p>
      <w:pPr>
        <w:spacing w:after="0" w:line="1" w:lineRule="exact"/>
        <w:rPr>
          <w:sz w:val="20"/>
          <w:szCs w:val="20"/>
          <w:color w:val="auto"/>
        </w:rPr>
      </w:pPr>
    </w:p>
    <w:p>
      <w:pPr>
        <w:ind w:left="280" w:hanging="273"/>
        <w:spacing w:after="0"/>
        <w:tabs>
          <w:tab w:leader="none" w:pos="2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agreement described above, and (iii) a transition services agreement pursuant to which Opco and the Purchaser or their respective affiliates</w:t>
      </w:r>
    </w:p>
    <w:p>
      <w:pPr>
        <w:spacing w:after="0" w:line="46" w:lineRule="exact"/>
        <w:rPr>
          <w:rFonts w:ascii="Times New Roman" w:cs="Times New Roman" w:eastAsia="Times New Roman" w:hAnsi="Times New Roman"/>
          <w:sz w:val="18"/>
          <w:szCs w:val="18"/>
          <w:color w:val="auto"/>
        </w:rPr>
      </w:pPr>
    </w:p>
    <w:p>
      <w:pPr>
        <w:jc w:val="both"/>
        <w:spacing w:after="0" w:line="30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provide certain transition services to one another (the “Ancillary Agreements”). Consummation of the Transaction is subject to the satisfaction or waiver of certain conditions, including, but not limited to, the execution of certain of the Ancillary Agreements, the completion by the Purchaser of certain operational integrations, and the assignment of certain contracts to the Purchaser.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Debenture Securities Purchase Agreement</w:t>
      </w:r>
    </w:p>
    <w:p>
      <w:pPr>
        <w:spacing w:after="0" w:line="249"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On June 17, 2025, we entered into a Securities Purchase Agreement (the “Purchase Agreement”) with YA II PN, LTD., a Cayman Islands exempt limited company (the “Investor”).</w:t>
      </w:r>
    </w:p>
    <w:p>
      <w:pPr>
        <w:spacing w:after="0" w:line="149"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Pursuant to the terms of the Purchase Agreement, the Investor purchased a $25 million convertible debenture (the “Convertible Debenture”) from the Company for a price of $23.75 million (the “Purchase Amount”) in a private placement (the “Private Placement”). The Private Placement closed on June 18, 2025. The Company intends to use the net proceeds from the Private Placement for working capital and for general corporate purposes</w:t>
      </w:r>
    </w:p>
    <w:p>
      <w:pPr>
        <w:spacing w:after="0" w:line="183"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The Convertible Debenture accrues interest on the outstanding principal balance at an annual rate equal to 0%, which will increase to an annual rate of 18% upon the occurrence of an Event of Default (as defined in the Convertible Debenture) for so long as the Event of Default remains uncured. The Convertible Debenture will mature on the first anniversary of the closing date, as may be extended at the option of the Investor (the “Maturity Date”).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50" w:name="page51"/>
    <w:bookmarkEnd w:id="50"/>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For so long as there is a balance outstanding under the Convertible Debenture, the Investor, in its sole discretion, may deliver to the Company a conversion notice (the “Conversion Notice”) to cause any portion of the outstanding and unpaid balance under the Convertible Debenture to be converted (the “Conversion Amount”) into the Company’s Class A common stock (the “Class A Common Stock”, and together with the Company’s Class V common stock, the “Common Stock”). The Conversion Amount will not exceed the balance owed under the Convertible Debenture on the date of delivery of the Conversion Notice.</w:t>
      </w:r>
    </w:p>
    <w:p>
      <w:pPr>
        <w:spacing w:after="0" w:line="193" w:lineRule="exact"/>
        <w:rPr>
          <w:sz w:val="20"/>
          <w:szCs w:val="20"/>
          <w:color w:val="auto"/>
        </w:rPr>
      </w:pPr>
    </w:p>
    <w:p>
      <w:pPr>
        <w:jc w:val="both"/>
        <w:ind w:firstLine="641"/>
        <w:spacing w:after="0" w:line="314" w:lineRule="auto"/>
        <w:rPr>
          <w:sz w:val="20"/>
          <w:szCs w:val="20"/>
          <w:color w:val="auto"/>
        </w:rPr>
      </w:pPr>
      <w:r>
        <w:rPr>
          <w:rFonts w:ascii="Times New Roman" w:cs="Times New Roman" w:eastAsia="Times New Roman" w:hAnsi="Times New Roman"/>
          <w:sz w:val="17"/>
          <w:szCs w:val="17"/>
          <w:color w:val="auto"/>
        </w:rPr>
        <w:t>The shares of Class A Common Stock will be issued and sold to the Investor at a per share price (the “Conversion Price”) equal to the lower of (i) $14.51 per share or (ii) 97% of the lowest daily volume weighted average price during the five consecutive trading days immediately preceding the conversion date (the “Variable Price”), but which Variable Price shall not be lower than $2.418. The shares of Class A Common Stock will be issued and sold to the Investor at the Conversion Price that would be applicable to the Conversion Amount selected by the Investor if such amount were to be converted as of the date of delivery of the Conversion Notice. The amount outstanding under the Convertible Debenture will then be offset by the Conversion Amount.</w:t>
      </w:r>
    </w:p>
    <w:p>
      <w:pPr>
        <w:spacing w:after="0" w:line="164"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To the extent any balance remains outstanding under the Convertible Debenture on the Maturity Date, the Company will pay to the Investor such outstanding balance in cash.</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Bitcoin and Other Digital Assets Investment Policy</w:t>
      </w:r>
    </w:p>
    <w:p>
      <w:pPr>
        <w:spacing w:after="0" w:line="222"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In June 2025, we updated our corporate Investment Policy, enabling us to allocate capital into Bitcoin and other digital assets as part of our broader treasury and corporate strategy.</w:t>
      </w:r>
    </w:p>
    <w:p>
      <w:pPr>
        <w:spacing w:after="0" w:line="177"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Our updated Investment Policy is built on three strategic pillars designed to enhance long-term stockholder value and position Bakkt as a leader in the digital asset ecosystem:</w:t>
      </w:r>
    </w:p>
    <w:p>
      <w:pPr>
        <w:spacing w:after="0" w:line="177" w:lineRule="exact"/>
        <w:rPr>
          <w:sz w:val="20"/>
          <w:szCs w:val="20"/>
          <w:color w:val="auto"/>
        </w:rPr>
      </w:pPr>
    </w:p>
    <w:p>
      <w:pPr>
        <w:ind w:left="960" w:hanging="312"/>
        <w:spacing w:after="0" w:line="308" w:lineRule="auto"/>
        <w:tabs>
          <w:tab w:leader="none" w:pos="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allocations to Bitcoin and leading digital assets: Bakkt will allocate a portion of its treasury to Bitcoin and other top-tier cryptocurrencies, aligning with its conviction in digital assets as a store of value with long-term appreciation potential.</w:t>
      </w:r>
    </w:p>
    <w:p>
      <w:pPr>
        <w:spacing w:after="0" w:line="176" w:lineRule="exact"/>
        <w:rPr>
          <w:rFonts w:ascii="Times New Roman" w:cs="Times New Roman" w:eastAsia="Times New Roman" w:hAnsi="Times New Roman"/>
          <w:sz w:val="18"/>
          <w:szCs w:val="18"/>
          <w:color w:val="auto"/>
        </w:rPr>
      </w:pPr>
    </w:p>
    <w:p>
      <w:pPr>
        <w:ind w:left="960" w:hanging="312"/>
        <w:spacing w:after="0" w:line="308" w:lineRule="auto"/>
        <w:tabs>
          <w:tab w:leader="none" w:pos="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capital structure optimization: Bakkt will continue to utilize prudent strategies to enhance the Company’s capital structure while maintaining disciplined risk management.</w:t>
      </w:r>
    </w:p>
    <w:p>
      <w:pPr>
        <w:spacing w:after="0" w:line="176" w:lineRule="exact"/>
        <w:rPr>
          <w:rFonts w:ascii="Times New Roman" w:cs="Times New Roman" w:eastAsia="Times New Roman" w:hAnsi="Times New Roman"/>
          <w:sz w:val="18"/>
          <w:szCs w:val="18"/>
          <w:color w:val="auto"/>
        </w:rPr>
      </w:pPr>
    </w:p>
    <w:p>
      <w:pPr>
        <w:ind w:left="960" w:hanging="312"/>
        <w:spacing w:after="0" w:line="308" w:lineRule="auto"/>
        <w:tabs>
          <w:tab w:leader="none" w:pos="9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expansion of treasury strategy through strategic jurisdictional analysis: The Company is actively evaluating global jurisdictions to deploy these strategies, leveraging the management team’s experience in respective capital markets.</w:t>
      </w:r>
    </w:p>
    <w:p>
      <w:pPr>
        <w:spacing w:after="0" w:line="177"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The Company may acquire Bitcoin or other digital assets, using excess cash, proceeds from future equity or debt financings, or other capital sources, subject to the Company’s updated Investment Policy. As of June 30, 2025, the Company has not purchased any Bitcoin or other digital assets pursuant to its revised Investment Policy. The timing and magnitude of any such transactions will depend on market conditions, capital market receptivity, business performance and other strategic considerations.</w:t>
      </w:r>
    </w:p>
    <w:p>
      <w:pPr>
        <w:spacing w:after="0" w:line="171" w:lineRule="exact"/>
        <w:rPr>
          <w:sz w:val="20"/>
          <w:szCs w:val="20"/>
          <w:color w:val="auto"/>
        </w:rPr>
      </w:pPr>
    </w:p>
    <w:p>
      <w:pPr>
        <w:jc w:val="both"/>
        <w:ind w:firstLine="641"/>
        <w:spacing w:after="0" w:line="309" w:lineRule="auto"/>
        <w:rPr>
          <w:sz w:val="20"/>
          <w:szCs w:val="20"/>
          <w:color w:val="auto"/>
        </w:rPr>
      </w:pPr>
      <w:r>
        <w:rPr>
          <w:rFonts w:ascii="Times New Roman" w:cs="Times New Roman" w:eastAsia="Times New Roman" w:hAnsi="Times New Roman"/>
          <w:sz w:val="18"/>
          <w:szCs w:val="18"/>
          <w:color w:val="auto"/>
        </w:rPr>
        <w:t xml:space="preserve">On August 6, 2025, we entered into a share purchase agreement with RIZAP Group, Inc. to acquire approximately 30% of the outstanding shares of MarushoHotta Co., Ltd. (MHT), a Tokyo-listed company, for </w:t>
      </w:r>
      <w:r>
        <w:rPr>
          <w:rFonts w:ascii="Arial" w:cs="Arial" w:eastAsia="Arial" w:hAnsi="Arial"/>
          <w:sz w:val="19"/>
          <w:szCs w:val="19"/>
          <w:color w:val="auto"/>
        </w:rPr>
        <w:t>¥</w:t>
      </w:r>
      <w:r>
        <w:rPr>
          <w:rFonts w:ascii="Times New Roman" w:cs="Times New Roman" w:eastAsia="Times New Roman" w:hAnsi="Times New Roman"/>
          <w:sz w:val="18"/>
          <w:szCs w:val="18"/>
          <w:color w:val="auto"/>
        </w:rPr>
        <w:t>1,676,551,082 ($11.5 million). This investment advances our progress in launching a multinational bitcoin treasury strategy. MHT intends to seek shareholder approval to adopt a bitcoin treasury strategy.</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July 2025, the Company acquired the Bitcoin.kr domain name.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color w:val="auto"/>
        </w:rPr>
        <w:t>Bakkt Brokerage Dissolution</w:t>
      </w:r>
    </w:p>
    <w:p>
      <w:pPr>
        <w:spacing w:after="0" w:line="2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Effective April 28, 2025, the Company dissolved Bakkt Brokerage.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Bakkt Trust Exit</w:t>
      </w:r>
    </w:p>
    <w:p>
      <w:pPr>
        <w:spacing w:after="0" w:line="249"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On March 17, 2025, we entered into an agreement with ICE whereby ICE agreed to purchase all of the outstanding equity interests of Bakkt Trust Company LLC (“Bakkt Trust”) in exchange for $1.5 million plus the assumption of Bakkt Trust’s regulatory capital requirement, which was approximately $3.0 million as of signing, and certain operating costs of Bakkt Trust during the period between the signing of the purchase agreement and the closing of the transaction (subject to such closing). The sale of Bakkt Trust closed on May 15,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Cooperation Agreement</w:t>
      </w:r>
    </w:p>
    <w:p>
      <w:pPr>
        <w:spacing w:after="0" w:line="249"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On March 19, 2025, we announced that we entered into a Cooperation Agreement with Distributed Technologies Research Global Ltd (“DTR”) and Akshay Naheta, the sole stockholder of DTR (the “Cooperation Agreement”). Pursuant to the Cooperation Agreement and subject to the negotiation and execution of a definitive commercial agreement, DTR will provide us with certain exclusive payment processing technology, application programming interfaces, and infrastructure to be integrated into our platform for the enablement of global payments processing services in the jurisdictions where we or our affiliates operate. Further, and subject to the negotiation and execution of a definitive commercial agreement, Bakkt will provide DTR with access to its existing and future regulatory licenses to leverage DTR's technology infrastructure for the enablement of global payment processing.</w:t>
      </w:r>
    </w:p>
    <w:p>
      <w:pPr>
        <w:spacing w:after="0" w:line="175"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In addition, on the date that is twelve (12) months following the date of on which we initiate processing payments using all or part of DTR’s technology (the “Call Event Deadline”), we shall have the exclusive right (such right, the “Call Option”) to require Mr. Naheta to sell, convey, transfer, assign and deliver to us 100% of the capital stock and all other equity interests of DTR (the “DTR Equity”). This Call Option may be exercised by us at any time prior to the Call Event Deadline. If we do not exercise the Call Option within the Call Event Deadline, then for a period beginning on the date of expiration of the Call Event Deadline and ending on the second anniversary of the Call Event Deadline, if DTR or Mr. Naheta receives an offer or proposal from a third-party to purchase more than 50% of the DTR Equity, then (i) Mr. Naheta shall provide written notice to us of the material financial and other terms and conditions of such offer or proposal (such notice, the “ROFR Notice”) and (ii) for a period of 15 days following receipt of the ROFR Notice, we shall have the right to purchase the DTR Equity on the same terms as set forth in the ROFR Notice (the “ROFR”). The ROFR Notice will expire in the event that (a) the terms proposed by us are not the same or as favorable as those in the ROFR Notice or (b) we exercise the ROFR pursuant to a ROFR Notice but the ROFR transaction is not consummated within 90 days following the date of the ROFR Notice, subject to certain automatic extensions for regulatory approvals, required authorizations or approval by our stockholders, which such automatic extension shall not exceed 90 days.</w:t>
      </w:r>
    </w:p>
    <w:p>
      <w:pPr>
        <w:spacing w:after="0" w:line="178"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If the cumulative volume of payments processed by us utilizing DTR’s technology or otherwise facilitated by DTR’s technology infrastructure for enabling global payment processing exceeds $2 billion during any 18-month period following the date of the Cooperation Agreement (the “Put Event”), then within three years of such Put Event (the “Put Event Deadline”), Mr. Naheta shall have the right to require us to purchase, acquire and accept from Mr. Naheta the DTR Equity (the “Put Option”).</w:t>
      </w:r>
    </w:p>
    <w:p>
      <w:pPr>
        <w:spacing w:after="0" w:line="171"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As consideration for the sale of the DTR Equity contemplated by a Put Option or a Call Option, Mr. Naheta will be entitled, in exchange for all of the DTR Equity, to a number of shares of our Class A Common Stock, par value $0.0001 per share (the “Class A Common Stock”), representing at least 19.9% and no more than 31.5%, of the aggregate of our common stock (which such total shall include the shares of the then outstanding and issued Class A Common Stock and the shares of Class A Common Stock then exchangeable for our paired interests represented by our Class V Common Stock, par value $0.0001 per share), plus the aggregate number of shares of our Class A Common Stock issuable upon full exercise or conversion of any options, warrants or other convertible or derivative securities then outstanding, on an as-converted basis, which shall not include the publicly traded warrants currently listed on the NYSE (BKKT WS) and any</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52" w:name="page53"/>
    <w:bookmarkEnd w:id="52"/>
    <w:p>
      <w:pPr>
        <w:jc w:val="both"/>
        <w:spacing w:after="0" w:line="293" w:lineRule="auto"/>
        <w:rPr>
          <w:sz w:val="20"/>
          <w:szCs w:val="20"/>
          <w:color w:val="auto"/>
        </w:rPr>
      </w:pPr>
      <w:r>
        <w:rPr>
          <w:rFonts w:ascii="Times New Roman" w:cs="Times New Roman" w:eastAsia="Times New Roman" w:hAnsi="Times New Roman"/>
          <w:sz w:val="18"/>
          <w:szCs w:val="18"/>
          <w:color w:val="auto"/>
        </w:rPr>
        <w:t>warrants to purchases of Class A Common Stock that are below the Bakkt Share Price (as defined below) (the “Bakkt Share Number”) subject to any DTR Adjustment (as defined below); provided that Mr. Naheta will be entitled to a “top up” of additional shares of Class A Common Stock to the extent any such public warrants are actually exercised. Any indebtedness of DTR outstanding immediately prior to the closing of a Call Option or Put Option transaction and certain transaction expenses in excess of $1.0 million incurred by or on behalf of DTR or Mr. Naheta (such amount, the “DTR Value”) shall proportionately reduce the number of shares Mr. Naheta is entitled to receive in a Put Option or Call Option transaction (the “DTR Adjustment”).</w:t>
      </w:r>
    </w:p>
    <w:p>
      <w:pPr>
        <w:spacing w:after="0" w:line="193" w:lineRule="exact"/>
        <w:rPr>
          <w:sz w:val="20"/>
          <w:szCs w:val="20"/>
          <w:color w:val="auto"/>
        </w:rPr>
      </w:pPr>
    </w:p>
    <w:p>
      <w:pPr>
        <w:jc w:val="both"/>
        <w:ind w:firstLine="641"/>
        <w:spacing w:after="0" w:line="289" w:lineRule="auto"/>
        <w:rPr>
          <w:sz w:val="20"/>
          <w:szCs w:val="20"/>
          <w:color w:val="auto"/>
        </w:rPr>
      </w:pPr>
      <w:r>
        <w:rPr>
          <w:rFonts w:ascii="Times New Roman" w:cs="Times New Roman" w:eastAsia="Times New Roman" w:hAnsi="Times New Roman"/>
          <w:sz w:val="18"/>
          <w:szCs w:val="18"/>
          <w:color w:val="auto"/>
        </w:rPr>
        <w:t>If either we or Mr. Naheta shall exercise the above described Call Option or Put Option, respectively, such transaction shall be (i) executed pursuant to a customary purchase agreement that will contain representations, warranties and interim operating covenants by us, DTR and Mr. Naheta that are customary for a transaction of this nature (the “Definitive Agreement”), (ii) subject to, among other things, obtaining any required regulatory approvals, non-objections and/or similar authorizations, approval of our stockholders (including compliance with any applicable requirements of the NYSE) and Delaware law, (iii) subject to receipt by us of a fairness opinion from an independent financial advisor, (iv) subject to the execution by the parties of a definitive agreement reflecting the commercial arrangement described above, and (v) subject to our having terminated any lines of credit in effect on the date of the Cooperation Agreement and having repaid in full any indebtedness then outstanding and borrowed thereunder. The Definitive Agreement shall also provide for a clause to allow the Special Committee of our Board of Directors (the “Board”) to pursue any superior proposal for a transaction that, if consummated, would result in a change of control of Bakkt that is conditioned upon the termination of the Put Option; provided, that Bakkt will negotiate reasonably and in good faith with any prospective party to include the Put Option or have such Put Option exercised immediately prior to the closing of such proposed transaction. If, after such negotiation, the Put Option will be terminated, we will be obligated to pay Mr. Naheta a termination fee of 3.0% of the DTR Value, as determined immediately prior to the termination of the Put Option.</w:t>
      </w:r>
    </w:p>
    <w:p>
      <w:pPr>
        <w:spacing w:after="0" w:line="188"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The price payable by us for the DTR Equity in any such Put Option or Call Option transaction shall be the fair market value as determined by a third-party valuation from an independent valuation firm, and the price of the Class A Common Stock to be issued in a Put Option or Call Option transaction shall be equal to the volume weighted average price of the Class A Common Stock on the NYSE over the 30 consecutive trading day period ending on the trading day immediately preceding the date on which the Class A Common Stock would be issued pursuant to the Cooperation Agreement (the “Bakkt Share Price”), subject to the floor and price cap mechanisms described above.</w:t>
      </w:r>
    </w:p>
    <w:p>
      <w:pPr>
        <w:spacing w:after="0" w:line="193"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During the term of the Cooperation Agreement, each party will use commercially reasonable efforts to conduct its business in the normal and ordinary course, consistent with applicable laws. Pursuant to the Cooperation Agreement, Mr. Naheta will not, directly or indirectly, engage in hedging, short sales or similar activities with respect to our equity.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Non-renewal of Key Customer Contracts</w:t>
      </w:r>
    </w:p>
    <w:p>
      <w:pPr>
        <w:spacing w:after="0" w:line="263"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On March 14, 2025, our largest client, Webull Pay LLC (“Webull”), notified us that it will not renew its agreement with us when it ended on June 14, 2025, although the Company continues to service a limited number of states under an amended agreement with Webull. Webull represented approximately 74% of the Company’s Crypto services revenue for the year ended December 31, 2024.</w:t>
      </w:r>
    </w:p>
    <w:p>
      <w:pPr>
        <w:spacing w:after="0" w:line="170" w:lineRule="exact"/>
        <w:rPr>
          <w:sz w:val="20"/>
          <w:szCs w:val="20"/>
          <w:color w:val="auto"/>
        </w:rPr>
      </w:pPr>
    </w:p>
    <w:p>
      <w:pPr>
        <w:ind w:right="200" w:firstLine="641"/>
        <w:spacing w:after="0" w:line="299" w:lineRule="auto"/>
        <w:rPr>
          <w:sz w:val="20"/>
          <w:szCs w:val="20"/>
          <w:color w:val="auto"/>
        </w:rPr>
      </w:pPr>
      <w:r>
        <w:rPr>
          <w:rFonts w:ascii="Times New Roman" w:cs="Times New Roman" w:eastAsia="Times New Roman" w:hAnsi="Times New Roman"/>
          <w:sz w:val="18"/>
          <w:szCs w:val="18"/>
          <w:color w:val="auto"/>
        </w:rPr>
        <w:t>We also received notice from Bank of America Corporation (“Bank of America”) on March 14, 2025 that Bank of America will not renew its commercial agreement with us. As a result, such agreement expired in accordance with its terms on April 22, 2025, subject to the Company’s obligation to provide transition services for up to a 12-month period. Bank of America represented approximately 16% of our loyalty business’s net revenue for the year ended December 31,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49" w:lineRule="exact"/>
        <w:rPr>
          <w:sz w:val="20"/>
          <w:szCs w:val="20"/>
          <w:color w:val="auto"/>
        </w:rPr>
      </w:pPr>
    </w:p>
    <w:p>
      <w:pPr>
        <w:ind w:firstLine="641"/>
        <w:spacing w:after="0" w:line="324" w:lineRule="auto"/>
        <w:rPr>
          <w:sz w:val="20"/>
          <w:szCs w:val="20"/>
          <w:color w:val="auto"/>
        </w:rPr>
      </w:pPr>
      <w:r>
        <w:rPr>
          <w:rFonts w:ascii="Times New Roman" w:cs="Times New Roman" w:eastAsia="Times New Roman" w:hAnsi="Times New Roman"/>
          <w:sz w:val="18"/>
          <w:szCs w:val="18"/>
          <w:color w:val="auto"/>
        </w:rPr>
        <w:t>On August 12, 2024, Bakkt and Opco executed a revolving credit facility with Intercontinental Exchange Holdings, Inc. (the “Lender”) and certain subsidiaries of Bakkt party thereto from time to time, as guarantors, whereby the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53" w:name="page54"/>
    <w:bookmarkEnd w:id="53"/>
    <w:p>
      <w:pPr>
        <w:jc w:val="both"/>
        <w:spacing w:after="0" w:line="293" w:lineRule="auto"/>
        <w:rPr>
          <w:sz w:val="20"/>
          <w:szCs w:val="20"/>
          <w:color w:val="auto"/>
        </w:rPr>
      </w:pPr>
      <w:r>
        <w:rPr>
          <w:rFonts w:ascii="Times New Roman" w:cs="Times New Roman" w:eastAsia="Times New Roman" w:hAnsi="Times New Roman"/>
          <w:sz w:val="18"/>
          <w:szCs w:val="18"/>
          <w:color w:val="auto"/>
        </w:rPr>
        <w:t>Lender agreed to provide for a $40.0 million secured revolving line of credit for working capital and general corporate purposes. The ICE Credit Facility was available in defined commitment amounts at specified dates in the future. On March 27, 2025, we drew $5.0 million under the ICE Credit Facility. On June 18, 2025, the Company repaid all principal and accrued interest then outstanding on the ICE Credit Facility. As of June 30, 2025, there were no borrowings outstanding under the ICE Credit Facility. On July 30, 2025, we terminated the ICE Credit Facility and repaid all outstanding principal, interest and fees due thereunder through the date of termination. Refer to “Liquidity and Capital Resources” for further details.</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One-Time Option Awards</w:t>
      </w:r>
    </w:p>
    <w:p>
      <w:pPr>
        <w:spacing w:after="0" w:line="249"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In connection with the Offering, the Company’s Board of Directors and its Compensation Committee (the “Compensation Committee”) approved a one-time award of stock options to purchase up to $74.5 million worth of Common Stock (the “Options”), in the aggregate, to 10 employees. No consideration was received by the Company for the granting of the Options. Due to the limited share reserve under the Bakkt Holdings, Inc. 2021 Omnibus Employee Incentive Plan (the “Omnibus Incentive Plan”), the Options were approved by the Board of Directors outside the Omnibus Incentive Plan and are subject to stockholder approval. Notwithstanding the foregoing, the Options will be governed in all respects as if issued under the Omnibus Incentive Plan, except with respect to the Omnibus Incentive Plan’s minimum vesting requirements. Accordingly, the Compensation Committee will administer the Options and have the authority in its sole discretion to, among other actions: construe, interpret and implement the Options; amend the Options in any respect without stockholder approval; and determine the treatment of the Options in the event of a change in control of the Company.</w:t>
      </w:r>
    </w:p>
    <w:p>
      <w:pPr>
        <w:spacing w:after="0" w:line="183" w:lineRule="exact"/>
        <w:rPr>
          <w:sz w:val="20"/>
          <w:szCs w:val="20"/>
          <w:color w:val="auto"/>
        </w:rPr>
      </w:pPr>
    </w:p>
    <w:p>
      <w:pPr>
        <w:jc w:val="both"/>
        <w:ind w:firstLine="641"/>
        <w:spacing w:after="0" w:line="292" w:lineRule="auto"/>
        <w:rPr>
          <w:sz w:val="20"/>
          <w:szCs w:val="20"/>
          <w:color w:val="auto"/>
        </w:rPr>
      </w:pPr>
      <w:r>
        <w:rPr>
          <w:rFonts w:ascii="Times New Roman" w:cs="Times New Roman" w:eastAsia="Times New Roman" w:hAnsi="Times New Roman"/>
          <w:sz w:val="18"/>
          <w:szCs w:val="18"/>
          <w:color w:val="auto"/>
        </w:rPr>
        <w:t>Consistent with the purpose of the Omnibus Incentive Plan and subject to stockholder approval, the Options are structured as a commitment by the grantee to exercise a predetermined number of Options every quarter for eight quarters (such committed number of Options, the “Mandatory Exercise Options”) at an exercise price per share set forth in the applicable award agreement, which exercise price will be equal to the value of a share of Common Stock as negotiated in the Offering, which reflects a third-party negotiated fair market value, or to the extent required to comply with Section 409A of the Internal Revenue Code, the fair market value of a share of Common Stock on the date of grant. For each quarter in which the grantee exercises the Mandatory Exercise Options, the grantee will be entitled to exercise an additional number of Options (the “Optional Exercise Options”) which Optional Exercise Options will become exercisable for a period of up to two years. The grantee must personally fund the exercise price in order to exercise the Mandatory Exercise Options, as net settlement of the Mandatory Exercise Options will not be permitted. The grantee may either personally fund the exercise price in order to exercise the Optional Exercise Options or may elect to net settle the Optional Exercise Options.</w:t>
      </w:r>
    </w:p>
    <w:p>
      <w:pPr>
        <w:spacing w:after="0" w:line="178"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Subject to stockholder approval, the award pool for Options will be $74.5 million (the “Total Pool”). The Total Pool will be divided into two sub-pools from which the grantees will receive options to purchase Common Stock in the following amounts:</w:t>
      </w:r>
    </w:p>
    <w:p>
      <w:pPr>
        <w:spacing w:after="0" w:line="189" w:lineRule="exact"/>
        <w:rPr>
          <w:sz w:val="20"/>
          <w:szCs w:val="20"/>
          <w:color w:val="auto"/>
        </w:rPr>
      </w:pPr>
    </w:p>
    <w:p>
      <w:pPr>
        <w:ind w:left="840" w:hanging="192"/>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Pool One: 81% of the Total Pool will be allocated to Pool One. For each grantee in Pool One, 1/8 of their Options will become exercisable each</w:t>
      </w:r>
    </w:p>
    <w:p>
      <w:pPr>
        <w:spacing w:after="0" w:line="60" w:lineRule="exact"/>
        <w:rPr>
          <w:rFonts w:ascii="Times New Roman" w:cs="Times New Roman" w:eastAsia="Times New Roman" w:hAnsi="Times New Roman"/>
          <w:sz w:val="18"/>
          <w:szCs w:val="18"/>
          <w:color w:val="auto"/>
        </w:rPr>
      </w:pPr>
    </w:p>
    <w:p>
      <w:pPr>
        <w:spacing w:after="0" w:line="30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 (the “Quarterly Tranche”), with 20% of each Quarterly Tranche being Mandatory Exercise Options, and the remainder of the Quarterly Tranche being Optional Exercise Options.</w:t>
      </w:r>
    </w:p>
    <w:p>
      <w:pPr>
        <w:spacing w:after="0" w:line="216" w:lineRule="exact"/>
        <w:rPr>
          <w:rFonts w:ascii="Times New Roman" w:cs="Times New Roman" w:eastAsia="Times New Roman" w:hAnsi="Times New Roman"/>
          <w:sz w:val="18"/>
          <w:szCs w:val="18"/>
          <w:color w:val="auto"/>
        </w:rPr>
      </w:pPr>
    </w:p>
    <w:p>
      <w:pPr>
        <w:ind w:left="840" w:hanging="192"/>
        <w:spacing w:after="0"/>
        <w:tabs>
          <w:tab w:leader="none" w:pos="84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Pool Two: 19% of the Total Pool will be allocated to Pool Two. For each grantee in Pool Two, 1/8 of their Options will become exercisable each</w:t>
      </w:r>
    </w:p>
    <w:p>
      <w:pPr>
        <w:spacing w:after="0" w:line="58" w:lineRule="exact"/>
        <w:rPr>
          <w:rFonts w:ascii="Times New Roman" w:cs="Times New Roman" w:eastAsia="Times New Roman" w:hAnsi="Times New Roman"/>
          <w:sz w:val="17"/>
          <w:szCs w:val="17"/>
          <w:color w:val="auto"/>
        </w:rPr>
      </w:pPr>
    </w:p>
    <w:p>
      <w:pPr>
        <w:spacing w:after="0" w:line="30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quarter, with 10% of each Quarterly Tranche being Mandatory Exercise Options, and the remainder of the Quarterly Tranche being Optional Exercise Options.</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Each quarter, a Quarterly Tranche will become exercisable as follows:</w:t>
      </w:r>
    </w:p>
    <w:p>
      <w:pPr>
        <w:spacing w:after="0" w:line="287" w:lineRule="exact"/>
        <w:rPr>
          <w:sz w:val="20"/>
          <w:szCs w:val="20"/>
          <w:color w:val="auto"/>
        </w:rPr>
      </w:pPr>
    </w:p>
    <w:p>
      <w:pPr>
        <w:ind w:left="960" w:right="20" w:hanging="312"/>
        <w:spacing w:after="0" w:line="299" w:lineRule="auto"/>
        <w:tabs>
          <w:tab w:leader="none" w:pos="955"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18"/>
          <w:szCs w:val="18"/>
          <w:color w:val="auto"/>
        </w:rPr>
        <w:t>The Mandatory Exercise portion of the tranche will be exercisable over a two-day period in the applicable quarter (the “Mandatory Exercise Period”).</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54" w:name="page55"/>
    <w:bookmarkEnd w:id="54"/>
    <w:p>
      <w:pPr>
        <w:ind w:left="960" w:hanging="312"/>
        <w:spacing w:after="0"/>
        <w:tabs>
          <w:tab w:leader="none" w:pos="96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grantee exercises the Mandatory Exercise portion of the tranche during the Mandatory Exercise Period, then the remaining portion of the</w:t>
      </w:r>
    </w:p>
    <w:p>
      <w:pPr>
        <w:spacing w:after="0" w:line="58" w:lineRule="exact"/>
        <w:rPr>
          <w:rFonts w:ascii="Times New Roman" w:cs="Times New Roman" w:eastAsia="Times New Roman" w:hAnsi="Times New Roman"/>
          <w:sz w:val="17"/>
          <w:szCs w:val="17"/>
          <w:color w:val="auto"/>
        </w:rPr>
      </w:pPr>
    </w:p>
    <w:p>
      <w:pPr>
        <w:ind w:left="960"/>
        <w:spacing w:after="0" w:line="30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Quarterly Tranche will become exercisable for a period of two years thereafter. The grantee may choose when within that two year period to exercise the Optional Exercise Options.</w:t>
      </w:r>
    </w:p>
    <w:p>
      <w:pPr>
        <w:spacing w:after="0" w:line="176" w:lineRule="exact"/>
        <w:rPr>
          <w:rFonts w:ascii="Times New Roman" w:cs="Times New Roman" w:eastAsia="Times New Roman" w:hAnsi="Times New Roman"/>
          <w:sz w:val="17"/>
          <w:szCs w:val="17"/>
          <w:color w:val="auto"/>
        </w:rPr>
      </w:pPr>
    </w:p>
    <w:p>
      <w:pPr>
        <w:ind w:left="960" w:hanging="312"/>
        <w:spacing w:after="0" w:line="308" w:lineRule="auto"/>
        <w:tabs>
          <w:tab w:leader="none" w:pos="9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grantee does not exercise the Mandatory Exercise portion of any Quarterly Tranche during the Mandatory Exercise Period, then all remaining Options (for that quarter and all future quarters) will be forfeited.</w:t>
      </w:r>
    </w:p>
    <w:p>
      <w:pPr>
        <w:spacing w:after="0" w:line="177"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Subject to stockholder approval, any portion of the Options, including both the Mandatory Exercise portion and/or the Optional Exercise portion of any Quarterly Tranche, may be exercised on an accelerated basis prior to the applicable quarter in which the Quarterly Tranche would otherwise become exercisable (but not before the first Mandatory Exercise Period); provided, that any shares of Common Stock acquired on exercise of Optional Exercise Options will be subject to a trading lock up and will not be freely tradable, sellable or transferrable until the date on which the Optional Exercise Options would otherwise have become exercisable pursuant to the Quarterly Tranche schedule described above.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63"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On April 29, 2024, following approval by our stockholders and the Board, we effected a reverse stock split (the “Reverse Stock Split”) of our Class A Common Stock, par value $0.0001 per share, and Class V Common Stock, par value $0.0001 per share (“Class V Common Stock” and collectively with the Class A Common Stock, the “Common Stock”), at a ratio of 1-for-25 (the “Reverse Stock Split Ratio”), effective as of 12:01 a.m. eastern time on April 29, 2024 (the “Effective Time”). Our Class A Common Stock began trading on a reverse-split adjusted basis on the New York Stock Exchange (the “NYSE”) as of the open of trading on April 29, 2024. After the Effective Time, the Class A Common Stock continues to be listed on the NYSE under the symbol “BKKT”. As such, the Reverse Stock Split has been retroactively applied to all share and per share information throughout this Quarterly Report on Form 10-Q (unless otherwise noted).</w:t>
      </w:r>
    </w:p>
    <w:p>
      <w:pPr>
        <w:spacing w:after="0" w:line="194"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In connection with the Reverse Stock Split, we effected a corresponding and proportional adjustment to our authorized shares of Common Stock, such that the 1,000,000,000 authorized shares of Common Stock, consisting of 750,000,000 shares of Class A Common Stock and 250,000,000 shares of Class V Common Stock were reduced proportionately to 40,000,000 authorized shares of Common Stock, consisting of 30,000,000 shares of Class A Common Stock and 10,000,000 shares of Class V Common Stock. The par value per share of Common Stock, the par value per share of preferred stock and the number of authorized shares of preferred stock did not change.</w:t>
      </w:r>
    </w:p>
    <w:p>
      <w:pPr>
        <w:spacing w:after="0" w:line="179"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We did not issue fractional shares in connection with the Reverse Stock Split. Stockholders who would have otherwise held fractional shares because the number of shares of Class A Common Stock they held before the Reverse Stock Split was not evenly divisible by the Reverse Stock Split Ratio received cash (without interest, and subject to any required tax withholding applicable to a holder) in lieu of such fractional shares. To maintain parity with the Class A Common Stock, holders of paired interests (each of which is a combination of one share of Class V Common Stock and one common unit of Opco and is exchangeable into a share of Class A Common Stock on a one-for-one basis) were also correspondingly adjusted for the Reverse Stock Split and paid out in cash, applying the same per-share price, for any resulting fractional interests. The aggregate cash in respect of fractional interests was not material. Immediately after the Reverse Stock Split, each stockholder’s percentage ownership interest and proportional voting power remained unchanged, except for minor changes that resulted from the treatment of fractional shares.</w:t>
      </w:r>
    </w:p>
    <w:p>
      <w:pPr>
        <w:spacing w:after="0" w:line="183" w:lineRule="exact"/>
        <w:rPr>
          <w:sz w:val="20"/>
          <w:szCs w:val="20"/>
          <w:color w:val="auto"/>
        </w:rPr>
      </w:pPr>
    </w:p>
    <w:p>
      <w:pPr>
        <w:jc w:val="both"/>
        <w:ind w:firstLine="641"/>
        <w:spacing w:after="0" w:line="309" w:lineRule="auto"/>
        <w:rPr>
          <w:sz w:val="20"/>
          <w:szCs w:val="20"/>
          <w:color w:val="auto"/>
        </w:rPr>
      </w:pPr>
      <w:r>
        <w:rPr>
          <w:rFonts w:ascii="Times New Roman" w:cs="Times New Roman" w:eastAsia="Times New Roman" w:hAnsi="Times New Roman"/>
          <w:sz w:val="18"/>
          <w:szCs w:val="18"/>
          <w:color w:val="auto"/>
        </w:rPr>
        <w:t>All of our outstanding warrants to purchase Class A Common Stock were proportionately adjusted as a result of the Reverse Stock Split in accordance with the terms of the warrants. Proportionate adjustments were also made to our employees and directors' outstanding equity awards, as well as to the number of shares issuable under our 2021 Omnibus Incentive Plan, as amended (the “2021 Omnibus Incentive Plan”).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color w:val="auto"/>
        </w:rPr>
        <w:t>February 2024 Concurrent Registered Direct Offerings</w:t>
      </w:r>
    </w:p>
    <w:p>
      <w:pPr>
        <w:spacing w:after="0" w:line="263"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On February 29, 2024, we entered into a securities purchase agreement (the “Third-Party Purchase Agreement”) with certain institutional investors (the “Third-Party Purchasers”). The consummation of the transactions contemplated by the Third-Party Purchase Agreement (the “Third-Party Closing”) occurred on March 4, 2024. At the Third-Party Closing, pursuant to the Third-Party Purchase Agreement, we issued and sold to the Third-Party Purchasers an aggregate of 1,396,701 shares of our Class A Common Stock, Class 1 Warrants (“Class 1 Warrants”) to purchase an aggregate of 922,722 shares of Class A Common Stock, Class 2 Warrants (“Class 2 Warrants”) to purchase an aggregate of 922,722 shares of Class A Common Stock and Pre-Funded Warrants (“Pre-Funded Warrants”) to purchase an aggregate of 448,742 shares of Class A Common Stock. As of the date of this report, holders have exercised all of the Pre-Funded Warrants. The offering of such securities was conducted in a registered direct offering (the “Third-Party Offering”). The purchase price of each share of Class A Common Stock and accompanying Class 1 Warrant or Class 2 Warrant (each, a “Warrant”) was $21.675 and the purchase price of each Pre-Funded Warrant and accompanying Warrant was $21.6725.</w:t>
      </w:r>
    </w:p>
    <w:p>
      <w:pPr>
        <w:spacing w:after="0" w:line="180"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In a concurrent registered direct offering with ICE (the “ICE Offering”, together with the Third-Party Purchasers offering, the "Concurrent Offerings"), we entered into a purchase agreement with ICE, pursuant to which we issued and sold to ICE an aggregate of 461,361 shares of Class A Common Stock, Class 1 Warrants to purchase an aggregate of 230,680 shares of Class A Common Stock, and Class 2 Warrants to purchase an aggregate of 230,680 shares of Class A Common Stock. The purchase price of each share of Class A Common Stock and accompanying Warrant in the ICE Offering was $21.675.</w:t>
      </w:r>
    </w:p>
    <w:p>
      <w:pPr>
        <w:spacing w:after="0" w:line="193"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In the ICE Offering, we closed the sale and issuance to ICE of 110,480 shares of Class A Common Stock, Class 1 Warrants to purchase up to 55,240 shares of Class A Common Stock and Class 2 Warrants to purchase up to 55,240 shares of Class A Common Stock, concurrently with the Third-Party Closing (the “Initial ICE Closing”). The closing of the issuance and sale of the remaining 350,880 shares of Class A Common Stock, Class 1 Warrants to purchase up to 175,440 shares of Class A Common Stock and Class 2 Warrants to purchase up to 175,440 shares of Class A Common Stock in the ICE Offering occurred on April 25, 2024, after we obtained stockholder approval for such issuances under the rules and regulations of the NYSE on April 23, 2024.</w:t>
      </w:r>
    </w:p>
    <w:p>
      <w:pPr>
        <w:spacing w:after="0" w:line="173" w:lineRule="exact"/>
        <w:rPr>
          <w:sz w:val="20"/>
          <w:szCs w:val="20"/>
          <w:color w:val="auto"/>
        </w:rPr>
      </w:pPr>
    </w:p>
    <w:p>
      <w:pPr>
        <w:jc w:val="both"/>
        <w:ind w:right="20" w:firstLine="641"/>
        <w:spacing w:after="0" w:line="326"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231F20"/>
        </w:rPr>
        <w:t>Liquidity and Capital Resources</w:t>
      </w:r>
      <w:r>
        <w:rPr>
          <w:rFonts w:ascii="Times New Roman" w:cs="Times New Roman" w:eastAsia="Times New Roman" w:hAnsi="Times New Roman"/>
          <w:sz w:val="18"/>
          <w:szCs w:val="18"/>
          <w:color w:val="231F20"/>
        </w:rPr>
        <w:t>” below for management’s assertions on the impact of the Concurrent Offerings on our going concern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considerations.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NYSE Listing Notification</w:t>
      </w:r>
    </w:p>
    <w:p>
      <w:pPr>
        <w:spacing w:after="0" w:line="26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On March 13, 2024, we were notified by NYSE that we were not in compliance with the Listing Rule because the average closing stock price of a share of our Class A Common Stock was less than $1.00 per share over a consecutive 30 trading-day period. Pursuant to the $1.00 per share minimum bid price requirement of Section 802.01C of the NYSE Listed Company Manual (the “Listing Rule”), we had six months following the NYSE notification to regain compliance with the Listing Rule, during which time our Class A Common Stock would continue to be listed on the NYSE.</w:t>
      </w:r>
    </w:p>
    <w:p>
      <w:pPr>
        <w:spacing w:after="0" w:line="191"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Under the NYSE’s rules, if a Company determines it will cure its noncompliance with the Listing Rule by taking an action that will require stockholder approval, it must so inform the NYSE, and the noncompliance with the Listing Rule will be deemed cured if the price promptly exceeds $1.00 per share and the price remains above that level for at least the following 30 trading days. On June 3, 2024, we received notice that we had regained compliance with the Listing Rule.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color w:val="auto"/>
        </w:rPr>
        <w:t>Executive Officer Transitions</w:t>
      </w:r>
    </w:p>
    <w:p>
      <w:pPr>
        <w:spacing w:after="0" w:line="263"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Effective March 25, 2024, Gavin Michael resigned as President, Chief Executive Officer and as a director of the Company, as well as from all positions held with the Company’s subsidiaries. Mr. Michael was engaged as an advisor to the Company through March 26, 2025.</w:t>
      </w:r>
    </w:p>
    <w:p>
      <w:pPr>
        <w:spacing w:after="0" w:line="177"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Andrew Main, a member of the Board, succeeded Mr. Michael and served as the Company’s President and Chief Executive Officer from March 26, 2024 until March 20, 2025, and continued to serve on the Board.</w:t>
      </w:r>
    </w:p>
    <w:p>
      <w:pPr>
        <w:spacing w:after="0" w:line="177"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Andrew Main is departing as co-Chief Executive Officer and President of the Company, effective as of August 11, 2025 (the “Separation Date”). Effective as of the Separation Date, Mr. Main will also resign from the Board of Directors. Mr. Main will serve as an advisor to the Company through the completion of the Company’s sale of the Loyalty business. The Company’s current co-Chief Executive Officer, Akshay Naheta, will serve as the Chief Executive Officer of the Company and will assume the additional title of President following Mr. Main’s separation.</w:t>
      </w:r>
    </w:p>
    <w:p>
      <w:pPr>
        <w:spacing w:after="0" w:line="191"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Effective May 22, 2024, Charles Goodroe resigned from his position as Chief Accounting Officer of the Company and Karen Alexander, the Company’s Chief Financial Officer and principal financial officer, assumed the role of the Company’s principal accounting officer until July 7, 2024. On July 8, 2024, the Company appointed Joe Henderson as Vice President, Chief Accounting Officer and principal accounting officer of the Company. Ms. Alexander has continued to serve as the Company's Chief Financial Officer since Mr. Henderson's appointment.</w:t>
      </w:r>
    </w:p>
    <w:p>
      <w:pPr>
        <w:spacing w:after="0" w:line="191"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In connection with the entrance into the Cooperation Agreement, on March 19, 2025, we appointed Akshay Naheta and Mr. Main as our Co-Chief Executive Officers, effective as of March 21, 2025. Mr. Naheta was also appointed as a member of the Board and Mr. Main continues to serve as a member of the Board and as our principal executive officer and principal operating officer, for purposes of the rules and regulations of the SEC, and will continue to have operating responsibility for our regulated subsidiary, Bakkt Crypto Solutions, LLC (“Bakkt Crypto Solutions”), until such time as Mr. Naheta has been approved by all relevant regulatory authorities to serve in such capacity.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Key Factors Affecting Our Performance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Growing Our Client Base</w:t>
      </w:r>
    </w:p>
    <w:p>
      <w:pPr>
        <w:spacing w:after="0" w:line="251"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231F20"/>
        </w:rPr>
        <w:t>Our ability to increase our revenue stream depends on our ability to grow clients on our platform. We collaborate with leading brands and have built an extensive network across numerous industries including financial institutions, merchants and travel and entertainment. To date, management has been focused on building through clients within a B2B2C model. Our goal is to provide these clients opportunities to leverage our capabilities either through their existing environment or by leveraging our platform. Our acquisition of Bakkt Crypto Solutions complements our B2B2C growth strategy by broadening our business partnerships to fintechs and neobanks.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Product Expansion and Innovation</w:t>
      </w:r>
    </w:p>
    <w:p>
      <w:pPr>
        <w:spacing w:after="0" w:line="251"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231F20"/>
        </w:rPr>
        <w:t>The crypto marketplace is rapidly evolving. We believe our ability to continue innovating our platform will increase the attractiveness of our platform to clients. Our ability to meet the capability demands of our clients will allow us to continue to grow revenue.</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231F20"/>
        </w:rPr>
        <w:t>Competition</w:t>
      </w:r>
    </w:p>
    <w:p>
      <w:pPr>
        <w:spacing w:after="0" w:line="265"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The crypto marketplace is highly competitive with numerous participants competing for the same clients. Additionally, some of our clients may seek to develop their own technology to replace their need for our platform. We believe we are well positioned with our ability to provide capabilities around emerging crypto assets on a single, highly secure, institutional-grade technology platform.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General Economic and Market Conditions</w:t>
      </w:r>
    </w:p>
    <w:p>
      <w:pPr>
        <w:spacing w:after="0" w:line="265"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 xml:space="preserve">Our performance is impacted by the strength of the overall macroeconomic environment and crypto market conditions, which are beyond our control. Negative market conditions hinder client activity, including extended decision timelines around implementing crypto strategies. See </w:t>
      </w:r>
      <w:r>
        <w:rPr>
          <w:rFonts w:ascii="Times New Roman" w:cs="Times New Roman" w:eastAsia="Times New Roman" w:hAnsi="Times New Roman"/>
          <w:sz w:val="18"/>
          <w:szCs w:val="18"/>
          <w:i w:val="1"/>
          <w:iCs w:val="1"/>
          <w:color w:val="231F20"/>
        </w:rPr>
        <w:t>"Crypto Market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Developments" </w:t>
      </w:r>
      <w:r>
        <w:rPr>
          <w:rFonts w:ascii="Times New Roman" w:cs="Times New Roman" w:eastAsia="Times New Roman" w:hAnsi="Times New Roman"/>
          <w:sz w:val="18"/>
          <w:szCs w:val="18"/>
          <w:color w:val="231F20"/>
        </w:rPr>
        <w:t>above</w:t>
      </w:r>
      <w:r>
        <w:rPr>
          <w:rFonts w:ascii="Times New Roman" w:cs="Times New Roman" w:eastAsia="Times New Roman" w:hAnsi="Times New Roman"/>
          <w:sz w:val="18"/>
          <w:szCs w:val="18"/>
          <w:i w:val="1"/>
          <w:iCs w:val="1"/>
          <w:color w:val="231F20"/>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Regulations in U.S. &amp; International Markets</w:t>
      </w:r>
    </w:p>
    <w:p>
      <w:pPr>
        <w:spacing w:after="0" w:line="265"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231F20"/>
        </w:rPr>
        <w:t>We are subject to many complex, uncertain and overlapping local, state and federal laws, rules, regulations, policies and legal interpretations (collectively, “laws and regulations”) in the markets in which we operate. These laws and regulations govern, among other things, consumer protection, privacy and data protection, labor and employment, anti-money laundering, money transmission, competition, and marketing and communications practices. These laws and regulations will likely have evolving interpretations and applications, particularly as we introduce new products and services and expand into new jurisdictions.</w:t>
      </w:r>
    </w:p>
    <w:p>
      <w:pPr>
        <w:spacing w:after="0" w:line="179" w:lineRule="exact"/>
        <w:rPr>
          <w:sz w:val="20"/>
          <w:szCs w:val="20"/>
          <w:color w:val="auto"/>
        </w:rPr>
      </w:pPr>
    </w:p>
    <w:p>
      <w:pPr>
        <w:jc w:val="both"/>
        <w:ind w:firstLine="641"/>
        <w:spacing w:after="0" w:line="309" w:lineRule="auto"/>
        <w:rPr>
          <w:sz w:val="20"/>
          <w:szCs w:val="20"/>
          <w:color w:val="auto"/>
        </w:rPr>
      </w:pPr>
      <w:r>
        <w:rPr>
          <w:rFonts w:ascii="Times New Roman" w:cs="Times New Roman" w:eastAsia="Times New Roman" w:hAnsi="Times New Roman"/>
          <w:sz w:val="18"/>
          <w:szCs w:val="18"/>
          <w:color w:val="231F20"/>
        </w:rPr>
        <w:t xml:space="preserve">We are seeking to bring trust and transparency to </w:t>
      </w:r>
      <w:r>
        <w:rPr>
          <w:rFonts w:ascii="Times New Roman" w:cs="Times New Roman" w:eastAsia="Times New Roman" w:hAnsi="Times New Roman"/>
          <w:sz w:val="18"/>
          <w:szCs w:val="18"/>
          <w:color w:val="000000"/>
        </w:rPr>
        <w:t>crypto</w:t>
      </w:r>
      <w:r>
        <w:rPr>
          <w:rFonts w:ascii="Times New Roman" w:cs="Times New Roman" w:eastAsia="Times New Roman" w:hAnsi="Times New Roman"/>
          <w:sz w:val="18"/>
          <w:szCs w:val="18"/>
          <w:color w:val="231F20"/>
        </w:rPr>
        <w:t>. We are and will continue to be subject to laws and regulations relating to the collection, use, retention, security, and transfer of information, including the personally identifiable information of our clients and all of the users in the information chain. We have developed and frequently evaluate and update our compliance models to ensure that we are complying with applicable restrictions.</w:t>
      </w:r>
    </w:p>
    <w:p>
      <w:pPr>
        <w:spacing w:after="0" w:line="162"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231F20"/>
        </w:rPr>
        <w:t>As investment continues, the intersection of technology and finance will require ongoing engagement as new applications emerge. Crypto asset and distributed ledger technology have significant, positive potential with proper collaboration between industry and regulators.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Cryptocurrency Held on Platform</w:t>
      </w:r>
    </w:p>
    <w:p>
      <w:pPr>
        <w:spacing w:after="0" w:line="265"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The Company held cryptocurrency in custodial products on its platform for client customers totaling $1,359 million at fair value as of June 30, 2025. In accordance with the SEC Staff Accounting Bulletin No. 122, these assets are not recorded in the Company’s consolidated balance sheets. Similarly, as the Company has an obligation to securely store cryptocurrency on its platform, it had a corresponding unrecorded liability of $1,335 million as of June 30, 2025. Since the risk of loss related to the obligation to safeguard crypto assets for users of its platform is remote, the Company did not record a liability for such risk of loss as of June 30, 2025 and December 31, 2024 in the Company’s consolidated balance sheets.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0C0C"/>
        </w:rPr>
        <w:t>Key Performance Indicators</w:t>
      </w:r>
    </w:p>
    <w:p>
      <w:pPr>
        <w:spacing w:after="0" w:line="265"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0C0C0C"/>
        </w:rPr>
        <w:t>We use four key performance indicators (“KPIs”) that are key to understanding our business performance, as they reflect the different ways we enable clients to engage with our platform.</w:t>
      </w:r>
    </w:p>
    <w:p>
      <w:pPr>
        <w:spacing w:after="0" w:line="173" w:lineRule="exact"/>
        <w:rPr>
          <w:sz w:val="20"/>
          <w:szCs w:val="20"/>
          <w:color w:val="auto"/>
        </w:rPr>
      </w:pPr>
    </w:p>
    <w:p>
      <w:pPr>
        <w:jc w:val="both"/>
        <w:ind w:left="960" w:hanging="312"/>
        <w:spacing w:after="0" w:line="305" w:lineRule="auto"/>
        <w:tabs>
          <w:tab w:leader="none" w:pos="95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0C0C0C"/>
        </w:rPr>
        <w:t xml:space="preserve">Transacting accounts. </w:t>
      </w:r>
      <w:r>
        <w:rPr>
          <w:rFonts w:ascii="Times New Roman" w:cs="Times New Roman" w:eastAsia="Times New Roman" w:hAnsi="Times New Roman"/>
          <w:sz w:val="17"/>
          <w:szCs w:val="17"/>
          <w:color w:val="0C0C0C"/>
        </w:rPr>
        <w:t>We define transacting accounts as unique accounts that perform transactions on our platform each month. We use</w:t>
      </w:r>
      <w:r>
        <w:rPr>
          <w:rFonts w:ascii="Times New Roman" w:cs="Times New Roman" w:eastAsia="Times New Roman" w:hAnsi="Times New Roman"/>
          <w:sz w:val="17"/>
          <w:szCs w:val="17"/>
          <w:b w:val="1"/>
          <w:bCs w:val="1"/>
          <w:i w:val="1"/>
          <w:iCs w:val="1"/>
          <w:color w:val="0C0C0C"/>
        </w:rPr>
        <w:t xml:space="preserve"> </w:t>
      </w:r>
      <w:r>
        <w:rPr>
          <w:rFonts w:ascii="Times New Roman" w:cs="Times New Roman" w:eastAsia="Times New Roman" w:hAnsi="Times New Roman"/>
          <w:sz w:val="17"/>
          <w:szCs w:val="17"/>
          <w:color w:val="0C0C0C"/>
        </w:rPr>
        <w:t>transacting accounts to reflect how users across our platform use the variety of services we offer, such as buying and selling crypto to facilitate</w:t>
      </w:r>
    </w:p>
    <w:p>
      <w:pPr>
        <w:spacing w:after="0" w:line="1" w:lineRule="exact"/>
        <w:rPr>
          <w:rFonts w:ascii="Times New Roman" w:cs="Times New Roman" w:eastAsia="Times New Roman" w:hAnsi="Times New Roman"/>
          <w:sz w:val="17"/>
          <w:szCs w:val="17"/>
          <w:color w:val="auto"/>
        </w:rPr>
      </w:pPr>
    </w:p>
    <w:p>
      <w:pPr>
        <w:ind w:left="960"/>
        <w:spacing w:after="0" w:line="30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0C0C0C"/>
        </w:rPr>
        <w:t xml:space="preserve">everyday purchases, redeeming loyalty points for travel or merchandise, or converting loyalty points to cash or gift cards. There were 0.7 million and 1.5 million unique monthly transacting accounts during the </w:t>
      </w:r>
      <w:r>
        <w:rPr>
          <w:rFonts w:ascii="Times New Roman" w:cs="Times New Roman" w:eastAsia="Times New Roman" w:hAnsi="Times New Roman"/>
          <w:sz w:val="18"/>
          <w:szCs w:val="18"/>
          <w:color w:val="000000"/>
        </w:rPr>
        <w:t>three and six months ending June 30, 2025, respectively</w:t>
      </w:r>
      <w:r>
        <w:rPr>
          <w:rFonts w:ascii="Times New Roman" w:cs="Times New Roman" w:eastAsia="Times New Roman" w:hAnsi="Times New Roman"/>
          <w:sz w:val="18"/>
          <w:szCs w:val="18"/>
          <w:color w:val="0C0C0C"/>
        </w:rPr>
        <w:t>.</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58" w:name="page59"/>
    <w:bookmarkEnd w:id="58"/>
    <w:p>
      <w:pPr>
        <w:ind w:left="312" w:hanging="312"/>
        <w:spacing w:after="0"/>
        <w:tabs>
          <w:tab w:leader="none" w:pos="312" w:val="left"/>
        </w:tabs>
        <w:numPr>
          <w:ilvl w:val="0"/>
          <w:numId w:val="36"/>
        </w:numPr>
        <w:rPr>
          <w:rFonts w:ascii="Times New Roman" w:cs="Times New Roman" w:eastAsia="Times New Roman" w:hAnsi="Times New Roman"/>
          <w:sz w:val="17"/>
          <w:szCs w:val="17"/>
          <w:color w:val="0C0C0C"/>
        </w:rPr>
      </w:pPr>
      <w:r>
        <w:rPr>
          <w:rFonts w:ascii="Times New Roman" w:cs="Times New Roman" w:eastAsia="Times New Roman" w:hAnsi="Times New Roman"/>
          <w:sz w:val="17"/>
          <w:szCs w:val="17"/>
          <w:b w:val="1"/>
          <w:bCs w:val="1"/>
          <w:i w:val="1"/>
          <w:iCs w:val="1"/>
          <w:color w:val="auto"/>
        </w:rPr>
        <w:t xml:space="preserve">Notional traded volume. </w:t>
      </w:r>
      <w:r>
        <w:rPr>
          <w:rFonts w:ascii="Times New Roman" w:cs="Times New Roman" w:eastAsia="Times New Roman" w:hAnsi="Times New Roman"/>
          <w:sz w:val="17"/>
          <w:szCs w:val="17"/>
          <w:color w:val="0C0C0C"/>
        </w:rPr>
        <w:t>We define notional traded volume as the total notional volume of transactions across crypto and loyalty platforms. The</w:t>
      </w:r>
    </w:p>
    <w:p>
      <w:pPr>
        <w:spacing w:after="0" w:line="62" w:lineRule="exact"/>
        <w:rPr>
          <w:rFonts w:ascii="Times New Roman" w:cs="Times New Roman" w:eastAsia="Times New Roman" w:hAnsi="Times New Roman"/>
          <w:sz w:val="17"/>
          <w:szCs w:val="17"/>
          <w:color w:val="0C0C0C"/>
        </w:rPr>
      </w:pPr>
    </w:p>
    <w:p>
      <w:pPr>
        <w:ind w:left="312" w:right="20"/>
        <w:spacing w:after="0" w:line="308" w:lineRule="auto"/>
        <w:rPr>
          <w:rFonts w:ascii="Times New Roman" w:cs="Times New Roman" w:eastAsia="Times New Roman" w:hAnsi="Times New Roman"/>
          <w:sz w:val="17"/>
          <w:szCs w:val="17"/>
          <w:color w:val="0C0C0C"/>
        </w:rPr>
      </w:pPr>
      <w:r>
        <w:rPr>
          <w:rFonts w:ascii="Times New Roman" w:cs="Times New Roman" w:eastAsia="Times New Roman" w:hAnsi="Times New Roman"/>
          <w:sz w:val="18"/>
          <w:szCs w:val="18"/>
          <w:color w:val="0C0C0C"/>
        </w:rPr>
        <w:t xml:space="preserve">figures we use represent gross values recorded as of the order date. Notional traded volumes were $733.0 million and $1,946 million during the </w:t>
      </w:r>
      <w:r>
        <w:rPr>
          <w:rFonts w:ascii="Times New Roman" w:cs="Times New Roman" w:eastAsia="Times New Roman" w:hAnsi="Times New Roman"/>
          <w:sz w:val="18"/>
          <w:szCs w:val="18"/>
          <w:color w:val="000000"/>
        </w:rPr>
        <w:t>three and six months ending June 30, 2025, respectively</w:t>
      </w:r>
      <w:r>
        <w:rPr>
          <w:rFonts w:ascii="Times New Roman" w:cs="Times New Roman" w:eastAsia="Times New Roman" w:hAnsi="Times New Roman"/>
          <w:sz w:val="18"/>
          <w:szCs w:val="18"/>
          <w:color w:val="0C0C0C"/>
        </w:rPr>
        <w:t>.</w:t>
      </w:r>
    </w:p>
    <w:p>
      <w:pPr>
        <w:spacing w:after="0" w:line="172" w:lineRule="exact"/>
        <w:rPr>
          <w:rFonts w:ascii="Times New Roman" w:cs="Times New Roman" w:eastAsia="Times New Roman" w:hAnsi="Times New Roman"/>
          <w:sz w:val="17"/>
          <w:szCs w:val="17"/>
          <w:color w:val="0C0C0C"/>
        </w:rPr>
      </w:pPr>
    </w:p>
    <w:p>
      <w:pPr>
        <w:jc w:val="both"/>
        <w:ind w:left="312" w:hanging="312"/>
        <w:spacing w:after="0" w:line="303" w:lineRule="auto"/>
        <w:tabs>
          <w:tab w:leader="none" w:pos="307" w:val="left"/>
        </w:tabs>
        <w:numPr>
          <w:ilvl w:val="0"/>
          <w:numId w:val="36"/>
        </w:numPr>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b w:val="1"/>
          <w:bCs w:val="1"/>
          <w:i w:val="1"/>
          <w:iCs w:val="1"/>
          <w:color w:val="auto"/>
        </w:rPr>
        <w:t xml:space="preserve">Assets under custody. </w:t>
      </w:r>
      <w:r>
        <w:rPr>
          <w:rFonts w:ascii="Times New Roman" w:cs="Times New Roman" w:eastAsia="Times New Roman" w:hAnsi="Times New Roman"/>
          <w:sz w:val="18"/>
          <w:szCs w:val="18"/>
          <w:color w:val="0C0C0C"/>
        </w:rPr>
        <w:t>We define assets under custody as the sum of coin quantities held by customers multiplied by the final quote for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0C0C0C"/>
        </w:rPr>
        <w:t xml:space="preserve">coin on the last day of the period. Assets under custody were $1,335.0 and $2,301.9 million </w:t>
      </w:r>
      <w:r>
        <w:rPr>
          <w:rFonts w:ascii="Times New Roman" w:cs="Times New Roman" w:eastAsia="Times New Roman" w:hAnsi="Times New Roman"/>
          <w:sz w:val="18"/>
          <w:szCs w:val="18"/>
          <w:color w:val="000000"/>
        </w:rPr>
        <w:t>as of June 30, 2025 and December 31, 2024,</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color w:val="000000"/>
        </w:rPr>
        <w:t>respectively.</w:t>
      </w:r>
    </w:p>
    <w:p>
      <w:pPr>
        <w:spacing w:after="0" w:line="200" w:lineRule="exact"/>
        <w:rPr>
          <w:sz w:val="20"/>
          <w:szCs w:val="20"/>
          <w:color w:val="auto"/>
        </w:rPr>
      </w:pPr>
    </w:p>
    <w:p>
      <w:pPr>
        <w:spacing w:after="0" w:line="356" w:lineRule="exact"/>
        <w:rPr>
          <w:sz w:val="20"/>
          <w:szCs w:val="20"/>
          <w:color w:val="auto"/>
        </w:rPr>
      </w:pPr>
    </w:p>
    <w:p>
      <w:pPr>
        <w:ind w:left="4892"/>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53975</wp:posOffset>
            </wp:positionV>
            <wp:extent cx="71589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0592"/>
          </w:cols>
          <w:pgMar w:left="968" w:top="114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224" w:lineRule="exact"/>
        <w:rPr>
          <w:sz w:val="20"/>
          <w:szCs w:val="20"/>
          <w:color w:val="auto"/>
        </w:rPr>
      </w:pPr>
    </w:p>
    <w:p>
      <w:pPr>
        <w:ind w:firstLine="641"/>
        <w:spacing w:after="0" w:line="277" w:lineRule="auto"/>
        <w:rPr>
          <w:sz w:val="20"/>
          <w:szCs w:val="20"/>
          <w:color w:val="auto"/>
        </w:rPr>
      </w:pPr>
      <w:r>
        <w:rPr>
          <w:rFonts w:ascii="Times New Roman" w:cs="Times New Roman" w:eastAsia="Times New Roman" w:hAnsi="Times New Roman"/>
          <w:sz w:val="18"/>
          <w:szCs w:val="18"/>
          <w:color w:val="231F20"/>
        </w:rPr>
        <w:t xml:space="preserve">The following table is our consolidated statements of operations </w:t>
      </w:r>
      <w:r>
        <w:rPr>
          <w:rFonts w:ascii="Times New Roman" w:cs="Times New Roman" w:eastAsia="Times New Roman" w:hAnsi="Times New Roman"/>
          <w:sz w:val="18"/>
          <w:szCs w:val="18"/>
          <w:color w:val="000000"/>
        </w:rPr>
        <w:t>for the three and six months ended June 30, 2025 and June 30, 2024, respectively</w:t>
      </w:r>
      <w:r>
        <w:rPr>
          <w:rFonts w:ascii="Times New Roman" w:cs="Times New Roman" w:eastAsia="Times New Roman" w:hAnsi="Times New Roman"/>
          <w:sz w:val="18"/>
          <w:szCs w:val="18"/>
          <w:color w:val="231F20"/>
        </w:rPr>
        <w:t xml:space="preserve"> (in thousands,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6"/>
                <w:szCs w:val="16"/>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c>
          <w:tcPr>
            <w:tcW w:w="120" w:type="dxa"/>
            <w:vAlign w:val="bottom"/>
          </w:tcPr>
          <w:p>
            <w:pPr>
              <w:spacing w:after="0"/>
              <w:rPr>
                <w:sz w:val="16"/>
                <w:szCs w:val="16"/>
                <w:color w:val="auto"/>
              </w:rPr>
            </w:pPr>
          </w:p>
        </w:tc>
        <w:tc>
          <w:tcPr>
            <w:tcW w:w="1400" w:type="dxa"/>
            <w:vAlign w:val="bottom"/>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r>
      <w:tr>
        <w:trPr>
          <w:trHeight w:val="211"/>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June 30, 2025</w:t>
            </w:r>
          </w:p>
        </w:tc>
        <w:tc>
          <w:tcPr>
            <w:tcW w:w="120" w:type="dxa"/>
            <w:vAlign w:val="bottom"/>
          </w:tcPr>
          <w:p>
            <w:pPr>
              <w:spacing w:after="0"/>
              <w:rPr>
                <w:sz w:val="18"/>
                <w:szCs w:val="18"/>
                <w:color w:val="auto"/>
              </w:rPr>
            </w:pPr>
          </w:p>
        </w:tc>
        <w:tc>
          <w:tcPr>
            <w:tcW w:w="140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194"/>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r>
      <w:tr>
        <w:trPr>
          <w:trHeight w:val="216"/>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Crypto services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568,103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497,141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1,633,859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1,338,481</w:t>
            </w:r>
          </w:p>
        </w:tc>
      </w:tr>
      <w:tr>
        <w:trPr>
          <w:trHeight w:val="211"/>
        </w:trPr>
        <w:tc>
          <w:tcPr>
            <w:tcW w:w="4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Loyalty services, net</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9,779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18,933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25,999</w:t>
            </w:r>
          </w:p>
        </w:tc>
      </w:tr>
      <w:tr>
        <w:trPr>
          <w:trHeight w:val="210"/>
        </w:trPr>
        <w:tc>
          <w:tcPr>
            <w:tcW w:w="4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577,882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509,898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1,652,792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1,364,480</w:t>
            </w:r>
          </w:p>
        </w:tc>
      </w:tr>
      <w:tr>
        <w:trPr>
          <w:trHeight w:val="211"/>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Crypto costs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561,074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491,701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1,615,709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1,323,673</w:t>
            </w:r>
          </w:p>
        </w:tc>
      </w:tr>
      <w:tr>
        <w:trPr>
          <w:trHeight w:val="211"/>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Execution, clearing and brokerage fees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9,022</w:t>
            </w:r>
          </w:p>
        </w:tc>
      </w:tr>
      <w:tr>
        <w:trPr>
          <w:trHeight w:val="216"/>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37,943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46,912</w:t>
            </w:r>
          </w:p>
        </w:tc>
      </w:tr>
      <w:tr>
        <w:trPr>
          <w:trHeight w:val="211"/>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Professional services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7,274</w:t>
            </w:r>
          </w:p>
        </w:tc>
      </w:tr>
      <w:tr>
        <w:trPr>
          <w:trHeight w:val="216"/>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Technology and communication</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9,423</w:t>
            </w:r>
          </w:p>
        </w:tc>
      </w:tr>
      <w:tr>
        <w:trPr>
          <w:trHeight w:val="211"/>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13,326</w:t>
            </w:r>
          </w:p>
        </w:tc>
      </w:tr>
      <w:tr>
        <w:trPr>
          <w:trHeight w:val="216"/>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11"/>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Related party expenses</w:t>
            </w: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16"/>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r>
      <w:tr>
        <w:trPr>
          <w:trHeight w:val="211"/>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Restructuring expenses</w:t>
            </w: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7,067</w:t>
            </w:r>
          </w:p>
        </w:tc>
      </w:tr>
      <w:tr>
        <w:trPr>
          <w:trHeight w:val="216"/>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r>
      <w:tr>
        <w:trPr>
          <w:trHeight w:val="205"/>
        </w:trPr>
        <w:tc>
          <w:tcPr>
            <w:tcW w:w="49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596,371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531,915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1,689,801</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1,418,334</w:t>
            </w:r>
          </w:p>
        </w:tc>
      </w:tr>
      <w:tr>
        <w:trPr>
          <w:trHeight w:val="21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(53,854)</w:t>
            </w:r>
          </w:p>
        </w:tc>
      </w:tr>
      <w:tr>
        <w:trPr>
          <w:trHeight w:val="211"/>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net</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w:t>
            </w:r>
          </w:p>
        </w:tc>
      </w:tr>
      <w:tr>
        <w:trPr>
          <w:trHeight w:val="216"/>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gain from change in fair value of warrant liability</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(6,068)</w:t>
            </w:r>
          </w:p>
        </w:tc>
      </w:tr>
      <w:tr>
        <w:trPr>
          <w:trHeight w:val="211"/>
        </w:trPr>
        <w:tc>
          <w:tcPr>
            <w:tcW w:w="4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1,164</w:t>
            </w:r>
          </w:p>
        </w:tc>
      </w:tr>
      <w:tr>
        <w:trPr>
          <w:trHeight w:val="21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(56,557)</w:t>
            </w:r>
          </w:p>
        </w:tc>
      </w:tr>
      <w:tr>
        <w:trPr>
          <w:trHeight w:val="211"/>
        </w:trPr>
        <w:tc>
          <w:tcPr>
            <w:tcW w:w="4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21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(56,787)</w:t>
            </w:r>
          </w:p>
        </w:tc>
      </w:tr>
      <w:tr>
        <w:trPr>
          <w:trHeight w:val="211"/>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loss attributable to noncontrolling interest</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(15,418)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(19,088)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(6,889)</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(32,198)</w:t>
            </w:r>
          </w:p>
        </w:tc>
      </w:tr>
      <w:tr>
        <w:trPr>
          <w:trHeight w:val="235"/>
        </w:trPr>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Bakkt Holdings, Inc.</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(14,734)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(24,589)</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4"/>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4"/>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attributable to Class A Common Stockholders: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1"/>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r>
      <w:tr>
        <w:trPr>
          <w:trHeight w:val="216"/>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r>
    </w:tbl>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Three Months Ended June 30, 2025 compared to Three Months Ended June 30, 2024</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Financial Summary</w:t>
      </w: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231F20"/>
        </w:rPr>
        <w:t>The three months ended June 30, 2025 included the following notable items relative to the three months ended June 30, 2024:</w:t>
      </w:r>
    </w:p>
    <w:p>
      <w:pPr>
        <w:spacing w:after="0" w:line="247" w:lineRule="exact"/>
        <w:rPr>
          <w:sz w:val="20"/>
          <w:szCs w:val="20"/>
          <w:color w:val="auto"/>
        </w:rPr>
      </w:pPr>
    </w:p>
    <w:p>
      <w:pPr>
        <w:ind w:left="960" w:hanging="312"/>
        <w:spacing w:after="0"/>
        <w:tabs>
          <w:tab w:leader="none" w:pos="960" w:val="left"/>
        </w:tabs>
        <w:numPr>
          <w:ilvl w:val="0"/>
          <w:numId w:val="3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Revenue increased </w:t>
      </w:r>
      <w:r>
        <w:rPr>
          <w:rFonts w:ascii="Times New Roman" w:cs="Times New Roman" w:eastAsia="Times New Roman" w:hAnsi="Times New Roman"/>
          <w:sz w:val="18"/>
          <w:szCs w:val="18"/>
          <w:color w:val="000000"/>
        </w:rPr>
        <w:t>$68.0 million</w:t>
      </w:r>
      <w:r>
        <w:rPr>
          <w:rFonts w:ascii="Times New Roman" w:cs="Times New Roman" w:eastAsia="Times New Roman" w:hAnsi="Times New Roman"/>
          <w:sz w:val="18"/>
          <w:szCs w:val="18"/>
          <w:color w:val="231F20"/>
        </w:rPr>
        <w:t xml:space="preserve"> primarily driven by an increase in crypto trading volume compared to the prior year </w:t>
      </w:r>
      <w:r>
        <w:rPr>
          <w:rFonts w:ascii="Times New Roman" w:cs="Times New Roman" w:eastAsia="Times New Roman" w:hAnsi="Times New Roman"/>
          <w:sz w:val="18"/>
          <w:szCs w:val="18"/>
          <w:color w:val="000000"/>
        </w:rPr>
        <w:t>second</w:t>
      </w:r>
      <w:r>
        <w:rPr>
          <w:rFonts w:ascii="Times New Roman" w:cs="Times New Roman" w:eastAsia="Times New Roman" w:hAnsi="Times New Roman"/>
          <w:sz w:val="18"/>
          <w:szCs w:val="18"/>
          <w:color w:val="231F20"/>
        </w:rPr>
        <w:t xml:space="preserve"> quarter; and</w:t>
      </w:r>
    </w:p>
    <w:p>
      <w:pPr>
        <w:spacing w:after="0" w:line="260" w:lineRule="exact"/>
        <w:rPr>
          <w:rFonts w:ascii="Times New Roman" w:cs="Times New Roman" w:eastAsia="Times New Roman" w:hAnsi="Times New Roman"/>
          <w:sz w:val="18"/>
          <w:szCs w:val="18"/>
          <w:color w:val="231F20"/>
        </w:rPr>
      </w:pPr>
    </w:p>
    <w:p>
      <w:pPr>
        <w:ind w:left="960" w:hanging="312"/>
        <w:spacing w:after="0" w:line="308" w:lineRule="auto"/>
        <w:tabs>
          <w:tab w:leader="none" w:pos="9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Operating expenses increased </w:t>
      </w:r>
      <w:r>
        <w:rPr>
          <w:rFonts w:ascii="Times New Roman" w:cs="Times New Roman" w:eastAsia="Times New Roman" w:hAnsi="Times New Roman"/>
          <w:sz w:val="18"/>
          <w:szCs w:val="18"/>
          <w:color w:val="000000"/>
        </w:rPr>
        <w:t>$64.5 million</w:t>
      </w:r>
      <w:r>
        <w:rPr>
          <w:rFonts w:ascii="Times New Roman" w:cs="Times New Roman" w:eastAsia="Times New Roman" w:hAnsi="Times New Roman"/>
          <w:sz w:val="18"/>
          <w:szCs w:val="18"/>
          <w:color w:val="231F20"/>
        </w:rPr>
        <w:t xml:space="preserve"> primarily driven by higher crypto trading costs in connection with higher crypto trading volume compared to the prior year third quarter.</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60" w:name="page61"/>
    <w:bookmarkEnd w:id="60"/>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Revenue</w:t>
      </w:r>
    </w:p>
    <w:p>
      <w:pPr>
        <w:spacing w:after="0" w:line="265" w:lineRule="exact"/>
        <w:rPr>
          <w:sz w:val="20"/>
          <w:szCs w:val="20"/>
          <w:color w:val="auto"/>
        </w:rPr>
      </w:pPr>
    </w:p>
    <w:p>
      <w:pPr>
        <w:ind w:firstLine="641"/>
        <w:spacing w:after="0" w:line="308" w:lineRule="auto"/>
        <w:rPr>
          <w:sz w:val="20"/>
          <w:szCs w:val="20"/>
          <w:color w:val="auto"/>
        </w:rPr>
      </w:pPr>
      <w:r>
        <w:rPr>
          <w:rFonts w:ascii="Times New Roman" w:cs="Times New Roman" w:eastAsia="Times New Roman" w:hAnsi="Times New Roman"/>
          <w:sz w:val="18"/>
          <w:szCs w:val="18"/>
          <w:color w:val="auto"/>
        </w:rPr>
        <w:t>Revenues consist of crypto and loyalty revenue. We earn revenue when consumers use our services to buy, sell, and store crypto and redeem loyalty points. We generate revenue across our platform in the following key areas:</w:t>
      </w:r>
    </w:p>
    <w:p>
      <w:pPr>
        <w:spacing w:after="0" w:line="177" w:lineRule="exact"/>
        <w:rPr>
          <w:sz w:val="20"/>
          <w:szCs w:val="20"/>
          <w:color w:val="auto"/>
        </w:rPr>
      </w:pPr>
    </w:p>
    <w:p>
      <w:pPr>
        <w:ind w:left="960" w:hanging="312"/>
        <w:spacing w:after="0" w:line="308" w:lineRule="auto"/>
        <w:tabs>
          <w:tab w:leader="none" w:pos="9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and service revenue. We receive a recurring subscription revenue stream from client platform fees as well as service revenue from software development fees and call center support.</w:t>
      </w:r>
    </w:p>
    <w:p>
      <w:pPr>
        <w:spacing w:after="0" w:line="176" w:lineRule="exact"/>
        <w:rPr>
          <w:rFonts w:ascii="Times New Roman" w:cs="Times New Roman" w:eastAsia="Times New Roman" w:hAnsi="Times New Roman"/>
          <w:sz w:val="18"/>
          <w:szCs w:val="18"/>
          <w:color w:val="auto"/>
        </w:rPr>
      </w:pPr>
    </w:p>
    <w:p>
      <w:pPr>
        <w:jc w:val="both"/>
        <w:ind w:left="960" w:hanging="312"/>
        <w:spacing w:after="0" w:line="301" w:lineRule="auto"/>
        <w:tabs>
          <w:tab w:leader="none" w:pos="9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revenue. We generate transaction revenue from crypto buy/sell trades where we earn a spread on both legs of the transaction (reported gross) and through loyalty redemption volumes where we receive a percentage fee based on the volume (reported net of associated costs).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Crypto Services Revenue</w:t>
            </w:r>
          </w:p>
        </w:tc>
        <w:tc>
          <w:tcPr>
            <w:tcW w:w="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2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Three Months Ended June</w:t>
            </w:r>
          </w:p>
        </w:tc>
        <w:tc>
          <w:tcPr>
            <w:tcW w:w="180" w:type="dxa"/>
            <w:vAlign w:val="bottom"/>
          </w:tcPr>
          <w:p>
            <w:pPr>
              <w:spacing w:after="0"/>
              <w:rPr>
                <w:sz w:val="19"/>
                <w:szCs w:val="19"/>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8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0"/>
        </w:trPr>
        <w:tc>
          <w:tcPr>
            <w:tcW w:w="390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Crypto services</w:t>
            </w:r>
          </w:p>
        </w:tc>
        <w:tc>
          <w:tcPr>
            <w:tcW w:w="46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568,103</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497,141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70,962</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231F20"/>
        </w:rPr>
        <w:t xml:space="preserve">Crypto services revenue increased by </w:t>
      </w:r>
      <w:r>
        <w:rPr>
          <w:rFonts w:ascii="Times New Roman" w:cs="Times New Roman" w:eastAsia="Times New Roman" w:hAnsi="Times New Roman"/>
          <w:sz w:val="18"/>
          <w:szCs w:val="18"/>
          <w:color w:val="000000"/>
        </w:rPr>
        <w:t>$71.0 million, or 14.3%,</w:t>
      </w:r>
      <w:r>
        <w:rPr>
          <w:rFonts w:ascii="Times New Roman" w:cs="Times New Roman" w:eastAsia="Times New Roman" w:hAnsi="Times New Roman"/>
          <w:sz w:val="18"/>
          <w:szCs w:val="18"/>
          <w:color w:val="231F20"/>
        </w:rPr>
        <w:t xml:space="preserve"> for the three months ended June 30, 2025 compared to the three months ended June 30, 2024. The increase was primarily driven by improved market trading volume for crypto as compared to the prior year </w:t>
      </w:r>
      <w:r>
        <w:rPr>
          <w:rFonts w:ascii="Times New Roman" w:cs="Times New Roman" w:eastAsia="Times New Roman" w:hAnsi="Times New Roman"/>
          <w:sz w:val="18"/>
          <w:szCs w:val="18"/>
          <w:color w:val="000000"/>
        </w:rPr>
        <w:t>second</w:t>
      </w:r>
      <w:r>
        <w:rPr>
          <w:rFonts w:ascii="Times New Roman" w:cs="Times New Roman" w:eastAsia="Times New Roman" w:hAnsi="Times New Roman"/>
          <w:sz w:val="18"/>
          <w:szCs w:val="18"/>
          <w:color w:val="231F20"/>
        </w:rPr>
        <w:t xml:space="preserve"> quarter.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Loyalty Services Revenue</w:t>
            </w:r>
          </w:p>
        </w:tc>
        <w:tc>
          <w:tcPr>
            <w:tcW w:w="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Three Months Ended June</w:t>
            </w:r>
          </w:p>
        </w:tc>
        <w:tc>
          <w:tcPr>
            <w:tcW w:w="2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88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2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20"/>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Loyalty services, net</w:t>
            </w:r>
          </w:p>
        </w:tc>
        <w:tc>
          <w:tcPr>
            <w:tcW w:w="46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9,779</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 xml:space="preserve">Loyalty services revenue decreased by </w:t>
      </w:r>
      <w:r>
        <w:rPr>
          <w:rFonts w:ascii="Times New Roman" w:cs="Times New Roman" w:eastAsia="Times New Roman" w:hAnsi="Times New Roman"/>
          <w:sz w:val="18"/>
          <w:szCs w:val="18"/>
          <w:color w:val="000000"/>
        </w:rPr>
        <w:t>$3.0 million</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color w:val="000000"/>
        </w:rPr>
        <w:t>(23.3%)</w:t>
      </w:r>
      <w:r>
        <w:rPr>
          <w:rFonts w:ascii="Times New Roman" w:cs="Times New Roman" w:eastAsia="Times New Roman" w:hAnsi="Times New Roman"/>
          <w:sz w:val="18"/>
          <w:szCs w:val="18"/>
          <w:color w:val="231F20"/>
        </w:rPr>
        <w:t>, for the three months ended June 30, 2025 compared to the three months ended June 30, 2024. The decrease was primarily related to a $0.8 million reduction in transaction revenue and a $2.2 million decrease in subscription and services revenue.</w:t>
      </w:r>
    </w:p>
    <w:p>
      <w:pPr>
        <w:spacing w:after="0" w:line="16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Operating Expenses</w:t>
      </w:r>
    </w:p>
    <w:p>
      <w:pPr>
        <w:spacing w:after="0" w:line="265"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Operating expenses consist of crypto costs, execution, clearing and brokerage fees, compensation and benefits, professional services, technology and communication expenses, selling, general and administrative expenses, acquisition-related expenses, depreciation and amortization, related party expenses, goodwill and intangible assets impairments, impairment of long-lived assets, restructuring charges, and other operating expenses.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Crypto Costs</w:t>
            </w:r>
          </w:p>
        </w:tc>
        <w:tc>
          <w:tcPr>
            <w:tcW w:w="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2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Three Months Ended June</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8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0"/>
        </w:trPr>
        <w:tc>
          <w:tcPr>
            <w:tcW w:w="390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Crypto costs</w:t>
            </w:r>
          </w:p>
        </w:tc>
        <w:tc>
          <w:tcPr>
            <w:tcW w:w="46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561,074</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491,701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69,373</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 xml:space="preserve">Crypto costs represent the gross value of crypto sold by our customers on our platform. These costs are measured at the executed price at the time of the trade. Crypto costs increased by </w:t>
      </w:r>
      <w:r>
        <w:rPr>
          <w:rFonts w:ascii="Times New Roman" w:cs="Times New Roman" w:eastAsia="Times New Roman" w:hAnsi="Times New Roman"/>
          <w:sz w:val="18"/>
          <w:szCs w:val="18"/>
          <w:color w:val="000000"/>
        </w:rPr>
        <w:t>$69.4 million</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color w:val="000000"/>
        </w:rPr>
        <w:t>14.1%,</w:t>
      </w:r>
      <w:r>
        <w:rPr>
          <w:rFonts w:ascii="Times New Roman" w:cs="Times New Roman" w:eastAsia="Times New Roman" w:hAnsi="Times New Roman"/>
          <w:sz w:val="18"/>
          <w:szCs w:val="18"/>
          <w:color w:val="231F20"/>
        </w:rPr>
        <w:t xml:space="preserve"> for the three months ended June 30, 2025 compared to the three months ended June 30, 2024. The increase reflects improved crypto market trading relative to the prior year </w:t>
      </w:r>
      <w:r>
        <w:rPr>
          <w:rFonts w:ascii="Times New Roman" w:cs="Times New Roman" w:eastAsia="Times New Roman" w:hAnsi="Times New Roman"/>
          <w:sz w:val="18"/>
          <w:szCs w:val="18"/>
          <w:color w:val="000000"/>
        </w:rPr>
        <w:t>second</w:t>
      </w:r>
      <w:r>
        <w:rPr>
          <w:rFonts w:ascii="Times New Roman" w:cs="Times New Roman" w:eastAsia="Times New Roman" w:hAnsi="Times New Roman"/>
          <w:sz w:val="18"/>
          <w:szCs w:val="18"/>
          <w:color w:val="231F20"/>
        </w:rPr>
        <w:t xml:space="preserve"> quarter.</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7"/>
        </w:trPr>
        <w:tc>
          <w:tcPr>
            <w:tcW w:w="39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Execution, Clearing and Brokerage Fees</w:t>
            </w:r>
          </w:p>
        </w:tc>
        <w:tc>
          <w:tcPr>
            <w:tcW w:w="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2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Three Months Ended June</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8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0"/>
        </w:trPr>
        <w:tc>
          <w:tcPr>
            <w:tcW w:w="390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Execution, clearing and brokerage fees</w:t>
            </w:r>
          </w:p>
        </w:tc>
        <w:tc>
          <w:tcPr>
            <w:tcW w:w="46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 xml:space="preserve">Execution, clearing and brokerage fees primarily represent payments to clients in exchange for driving order flow to our platform. Execution, clearing and brokerage fees increased by </w:t>
      </w:r>
      <w:r>
        <w:rPr>
          <w:rFonts w:ascii="Times New Roman" w:cs="Times New Roman" w:eastAsia="Times New Roman" w:hAnsi="Times New Roman"/>
          <w:sz w:val="18"/>
          <w:szCs w:val="18"/>
          <w:color w:val="000000"/>
        </w:rPr>
        <w:t>$0.7 million</w:t>
      </w:r>
      <w:r>
        <w:rPr>
          <w:rFonts w:ascii="Times New Roman" w:cs="Times New Roman" w:eastAsia="Times New Roman" w:hAnsi="Times New Roman"/>
          <w:sz w:val="18"/>
          <w:szCs w:val="18"/>
          <w:color w:val="231F20"/>
        </w:rPr>
        <w:t xml:space="preserve"> during the three months ended June 30, 2025. The increase reflects increased crypto transaction volume as described above.</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Compensation and Benefits</w:t>
            </w: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22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Three Months Ended June</w:t>
            </w:r>
          </w:p>
        </w:tc>
        <w:tc>
          <w:tcPr>
            <w:tcW w:w="200" w:type="dxa"/>
            <w:vAlign w:val="bottom"/>
          </w:tcPr>
          <w:p>
            <w:pPr>
              <w:spacing w:after="0"/>
              <w:rPr>
                <w:sz w:val="24"/>
                <w:szCs w:val="24"/>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6"/>
        </w:trPr>
        <w:tc>
          <w:tcPr>
            <w:tcW w:w="390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44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(2,257)</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231F20"/>
        </w:rPr>
        <w:t>Compensation and benefits expense include all salaries and benefits, compensation for contract labor, incentive programs for employees, payroll taxes, share-based and unit-based compensation and other employee related costs.</w:t>
      </w:r>
    </w:p>
    <w:p>
      <w:pPr>
        <w:spacing w:after="0" w:line="149"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We have restructured our personnel to reduce headcount and adjusted our expense base to better align with our operational priorities and business strategy. We expect to continue to limit future hiring and further optimize our headcount as we complete development projects on our platform. Compensation and benefits expense is a significant component of our operating expenses, and we expect this will continue to be the case. However, we expect that our compensation and benefits expenses will decrease as a percentage of our revenue over time.</w:t>
      </w:r>
    </w:p>
    <w:p>
      <w:pPr>
        <w:spacing w:after="0" w:line="171"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Compensation and benefits decreased by $2.3 million, or 10.1%, for the three months ended June 30, 2025 compared to the three months ended June 30, 2024. The decrease was primarily due to decreases of $6.2 million in salaries and wages, and bonuses, slightly offset by an increase of $3.9 million in non-cash compensation.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Professional Services</w:t>
            </w:r>
          </w:p>
        </w:tc>
        <w:tc>
          <w:tcPr>
            <w:tcW w:w="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Three Months Ended June</w:t>
            </w:r>
          </w:p>
        </w:tc>
        <w:tc>
          <w:tcPr>
            <w:tcW w:w="2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8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6"/>
        </w:trPr>
        <w:tc>
          <w:tcPr>
            <w:tcW w:w="392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46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4,069</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 xml:space="preserve">Professional services expense includes fees for accounting, legal and regulatory fees. Professional services increased by $0.4 million, or </w:t>
      </w:r>
      <w:r>
        <w:rPr>
          <w:rFonts w:ascii="Times New Roman" w:cs="Times New Roman" w:eastAsia="Times New Roman" w:hAnsi="Times New Roman"/>
          <w:sz w:val="18"/>
          <w:szCs w:val="18"/>
          <w:color w:val="000000"/>
        </w:rPr>
        <w:t>11.8%</w:t>
      </w:r>
      <w:r>
        <w:rPr>
          <w:rFonts w:ascii="Times New Roman" w:cs="Times New Roman" w:eastAsia="Times New Roman" w:hAnsi="Times New Roman"/>
          <w:sz w:val="18"/>
          <w:szCs w:val="18"/>
          <w:color w:val="231F20"/>
        </w:rPr>
        <w:t>, for the three months ended June 30, 2025 compared to the three months ended June 30, 2024. The increase was primarily due to an increase in strategic and transformational initiatives and transaction activity during the three months ended June 30, 2025.</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Technology and Communication</w:t>
            </w: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22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Three Months Ended June</w:t>
            </w:r>
          </w:p>
        </w:tc>
        <w:tc>
          <w:tcPr>
            <w:tcW w:w="200" w:type="dxa"/>
            <w:vAlign w:val="bottom"/>
          </w:tcPr>
          <w:p>
            <w:pPr>
              <w:spacing w:after="0"/>
              <w:rPr>
                <w:sz w:val="24"/>
                <w:szCs w:val="24"/>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0"/>
        </w:trPr>
        <w:tc>
          <w:tcPr>
            <w:tcW w:w="390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communication</w:t>
            </w:r>
          </w:p>
        </w:tc>
        <w:tc>
          <w:tcPr>
            <w:tcW w:w="44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231F20"/>
        </w:rPr>
        <w:t>Technology and communication costs represent all non-headcount related costs to deliver technological solutions. Such costs principally include amounts paid for software licenses and software-as-a-service arrangements utilized for operating, administrative and information security activities, fees paid for third-party data center hosting arrangements, and fees paid to telecommunications service providers and for telecommunication software platforms necessary for operation of</w:t>
      </w:r>
    </w:p>
    <w:p>
      <w:pPr>
        <w:sectPr>
          <w:pgSz w:w="11900" w:h="16838" w:orient="portrait"/>
          <w:cols w:equalWidth="0" w:num="1">
            <w:col w:w="11240"/>
          </w:cols>
          <w:pgMar w:left="320" w:top="1146" w:right="339" w:bottom="1440" w:gutter="0" w:footer="0" w:header="0"/>
        </w:sect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46"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231F20"/>
        </w:rPr>
        <w:t>our customer support operations. These costs are driven by client requirements, system capacity, functionality and redundancy requirements.</w:t>
      </w:r>
    </w:p>
    <w:p>
      <w:pPr>
        <w:spacing w:after="0" w:line="261"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231F20"/>
        </w:rPr>
        <w:t>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 Technology and communications expense decreased by $0.8 million, or 20.5%, for the three months ended June 30, 2025 compared to the three months ended June 30, 2024. The decrease was primarily due to a decrease of $0.4 million in hosting fees, $0.2 million in software license fees, and $0.1 million in telecommunications. We expect these costs to decline in the future as we optimize our operational footprint.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Selling, General and Administrative</w:t>
            </w: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22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Three Months Ended June</w:t>
            </w:r>
          </w:p>
        </w:tc>
        <w:tc>
          <w:tcPr>
            <w:tcW w:w="200" w:type="dxa"/>
            <w:vAlign w:val="bottom"/>
          </w:tcPr>
          <w:p>
            <w:pPr>
              <w:spacing w:after="0"/>
              <w:rPr>
                <w:sz w:val="24"/>
                <w:szCs w:val="24"/>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6"/>
        </w:trPr>
        <w:tc>
          <w:tcPr>
            <w:tcW w:w="390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231F20"/>
        </w:rPr>
        <w:t>Selling, general and administrative expenses include marketing, advertising, business insurance, rent and occupancy, bank service charges, dues and subscriptions, travel and entertainment, and other general and administrative costs. Our marketing activities primarily consist of web-based promotional campaigns, promotional activities with clients, conferences and user events, and brand-building activities. Selling, general and administrative expenses do not include any headcount cost, which is reflected in "Compensation and benefits" on the consolidated statements of operations. We expect these costs will decrease as a percentage of our revenue in future years as we gain improved operating leverage from our projected revenue growth and exercise prudent expense management.</w:t>
      </w:r>
    </w:p>
    <w:p>
      <w:pPr>
        <w:spacing w:after="0" w:line="175"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231F20"/>
        </w:rPr>
        <w:t xml:space="preserve">Selling, general and administrative costs decreased by $1.9 million, or 34.9%, for the three months ended June 30, 2025 compared to the three months ended June 30, 2024. The decrease was primarily due to a decrease of $1.8 million in general insurance compared the previous year </w:t>
      </w:r>
      <w:r>
        <w:rPr>
          <w:rFonts w:ascii="Times New Roman" w:cs="Times New Roman" w:eastAsia="Times New Roman" w:hAnsi="Times New Roman"/>
          <w:sz w:val="18"/>
          <w:szCs w:val="18"/>
          <w:color w:val="000000"/>
        </w:rPr>
        <w:t>second</w:t>
      </w:r>
      <w:r>
        <w:rPr>
          <w:rFonts w:ascii="Times New Roman" w:cs="Times New Roman" w:eastAsia="Times New Roman" w:hAnsi="Times New Roman"/>
          <w:sz w:val="18"/>
          <w:szCs w:val="18"/>
          <w:color w:val="231F20"/>
        </w:rPr>
        <w:t xml:space="preserve"> quarter.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Depreciation and Amortization</w:t>
            </w:r>
          </w:p>
        </w:tc>
        <w:tc>
          <w:tcPr>
            <w:tcW w:w="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2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8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0"/>
        </w:trPr>
        <w:tc>
          <w:tcPr>
            <w:tcW w:w="390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231F20"/>
        </w:rPr>
        <w:t>Depreciation and amortization expense consists of amortization of intangible assets from business acquisitions and internally developed software and depreciation of purchased software and computer and office equipment over their estimated useful lives. Depreciation and amortization increased by $37.0 thousand, or 31.6%, for the three months ended June 30, 2025 compared to the three months ended June 30, 2024. The increase is primarily related to capitalized software development.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Related Party Expenses</w:t>
            </w:r>
          </w:p>
        </w:tc>
        <w:tc>
          <w:tcPr>
            <w:tcW w:w="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Three Months Ended June</w:t>
            </w:r>
          </w:p>
        </w:tc>
        <w:tc>
          <w:tcPr>
            <w:tcW w:w="23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Three Months Ended June</w:t>
            </w:r>
          </w:p>
        </w:tc>
        <w:tc>
          <w:tcPr>
            <w:tcW w:w="200" w:type="dxa"/>
            <w:vAlign w:val="bottom"/>
          </w:tcPr>
          <w:p>
            <w:pPr>
              <w:spacing w:after="0"/>
              <w:rPr>
                <w:sz w:val="24"/>
                <w:szCs w:val="24"/>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0"/>
        </w:trPr>
        <w:tc>
          <w:tcPr>
            <w:tcW w:w="386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expenses</w:t>
            </w:r>
          </w:p>
        </w:tc>
        <w:tc>
          <w:tcPr>
            <w:tcW w:w="46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 xml:space="preserve">Related party expenses consist of fees for transition services agreements. Related party expenses decreased by $0.2 million, or </w:t>
      </w:r>
      <w:r>
        <w:rPr>
          <w:rFonts w:ascii="Times New Roman" w:cs="Times New Roman" w:eastAsia="Times New Roman" w:hAnsi="Times New Roman"/>
          <w:sz w:val="18"/>
          <w:szCs w:val="18"/>
          <w:color w:val="000000"/>
        </w:rPr>
        <w:t>(100.0%)</w:t>
      </w:r>
      <w:r>
        <w:rPr>
          <w:rFonts w:ascii="Times New Roman" w:cs="Times New Roman" w:eastAsia="Times New Roman" w:hAnsi="Times New Roman"/>
          <w:sz w:val="18"/>
          <w:szCs w:val="18"/>
          <w:color w:val="231F20"/>
        </w:rPr>
        <w:t>, for the three months ended June 30, 2025 compared to the three months ended June 30, 2024. The decrease was due to the termination of the ICE transition services agreement in December 2023.</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7"/>
        </w:trPr>
        <w:tc>
          <w:tcPr>
            <w:tcW w:w="632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Loss from Change in Fair Value of Warrant Liability</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00" w:type="dxa"/>
            <w:vAlign w:val="bottom"/>
          </w:tcPr>
          <w:p>
            <w:pPr>
              <w:spacing w:after="0"/>
              <w:rPr>
                <w:sz w:val="24"/>
                <w:szCs w:val="24"/>
                <w:color w:val="auto"/>
              </w:rPr>
            </w:pP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100" w:type="dxa"/>
            <w:vAlign w:val="bottom"/>
          </w:tcPr>
          <w:p>
            <w:pPr>
              <w:spacing w:after="0"/>
              <w:rPr>
                <w:sz w:val="24"/>
                <w:szCs w:val="24"/>
                <w:color w:val="auto"/>
              </w:rPr>
            </w:pP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180" w:type="dxa"/>
            <w:vAlign w:val="bottom"/>
          </w:tcPr>
          <w:p>
            <w:pPr>
              <w:spacing w:after="0"/>
              <w:rPr>
                <w:sz w:val="24"/>
                <w:szCs w:val="24"/>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6"/>
        </w:trPr>
        <w:tc>
          <w:tcPr>
            <w:tcW w:w="3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jc w:val="right"/>
              <w:ind w:right="731"/>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change in fair value of warrant liability</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(8,604)</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641"/>
        <w:spacing w:after="0" w:line="321" w:lineRule="auto"/>
        <w:rPr>
          <w:sz w:val="20"/>
          <w:szCs w:val="20"/>
          <w:color w:val="auto"/>
        </w:rPr>
      </w:pPr>
      <w:r>
        <w:rPr>
          <w:rFonts w:ascii="Times New Roman" w:cs="Times New Roman" w:eastAsia="Times New Roman" w:hAnsi="Times New Roman"/>
          <w:sz w:val="17"/>
          <w:szCs w:val="17"/>
          <w:color w:val="231F20"/>
        </w:rPr>
        <w:t>We recorded a loss of $8.6 million during the three months ended June 30, 2025 for the change in fair value on the revaluation of our warrant liabilities associated with our public warrants and the Class 1 and Class 2 warrants from the 2024 Concurrent Offerings. We recorded a loss of $15.1 million during the three months ended June 30, 2024 for the change in fair value on the revaluation of our warrant liabilities. These are non-cash losses and/or gains which are driven by fluctuations in the market price of our public warrants and valuation of our Class 1 and Class 2 warrants from the Concurrent Offerings.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Other (Expense) Income, net</w:t>
            </w: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00" w:type="dxa"/>
            <w:vAlign w:val="bottom"/>
          </w:tcPr>
          <w:p>
            <w:pPr>
              <w:spacing w:after="0"/>
              <w:rPr>
                <w:sz w:val="24"/>
                <w:szCs w:val="24"/>
                <w:color w:val="auto"/>
              </w:rPr>
            </w:pP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100" w:type="dxa"/>
            <w:vAlign w:val="bottom"/>
          </w:tcPr>
          <w:p>
            <w:pPr>
              <w:spacing w:after="0"/>
              <w:rPr>
                <w:sz w:val="24"/>
                <w:szCs w:val="24"/>
                <w:color w:val="auto"/>
              </w:rPr>
            </w:pPr>
          </w:p>
        </w:tc>
        <w:tc>
          <w:tcPr>
            <w:tcW w:w="2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180" w:type="dxa"/>
            <w:vAlign w:val="bottom"/>
          </w:tcPr>
          <w:p>
            <w:pPr>
              <w:spacing w:after="0"/>
              <w:rPr>
                <w:sz w:val="24"/>
                <w:szCs w:val="24"/>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0"/>
        </w:trPr>
        <w:tc>
          <w:tcPr>
            <w:tcW w:w="3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jc w:val="right"/>
              <w:ind w:right="731"/>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Other (expense) income, net primarily consists of non-operating gains and losses. During the three months ended June 30, 2025, we had other expense of $2.9 million primarily related to a net loss of $2.3 million on the sale of Bakkt Trust in May 2025 and foreign currency translation. During the three months ended June 30, 2024, we had other income of $0.4 million primarily related to foreign currency translation.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Income Tax Expense</w:t>
            </w: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23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Three Months Ended June</w:t>
            </w:r>
          </w:p>
        </w:tc>
        <w:tc>
          <w:tcPr>
            <w:tcW w:w="200" w:type="dxa"/>
            <w:vAlign w:val="bottom"/>
          </w:tcPr>
          <w:p>
            <w:pPr>
              <w:spacing w:after="0"/>
              <w:rPr>
                <w:sz w:val="24"/>
                <w:szCs w:val="24"/>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6"/>
        </w:trPr>
        <w:tc>
          <w:tcPr>
            <w:tcW w:w="388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jc w:val="right"/>
              <w:ind w:right="691"/>
              <w:spacing w:after="0"/>
              <w:rPr>
                <w:sz w:val="20"/>
                <w:szCs w:val="20"/>
                <w:color w:val="auto"/>
              </w:rPr>
            </w:pPr>
            <w:r>
              <w:rPr>
                <w:rFonts w:ascii="Times New Roman" w:cs="Times New Roman" w:eastAsia="Times New Roman" w:hAnsi="Times New Roman"/>
                <w:sz w:val="18"/>
                <w:szCs w:val="18"/>
                <w:b w:val="1"/>
                <w:bCs w:val="1"/>
                <w:color w:val="auto"/>
              </w:rPr>
              <w:t>30, 2025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40" w:type="dxa"/>
            <w:vAlign w:val="bottom"/>
            <w:tcBorders>
              <w:top w:val="single" w:sz="8" w:color="auto"/>
            </w:tcBorders>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231F20"/>
        </w:rPr>
        <w:t>Income tax expense during the three months ended June 30, 2025 and June 30, 2024, primarily consists of current state tax expense related to certain state jurisdictions wherein we are required to file income tax returns.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Six Months Ended June 30, 2025 compared to Six Months Ended June 30, 2024</w:t>
      </w:r>
    </w:p>
    <w:p>
      <w:pPr>
        <w:spacing w:after="0" w:line="2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Financial Summary</w:t>
      </w: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231F20"/>
        </w:rPr>
        <w:t>The six months ended June 30, 2025 included the following notable items relative to the six months ended June 30, 2024:</w:t>
      </w:r>
    </w:p>
    <w:p>
      <w:pPr>
        <w:spacing w:after="0" w:line="261" w:lineRule="exact"/>
        <w:rPr>
          <w:sz w:val="20"/>
          <w:szCs w:val="20"/>
          <w:color w:val="auto"/>
        </w:rPr>
      </w:pPr>
    </w:p>
    <w:p>
      <w:pPr>
        <w:ind w:left="640" w:hanging="313"/>
        <w:spacing w:after="0" w:line="308" w:lineRule="auto"/>
        <w:tabs>
          <w:tab w:leader="none" w:pos="635" w:val="left"/>
        </w:tabs>
        <w:numPr>
          <w:ilvl w:val="0"/>
          <w:numId w:val="3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Revenue increased </w:t>
      </w:r>
      <w:r>
        <w:rPr>
          <w:rFonts w:ascii="Times New Roman" w:cs="Times New Roman" w:eastAsia="Times New Roman" w:hAnsi="Times New Roman"/>
          <w:sz w:val="18"/>
          <w:szCs w:val="18"/>
          <w:color w:val="000000"/>
        </w:rPr>
        <w:t>$288.3 million</w:t>
      </w:r>
      <w:r>
        <w:rPr>
          <w:rFonts w:ascii="Times New Roman" w:cs="Times New Roman" w:eastAsia="Times New Roman" w:hAnsi="Times New Roman"/>
          <w:sz w:val="18"/>
          <w:szCs w:val="18"/>
          <w:color w:val="231F20"/>
        </w:rPr>
        <w:t xml:space="preserve"> primarily driven by a significant increase in Crypto services revenue resulting from an increase in trading volume; and</w:t>
      </w:r>
    </w:p>
    <w:p>
      <w:pPr>
        <w:spacing w:after="0" w:line="176" w:lineRule="exact"/>
        <w:rPr>
          <w:rFonts w:ascii="Times New Roman" w:cs="Times New Roman" w:eastAsia="Times New Roman" w:hAnsi="Times New Roman"/>
          <w:sz w:val="18"/>
          <w:szCs w:val="18"/>
          <w:color w:val="231F20"/>
        </w:rPr>
      </w:pPr>
    </w:p>
    <w:p>
      <w:pPr>
        <w:ind w:left="640" w:right="20" w:hanging="313"/>
        <w:spacing w:after="0" w:line="308"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Operating expenses increased $271.5 million primarily driven by increased crypto trading costs in conjunction with increased crypto service revenue.</w:t>
      </w:r>
    </w:p>
    <w:p>
      <w:pPr>
        <w:spacing w:after="0" w:line="172"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Crypto Services Revenue</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Pr>
          <w:p>
            <w:pPr>
              <w:spacing w:after="0"/>
              <w:rPr>
                <w:sz w:val="18"/>
                <w:szCs w:val="18"/>
                <w:color w:val="auto"/>
              </w:rPr>
            </w:pPr>
          </w:p>
        </w:tc>
        <w:tc>
          <w:tcPr>
            <w:tcW w:w="20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60" w:type="dxa"/>
            <w:vAlign w:val="bottom"/>
          </w:tcPr>
          <w:p>
            <w:pPr>
              <w:spacing w:after="0"/>
              <w:rPr>
                <w:sz w:val="18"/>
                <w:szCs w:val="18"/>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180" w:type="dxa"/>
            <w:vAlign w:val="bottom"/>
          </w:tcPr>
          <w:p>
            <w:pPr>
              <w:spacing w:after="0"/>
              <w:rPr>
                <w:sz w:val="18"/>
                <w:szCs w:val="18"/>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8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6"/>
        </w:trPr>
        <w:tc>
          <w:tcPr>
            <w:tcW w:w="39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60" w:type="dxa"/>
            <w:vAlign w:val="bottom"/>
          </w:tcPr>
          <w:p>
            <w:pPr>
              <w:spacing w:after="0"/>
              <w:rPr>
                <w:sz w:val="20"/>
                <w:szCs w:val="20"/>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8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Crypto services</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1,633,859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1,338,481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295,378</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922"/>
        </w:trPr>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jc w:val="right"/>
              <w:ind w:right="311"/>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9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9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9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19" w:right="339" w:bottom="1440" w:gutter="0" w:footer="0" w:header="0"/>
        </w:sectPr>
      </w:pPr>
    </w:p>
    <w:bookmarkStart w:id="64" w:name="page65"/>
    <w:bookmarkEnd w:id="64"/>
    <w:p>
      <w:pPr>
        <w:ind w:firstLine="641"/>
        <w:spacing w:after="0" w:line="324" w:lineRule="auto"/>
        <w:rPr>
          <w:sz w:val="20"/>
          <w:szCs w:val="20"/>
          <w:color w:val="auto"/>
        </w:rPr>
      </w:pPr>
      <w:r>
        <w:rPr>
          <w:rFonts w:ascii="Times New Roman" w:cs="Times New Roman" w:eastAsia="Times New Roman" w:hAnsi="Times New Roman"/>
          <w:sz w:val="18"/>
          <w:szCs w:val="18"/>
          <w:color w:val="231F20"/>
        </w:rPr>
        <w:t xml:space="preserve">Crypto services revenue increased by </w:t>
      </w:r>
      <w:r>
        <w:rPr>
          <w:rFonts w:ascii="Times New Roman" w:cs="Times New Roman" w:eastAsia="Times New Roman" w:hAnsi="Times New Roman"/>
          <w:sz w:val="18"/>
          <w:szCs w:val="18"/>
          <w:color w:val="000000"/>
        </w:rPr>
        <w:t>$295.4 million, or 22.1%,</w:t>
      </w:r>
      <w:r>
        <w:rPr>
          <w:rFonts w:ascii="Times New Roman" w:cs="Times New Roman" w:eastAsia="Times New Roman" w:hAnsi="Times New Roman"/>
          <w:sz w:val="18"/>
          <w:szCs w:val="18"/>
          <w:color w:val="231F20"/>
        </w:rPr>
        <w:t xml:space="preserve"> for the six months ended June 30, 2025 compared to the six months ended June 30, 2024. The increase was primarily driven by increased crypto trading volume.</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Loyalty Services Revenue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300" w:type="dxa"/>
            <w:vAlign w:val="bottom"/>
          </w:tcPr>
          <w:p>
            <w:pPr>
              <w:spacing w:after="0"/>
              <w:rPr>
                <w:sz w:val="16"/>
                <w:szCs w:val="16"/>
                <w:color w:val="auto"/>
              </w:rPr>
            </w:pPr>
          </w:p>
        </w:tc>
        <w:tc>
          <w:tcPr>
            <w:tcW w:w="20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c>
          <w:tcPr>
            <w:tcW w:w="280" w:type="dxa"/>
            <w:vAlign w:val="bottom"/>
          </w:tcPr>
          <w:p>
            <w:pPr>
              <w:spacing w:after="0"/>
              <w:rPr>
                <w:sz w:val="16"/>
                <w:szCs w:val="16"/>
                <w:color w:val="auto"/>
              </w:rPr>
            </w:pPr>
          </w:p>
        </w:tc>
        <w:tc>
          <w:tcPr>
            <w:tcW w:w="20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00" w:type="dxa"/>
            <w:vAlign w:val="bottom"/>
          </w:tcPr>
          <w:p>
            <w:pPr>
              <w:spacing w:after="0"/>
              <w:rPr>
                <w:sz w:val="16"/>
                <w:szCs w:val="16"/>
                <w:color w:val="auto"/>
              </w:rPr>
            </w:pPr>
          </w:p>
        </w:tc>
        <w:tc>
          <w:tcPr>
            <w:tcW w:w="11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420" w:type="dxa"/>
            <w:vAlign w:val="bottom"/>
            <w:vMerge w:val="restart"/>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2"/>
        </w:trPr>
        <w:tc>
          <w:tcPr>
            <w:tcW w:w="38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June 30, 2025</w:t>
            </w:r>
          </w:p>
        </w:tc>
        <w:tc>
          <w:tcPr>
            <w:tcW w:w="280" w:type="dxa"/>
            <w:vAlign w:val="bottom"/>
          </w:tcPr>
          <w:p>
            <w:pPr>
              <w:spacing w:after="0"/>
              <w:rPr>
                <w:sz w:val="18"/>
                <w:szCs w:val="18"/>
                <w:color w:val="auto"/>
              </w:rPr>
            </w:pPr>
          </w:p>
        </w:tc>
        <w:tc>
          <w:tcPr>
            <w:tcW w:w="20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June 30, 2024</w:t>
            </w:r>
          </w:p>
        </w:tc>
        <w:tc>
          <w:tcPr>
            <w:tcW w:w="2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Loyalty services, net</w:t>
            </w:r>
          </w:p>
        </w:tc>
        <w:tc>
          <w:tcPr>
            <w:tcW w:w="300" w:type="dxa"/>
            <w:vAlign w:val="bottom"/>
            <w:tcBorders>
              <w:top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18,933</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(7,066)</w:t>
            </w:r>
          </w:p>
        </w:tc>
        <w:tc>
          <w:tcPr>
            <w:tcW w:w="8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right="220" w:firstLine="641"/>
        <w:spacing w:after="0" w:line="301" w:lineRule="auto"/>
        <w:rPr>
          <w:sz w:val="20"/>
          <w:szCs w:val="20"/>
          <w:color w:val="auto"/>
        </w:rPr>
      </w:pPr>
      <w:r>
        <w:rPr>
          <w:rFonts w:ascii="Times New Roman" w:cs="Times New Roman" w:eastAsia="Times New Roman" w:hAnsi="Times New Roman"/>
          <w:sz w:val="18"/>
          <w:szCs w:val="18"/>
          <w:color w:val="231F20"/>
        </w:rPr>
        <w:t xml:space="preserve">Net loyalty services revenue decreased by </w:t>
      </w:r>
      <w:r>
        <w:rPr>
          <w:rFonts w:ascii="Times New Roman" w:cs="Times New Roman" w:eastAsia="Times New Roman" w:hAnsi="Times New Roman"/>
          <w:sz w:val="18"/>
          <w:szCs w:val="18"/>
          <w:color w:val="000000"/>
        </w:rPr>
        <w:t>$7.1 million</w:t>
      </w:r>
      <w:r>
        <w:rPr>
          <w:rFonts w:ascii="Times New Roman" w:cs="Times New Roman" w:eastAsia="Times New Roman" w:hAnsi="Times New Roman"/>
          <w:sz w:val="18"/>
          <w:szCs w:val="18"/>
          <w:color w:val="231F20"/>
        </w:rPr>
        <w:t xml:space="preserve"> for the six months ended June 30, 2025 compared to the six months ended June 30, 2024. The decrease was primarily related to the exit of a client of our loyalty business in 2024 due to divestiture of its business, as well as reduced volume-based service revenue and transaction volume.</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Operating Expenses</w:t>
      </w:r>
    </w:p>
    <w:p>
      <w:pPr>
        <w:spacing w:after="0" w:line="251"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Operating expenses consist of crypto costs, execution, clearing and brokerage fees, compensation and benefits, professional services, technology and communication expenses, selling, general and administrative expenses, acquisition-related expenses, depreciation and amortization, restructuring expenses, and other operating expenses.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Crypto Costs</w:t>
            </w: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Pr>
          <w:p>
            <w:pPr>
              <w:spacing w:after="0"/>
              <w:rPr>
                <w:sz w:val="24"/>
                <w:szCs w:val="24"/>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60" w:type="dxa"/>
            <w:vAlign w:val="bottom"/>
          </w:tcPr>
          <w:p>
            <w:pPr>
              <w:spacing w:after="0"/>
              <w:rPr>
                <w:sz w:val="24"/>
                <w:szCs w:val="24"/>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8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0"/>
        </w:trPr>
        <w:tc>
          <w:tcPr>
            <w:tcW w:w="39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June 30, 2025</w:t>
            </w:r>
          </w:p>
        </w:tc>
        <w:tc>
          <w:tcPr>
            <w:tcW w:w="260" w:type="dxa"/>
            <w:vAlign w:val="bottom"/>
          </w:tcPr>
          <w:p>
            <w:pPr>
              <w:spacing w:after="0"/>
              <w:rPr>
                <w:sz w:val="20"/>
                <w:szCs w:val="20"/>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8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Crypto costs</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1,615,709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1,323,673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292,036</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 xml:space="preserve">Crypto costs represent the gross value of crypto sold by our customers on our platform. These costs are measured at the executed price at the time of the trade. Crypto costs increased by $292.0 million, or </w:t>
      </w:r>
      <w:r>
        <w:rPr>
          <w:rFonts w:ascii="Times New Roman" w:cs="Times New Roman" w:eastAsia="Times New Roman" w:hAnsi="Times New Roman"/>
          <w:sz w:val="18"/>
          <w:szCs w:val="18"/>
          <w:color w:val="000000"/>
        </w:rPr>
        <w:t>22.1%,</w:t>
      </w:r>
      <w:r>
        <w:rPr>
          <w:rFonts w:ascii="Times New Roman" w:cs="Times New Roman" w:eastAsia="Times New Roman" w:hAnsi="Times New Roman"/>
          <w:sz w:val="18"/>
          <w:szCs w:val="18"/>
          <w:color w:val="231F20"/>
        </w:rPr>
        <w:t xml:space="preserve"> for the six months ended June 30, 2025 compared to the six months ended June 30, 2024. This increase was primarily driven by increased crypto trading volume.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Execution, Clearing and Brokerage Fees</w:t>
            </w: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Pr>
          <w:p>
            <w:pPr>
              <w:spacing w:after="0"/>
              <w:rPr>
                <w:sz w:val="24"/>
                <w:szCs w:val="24"/>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260" w:type="dxa"/>
            <w:vAlign w:val="bottom"/>
          </w:tcPr>
          <w:p>
            <w:pPr>
              <w:spacing w:after="0"/>
              <w:rPr>
                <w:sz w:val="24"/>
                <w:szCs w:val="24"/>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8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6"/>
        </w:trPr>
        <w:tc>
          <w:tcPr>
            <w:tcW w:w="39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260" w:type="dxa"/>
            <w:vAlign w:val="bottom"/>
          </w:tcPr>
          <w:p>
            <w:pPr>
              <w:spacing w:after="0"/>
              <w:rPr>
                <w:sz w:val="20"/>
                <w:szCs w:val="20"/>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8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Execution, clearing and brokerage fees</w:t>
            </w: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 xml:space="preserve">Execution, clearing and brokerage fees primarily represent payments to clients in exchange for driving order flow to our platform. Execution, clearing and brokerage fees increased $2.8 million, or </w:t>
      </w:r>
      <w:r>
        <w:rPr>
          <w:rFonts w:ascii="Times New Roman" w:cs="Times New Roman" w:eastAsia="Times New Roman" w:hAnsi="Times New Roman"/>
          <w:sz w:val="18"/>
          <w:szCs w:val="18"/>
          <w:color w:val="000000"/>
        </w:rPr>
        <w:t>31.1%,</w:t>
      </w:r>
      <w:r>
        <w:rPr>
          <w:rFonts w:ascii="Times New Roman" w:cs="Times New Roman" w:eastAsia="Times New Roman" w:hAnsi="Times New Roman"/>
          <w:sz w:val="18"/>
          <w:szCs w:val="18"/>
          <w:color w:val="231F20"/>
        </w:rPr>
        <w:t xml:space="preserve"> during the six months ended June 30, 2025 relative to the same period in the prior year. The increase reflects increased volume in Crypto trading revenue.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Compensation and Benefits</w:t>
            </w: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24"/>
                <w:szCs w:val="24"/>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240" w:type="dxa"/>
            <w:vAlign w:val="bottom"/>
          </w:tcPr>
          <w:p>
            <w:pPr>
              <w:spacing w:after="0"/>
              <w:rPr>
                <w:sz w:val="24"/>
                <w:szCs w:val="24"/>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200" w:type="dxa"/>
            <w:vAlign w:val="bottom"/>
          </w:tcPr>
          <w:p>
            <w:pPr>
              <w:spacing w:after="0"/>
              <w:rPr>
                <w:sz w:val="24"/>
                <w:szCs w:val="24"/>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0"/>
        </w:trPr>
        <w:tc>
          <w:tcPr>
            <w:tcW w:w="39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240" w:type="dxa"/>
            <w:vAlign w:val="bottom"/>
          </w:tcPr>
          <w:p>
            <w:pPr>
              <w:spacing w:after="0"/>
              <w:rPr>
                <w:sz w:val="20"/>
                <w:szCs w:val="20"/>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46,912</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(8,969)</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231F20"/>
        </w:rPr>
        <w:t>Compensation and benefits expense include all salaries and benefits, compensation for contract labor, incentive programs for employees, payroll taxes, share-based compensation and other employee related costs.</w:t>
      </w:r>
    </w:p>
    <w:p>
      <w:pPr>
        <w:spacing w:after="0" w:line="177"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We have restructured our personnel to reduce headcount and adjusted our expense base to better align with our operational priorities and business strategy. We expect to continue to limit future hiring and further optimize our headcount as we complete development projects on our platform. Compensation and benefits expense is a significant component of</w:t>
      </w:r>
    </w:p>
    <w:p>
      <w:pPr>
        <w:sectPr>
          <w:pgSz w:w="11900" w:h="16838" w:orient="portrait"/>
          <w:cols w:equalWidth="0" w:num="1">
            <w:col w:w="11240"/>
          </w:cols>
          <w:pgMar w:left="320" w:top="1150" w:right="3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type w:val="continuous"/>
        </w:sectPr>
      </w:pPr>
    </w:p>
    <w:bookmarkStart w:id="65" w:name="page66"/>
    <w:bookmarkEnd w:id="65"/>
    <w:p>
      <w:pPr>
        <w:jc w:val="both"/>
        <w:spacing w:after="0" w:line="324" w:lineRule="auto"/>
        <w:rPr>
          <w:sz w:val="20"/>
          <w:szCs w:val="20"/>
          <w:color w:val="auto"/>
        </w:rPr>
      </w:pPr>
      <w:r>
        <w:rPr>
          <w:rFonts w:ascii="Times New Roman" w:cs="Times New Roman" w:eastAsia="Times New Roman" w:hAnsi="Times New Roman"/>
          <w:sz w:val="18"/>
          <w:szCs w:val="18"/>
          <w:color w:val="auto"/>
        </w:rPr>
        <w:t>our operating expenses, and we expect this will continue to be the case. However, we expect that our compensation and benefits expenses will decrease as a percentage of our revenue over time.</w:t>
      </w:r>
    </w:p>
    <w:p>
      <w:pPr>
        <w:spacing w:after="0" w:line="149"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Compensation and benefits decreased by $9.0 million, or 19.1%, for the six months ended June 30, 2025 compared to the six months ended June 30, 2024. The decrease was primarily due to decreases of $3.7 million in salaries and wages and, $3.4 million in bonuses, $0.8 in stock-based compensation, and $0.8 million in benefit related costs as the Company continues to optimize its cost structure.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Professional Services</w:t>
            </w: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3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Pr>
          <w:p>
            <w:pPr>
              <w:spacing w:after="0"/>
              <w:rPr>
                <w:sz w:val="24"/>
                <w:szCs w:val="24"/>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40" w:type="dxa"/>
            <w:vAlign w:val="bottom"/>
          </w:tcPr>
          <w:p>
            <w:pPr>
              <w:spacing w:after="0"/>
              <w:rPr>
                <w:sz w:val="24"/>
                <w:szCs w:val="24"/>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8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6"/>
        </w:trPr>
        <w:tc>
          <w:tcPr>
            <w:tcW w:w="39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June 30, 2025</w:t>
            </w:r>
          </w:p>
        </w:tc>
        <w:tc>
          <w:tcPr>
            <w:tcW w:w="240" w:type="dxa"/>
            <w:vAlign w:val="bottom"/>
          </w:tcPr>
          <w:p>
            <w:pPr>
              <w:spacing w:after="0"/>
              <w:rPr>
                <w:sz w:val="20"/>
                <w:szCs w:val="20"/>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8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231F20"/>
        </w:rPr>
        <w:t>Professional services expense includes fees for accounting, legal and regulatory fees. Professional services increased by $2.0 million, or 27.3%, for the six months ended June 30, 2025 compared to the six months ended June 30, 2024. The increase was primarily due to increases of $1.7 million in legal and $0.8 million of other professional fees, slightly offset by a $0.5 million decrease in audit and tax fees primarily due to an increase in strategic and transformational initiatives and transaction activity during the six months ended June 30, 2025.</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Technology and Communication</w:t>
            </w: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24"/>
                <w:szCs w:val="24"/>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240" w:type="dxa"/>
            <w:vAlign w:val="bottom"/>
          </w:tcPr>
          <w:p>
            <w:pPr>
              <w:spacing w:after="0"/>
              <w:rPr>
                <w:sz w:val="24"/>
                <w:szCs w:val="24"/>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200" w:type="dxa"/>
            <w:vAlign w:val="bottom"/>
          </w:tcPr>
          <w:p>
            <w:pPr>
              <w:spacing w:after="0"/>
              <w:rPr>
                <w:sz w:val="24"/>
                <w:szCs w:val="24"/>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0"/>
        </w:trPr>
        <w:tc>
          <w:tcPr>
            <w:tcW w:w="39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240" w:type="dxa"/>
            <w:vAlign w:val="bottom"/>
          </w:tcPr>
          <w:p>
            <w:pPr>
              <w:spacing w:after="0"/>
              <w:rPr>
                <w:sz w:val="20"/>
                <w:szCs w:val="20"/>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communication</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9,423</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231F20"/>
        </w:rPr>
        <w:t>Technology and communication costs represent all non-headcount related costs to deliver technological solutions. Such costs principally include amounts paid for software licenses and software-as-a-service arrangements utilized for operating, administrative and information security activities, fees paid for third-party data center hosting arrangements, and fees paid to telecommunications service providers and for telecommunication software platforms necessary for operation of our customer support operations. These costs are driven by client requirements, system capacity, functionality and redundancy requirements. 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w:t>
      </w:r>
    </w:p>
    <w:p>
      <w:pPr>
        <w:spacing w:after="0" w:line="194"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Technology and communications expense decreased by $3.0 million, or 31.3%, for the six months ended June 30, 2025 compared to the six months ended June 30, 2024. The decrease was primarily due to a decrease of $1.8 million in hardware and software license fees, $0.8 million in hosting fees, and $0.3 million in telecommunications fees.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Selling, General and Administrative</w:t>
            </w: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24"/>
                <w:szCs w:val="24"/>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240" w:type="dxa"/>
            <w:vAlign w:val="bottom"/>
          </w:tcPr>
          <w:p>
            <w:pPr>
              <w:spacing w:after="0"/>
              <w:rPr>
                <w:sz w:val="24"/>
                <w:szCs w:val="24"/>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200" w:type="dxa"/>
            <w:vAlign w:val="bottom"/>
          </w:tcPr>
          <w:p>
            <w:pPr>
              <w:spacing w:after="0"/>
              <w:rPr>
                <w:sz w:val="24"/>
                <w:szCs w:val="24"/>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0"/>
        </w:trPr>
        <w:tc>
          <w:tcPr>
            <w:tcW w:w="390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240" w:type="dxa"/>
            <w:vAlign w:val="bottom"/>
          </w:tcPr>
          <w:p>
            <w:pPr>
              <w:spacing w:after="0"/>
              <w:rPr>
                <w:sz w:val="20"/>
                <w:szCs w:val="20"/>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7,419</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231F20"/>
        </w:rPr>
        <w:t>Selling, general and administrative expenses include marketing, advertising, business insurance, rent and occupancy, bank service charges, dues and subscriptions, travel and entertainment, and other general and administrative costs. Our marketing activities primarily consist of web-based promotional campaigns, promotional activities with clients, conferences and user events, and brand-building activities. Selling, general and administrative expenses do not include any headcount cost, which is reflected in "Compensation and benefits" on the consolidated statements of operations. We expect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color w:val="231F20"/>
        </w:rPr>
        <w:t>these costs will decrease as a percentage of our revenue in future years as we gain improved operating leverage from our projected revenue growth.</w:t>
      </w:r>
    </w:p>
    <w:p>
      <w:pPr>
        <w:spacing w:after="0" w:line="261"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Selling, general and administrative costs decreased by $5.9 million, or 44.3%, for the six months ended June 30, 2025 compared to the six months ended June 30, 2024. The decrease was primarily due to a $4.1 million decrease in general insurance, $1.0 million in marketing and promotions, and a $0.6 million decrease in non-recurring vendor cost.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Depreciation and Amortization</w:t>
            </w: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Pr>
          <w:p>
            <w:pPr>
              <w:spacing w:after="0"/>
              <w:rPr>
                <w:sz w:val="24"/>
                <w:szCs w:val="24"/>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240" w:type="dxa"/>
            <w:vAlign w:val="bottom"/>
          </w:tcPr>
          <w:p>
            <w:pPr>
              <w:spacing w:after="0"/>
              <w:rPr>
                <w:sz w:val="24"/>
                <w:szCs w:val="24"/>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8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0"/>
        </w:trPr>
        <w:tc>
          <w:tcPr>
            <w:tcW w:w="39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240" w:type="dxa"/>
            <w:vAlign w:val="bottom"/>
          </w:tcPr>
          <w:p>
            <w:pPr>
              <w:spacing w:after="0"/>
              <w:rPr>
                <w:sz w:val="20"/>
                <w:szCs w:val="20"/>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8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231F20"/>
        </w:rPr>
        <w:t>Depreciation and amortization expense consists of amortization of intangible assets from business acquisitions, internally developed software and depreciation of purchased software and computer and office equipment over their estimated useful lives.</w:t>
      </w:r>
    </w:p>
    <w:p>
      <w:pPr>
        <w:spacing w:after="0" w:line="149"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Depreciation and amortization increased by $0.2 million, or 114.9%, for the six months ended June 30, 2025 compared to the six months ended June 30, 2024. The increase was primarily due to amortization associated with software development costs, as the Company continues to capitalize internally developed software development related to Bakkt Crypto.</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Restructuring Expenses</w:t>
            </w:r>
          </w:p>
        </w:tc>
        <w:tc>
          <w:tcPr>
            <w:tcW w:w="2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Pr>
          <w:p>
            <w:pPr>
              <w:spacing w:after="0"/>
              <w:rPr>
                <w:sz w:val="24"/>
                <w:szCs w:val="24"/>
                <w:color w:val="auto"/>
              </w:rPr>
            </w:pPr>
          </w:p>
        </w:tc>
        <w:tc>
          <w:tcPr>
            <w:tcW w:w="2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240" w:type="dxa"/>
            <w:vAlign w:val="bottom"/>
          </w:tcPr>
          <w:p>
            <w:pPr>
              <w:spacing w:after="0"/>
              <w:rPr>
                <w:sz w:val="24"/>
                <w:szCs w:val="24"/>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200" w:type="dxa"/>
            <w:vAlign w:val="bottom"/>
          </w:tcPr>
          <w:p>
            <w:pPr>
              <w:spacing w:after="0"/>
              <w:rPr>
                <w:sz w:val="24"/>
                <w:szCs w:val="24"/>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0"/>
        </w:trPr>
        <w:tc>
          <w:tcPr>
            <w:tcW w:w="38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240" w:type="dxa"/>
            <w:vAlign w:val="bottom"/>
          </w:tcPr>
          <w:p>
            <w:pPr>
              <w:spacing w:after="0"/>
              <w:rPr>
                <w:sz w:val="20"/>
                <w:szCs w:val="20"/>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 xml:space="preserve">Restructuring expenses of </w:t>
      </w:r>
      <w:r>
        <w:rPr>
          <w:rFonts w:ascii="Times New Roman" w:cs="Times New Roman" w:eastAsia="Times New Roman" w:hAnsi="Times New Roman"/>
          <w:sz w:val="18"/>
          <w:szCs w:val="18"/>
          <w:color w:val="000000"/>
        </w:rPr>
        <w:t>$0.2 million</w:t>
      </w:r>
      <w:r>
        <w:rPr>
          <w:rFonts w:ascii="Times New Roman" w:cs="Times New Roman" w:eastAsia="Times New Roman" w:hAnsi="Times New Roman"/>
          <w:sz w:val="18"/>
          <w:szCs w:val="18"/>
          <w:color w:val="231F20"/>
        </w:rPr>
        <w:t xml:space="preserve"> during the six months ended June 30, 2025 consist of severance costs related to a reduction in force executed in the first quarter of 2025. Restructuring expenses of </w:t>
      </w:r>
      <w:r>
        <w:rPr>
          <w:rFonts w:ascii="Times New Roman" w:cs="Times New Roman" w:eastAsia="Times New Roman" w:hAnsi="Times New Roman"/>
          <w:sz w:val="18"/>
          <w:szCs w:val="18"/>
          <w:color w:val="000000"/>
        </w:rPr>
        <w:t>$7.1 million</w:t>
      </w:r>
      <w:r>
        <w:rPr>
          <w:rFonts w:ascii="Times New Roman" w:cs="Times New Roman" w:eastAsia="Times New Roman" w:hAnsi="Times New Roman"/>
          <w:sz w:val="18"/>
          <w:szCs w:val="18"/>
          <w:color w:val="231F20"/>
        </w:rPr>
        <w:t xml:space="preserve"> during the six months ended June 30, 2024 consisted of severance costs and accelerated vesting of non-cash compensation related to the termination of a former executive and certain other employees.</w:t>
      </w:r>
    </w:p>
    <w:p>
      <w:pPr>
        <w:spacing w:after="0" w:line="17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Gain (Loss) from Change in Fair Value of Warrant Liability</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Pr>
          <w:p>
            <w:pPr>
              <w:spacing w:after="0"/>
              <w:rPr>
                <w:sz w:val="18"/>
                <w:szCs w:val="18"/>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260" w:type="dxa"/>
            <w:vAlign w:val="bottom"/>
          </w:tcPr>
          <w:p>
            <w:pPr>
              <w:spacing w:after="0"/>
              <w:rPr>
                <w:sz w:val="18"/>
                <w:szCs w:val="18"/>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180" w:type="dxa"/>
            <w:vAlign w:val="bottom"/>
          </w:tcPr>
          <w:p>
            <w:pPr>
              <w:spacing w:after="0"/>
              <w:rPr>
                <w:sz w:val="18"/>
                <w:szCs w:val="18"/>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6"/>
        </w:trPr>
        <w:tc>
          <w:tcPr>
            <w:tcW w:w="39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260" w:type="dxa"/>
            <w:vAlign w:val="bottom"/>
          </w:tcPr>
          <w:p>
            <w:pPr>
              <w:spacing w:after="0"/>
              <w:rPr>
                <w:sz w:val="20"/>
                <w:szCs w:val="20"/>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8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98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Gain (loss) from change in fair value of warrant</w:t>
            </w:r>
          </w:p>
        </w:tc>
        <w:tc>
          <w:tcPr>
            <w:tcW w:w="260" w:type="dxa"/>
            <w:vAlign w:val="bottom"/>
            <w:tcBorders>
              <w:top w:val="single" w:sz="8" w:color="auto"/>
            </w:tcBorders>
            <w:shd w:val="clear" w:color="auto" w:fill="CCEEFF"/>
          </w:tcPr>
          <w:p>
            <w:pPr>
              <w:spacing w:after="0"/>
              <w:rPr>
                <w:sz w:val="14"/>
                <w:szCs w:val="14"/>
                <w:color w:val="auto"/>
              </w:rPr>
            </w:pPr>
          </w:p>
        </w:tc>
        <w:tc>
          <w:tcPr>
            <w:tcW w:w="1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29,712</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bl>
    <w:p>
      <w:pPr>
        <w:spacing w:after="0" w:line="302"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231F20"/>
        </w:rPr>
        <w:t xml:space="preserve">We recorded a gain of $23.6 million during the six months ended June 30, 2025 for the change in fair value on the revaluation of our warrant liabilities associated with our public warrants and Class 1 and Class 2 warrants from the Concurrent Offerings. We recorded a loss of </w:t>
      </w:r>
      <w:r>
        <w:rPr>
          <w:rFonts w:ascii="Times New Roman" w:cs="Times New Roman" w:eastAsia="Times New Roman" w:hAnsi="Times New Roman"/>
          <w:sz w:val="18"/>
          <w:szCs w:val="18"/>
          <w:color w:val="000000"/>
        </w:rPr>
        <w:t>$6.1 million</w:t>
      </w:r>
      <w:r>
        <w:rPr>
          <w:rFonts w:ascii="Times New Roman" w:cs="Times New Roman" w:eastAsia="Times New Roman" w:hAnsi="Times New Roman"/>
          <w:sz w:val="18"/>
          <w:szCs w:val="18"/>
          <w:color w:val="231F20"/>
        </w:rPr>
        <w:t xml:space="preserve"> during the six months ended June 30, 2024 for the change in fair value on the revaluation of our warrant liabilities. These are non-cash losses and gains and are driven by fluctuations in the market price of our public warrants and valuation of our Class 1 and Class 2 warrants from the Concurrent Offerings.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Other (Expense) Income, net</w:t>
            </w:r>
          </w:p>
        </w:tc>
        <w:tc>
          <w:tcPr>
            <w:tcW w:w="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Pr>
          <w:p>
            <w:pPr>
              <w:spacing w:after="0"/>
              <w:rPr>
                <w:sz w:val="24"/>
                <w:szCs w:val="24"/>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260" w:type="dxa"/>
            <w:vAlign w:val="bottom"/>
          </w:tcPr>
          <w:p>
            <w:pPr>
              <w:spacing w:after="0"/>
              <w:rPr>
                <w:sz w:val="24"/>
                <w:szCs w:val="24"/>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180" w:type="dxa"/>
            <w:vAlign w:val="bottom"/>
          </w:tcPr>
          <w:p>
            <w:pPr>
              <w:spacing w:after="0"/>
              <w:rPr>
                <w:sz w:val="24"/>
                <w:szCs w:val="24"/>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0"/>
        </w:trPr>
        <w:tc>
          <w:tcPr>
            <w:tcW w:w="39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260" w:type="dxa"/>
            <w:vAlign w:val="bottom"/>
          </w:tcPr>
          <w:p>
            <w:pPr>
              <w:spacing w:after="0"/>
              <w:rPr>
                <w:sz w:val="20"/>
                <w:szCs w:val="20"/>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8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r>
        <w:trPr>
          <w:trHeight w:val="909"/>
        </w:trPr>
        <w:tc>
          <w:tcPr>
            <w:tcW w:w="3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jc w:val="right"/>
              <w:ind w:right="411"/>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39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67" w:name="page68"/>
    <w:bookmarkEnd w:id="67"/>
    <w:p>
      <w:pPr>
        <w:jc w:val="both"/>
        <w:ind w:firstLine="641"/>
        <w:spacing w:after="0" w:line="299" w:lineRule="auto"/>
        <w:rPr>
          <w:sz w:val="20"/>
          <w:szCs w:val="20"/>
          <w:color w:val="auto"/>
        </w:rPr>
      </w:pPr>
      <w:r>
        <w:rPr>
          <w:rFonts w:ascii="Times New Roman" w:cs="Times New Roman" w:eastAsia="Times New Roman" w:hAnsi="Times New Roman"/>
          <w:sz w:val="18"/>
          <w:szCs w:val="18"/>
          <w:color w:val="231F20"/>
        </w:rPr>
        <w:t xml:space="preserve">Other (expense) income, net primarily consists of non-operating gains and losses. During the six months ended June 30, 2025, we recognized income, net of </w:t>
      </w:r>
      <w:r>
        <w:rPr>
          <w:rFonts w:ascii="Times New Roman" w:cs="Times New Roman" w:eastAsia="Times New Roman" w:hAnsi="Times New Roman"/>
          <w:sz w:val="18"/>
          <w:szCs w:val="18"/>
          <w:color w:val="000000"/>
        </w:rPr>
        <w:t>$(1.0) million</w:t>
      </w:r>
      <w:r>
        <w:rPr>
          <w:rFonts w:ascii="Times New Roman" w:cs="Times New Roman" w:eastAsia="Times New Roman" w:hAnsi="Times New Roman"/>
          <w:sz w:val="18"/>
          <w:szCs w:val="18"/>
          <w:color w:val="231F20"/>
        </w:rPr>
        <w:t xml:space="preserve"> primarily related to a net gain of approximately $1.8 million on the assignment of our New York office lease, $0.6 million of sublease income on our Alpharetta headquarters lease, and $1.0 million gain on foreign currency, offset by a $2.3 million loss on the sale of Bakkt Trust. During the six months ended June 30, 2024, we recognized income of $1.2 million primarily related to foreign currency.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88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231F20"/>
              </w:rPr>
              <w:t>Income Tax Expense</w:t>
            </w:r>
          </w:p>
        </w:tc>
        <w:tc>
          <w:tcPr>
            <w:tcW w:w="2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0"/>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Pr>
          <w:p>
            <w:pPr>
              <w:spacing w:after="0"/>
              <w:rPr>
                <w:sz w:val="24"/>
                <w:szCs w:val="24"/>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260" w:type="dxa"/>
            <w:vAlign w:val="bottom"/>
          </w:tcPr>
          <w:p>
            <w:pPr>
              <w:spacing w:after="0"/>
              <w:rPr>
                <w:sz w:val="24"/>
                <w:szCs w:val="24"/>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200" w:type="dxa"/>
            <w:vAlign w:val="bottom"/>
          </w:tcPr>
          <w:p>
            <w:pPr>
              <w:spacing w:after="0"/>
              <w:rPr>
                <w:sz w:val="24"/>
                <w:szCs w:val="24"/>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0"/>
        </w:trPr>
        <w:tc>
          <w:tcPr>
            <w:tcW w:w="38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260" w:type="dxa"/>
            <w:vAlign w:val="bottom"/>
          </w:tcPr>
          <w:p>
            <w:pPr>
              <w:spacing w:after="0"/>
              <w:rPr>
                <w:sz w:val="20"/>
                <w:szCs w:val="20"/>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June 30, 2024</w:t>
            </w:r>
          </w:p>
        </w:tc>
        <w:tc>
          <w:tcPr>
            <w:tcW w:w="20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bl>
    <w:p>
      <w:pPr>
        <w:spacing w:after="0" w:line="289"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231F20"/>
        </w:rPr>
        <w:t>Income tax expense during the six months ended June 30, 2025 and June 30, 2024 primarily consists of current state tax expense related to certain state jurisdictions wherein we are required to file income tax returns during the period.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Capital Resources</w:t>
      </w:r>
    </w:p>
    <w:p>
      <w:pPr>
        <w:spacing w:after="0" w:line="265"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As of June 30, 2025, we had $43.5 million and $18.0 million of cash and cash equivalents and restricted cash, respectively. Cash and cash equivalents consist of cash deposits at banks and money market funds. Restricted cash is held to satisfy certain minimum capital requirements pursuant to regulatory requirements, or as collateral for insurance contracts and our purchasing card facility.</w:t>
      </w:r>
    </w:p>
    <w:p>
      <w:pPr>
        <w:spacing w:after="0" w:line="183"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As discussed above, we completed the Private Placement in June 2025 and the Offering in July 2025, The Private Placement provided net cash proceeds of approximately $23.8 million and the Offering provided $75.0 million prior to underwriting fees and issuance costs. The proceeds of the Private Placement will be used to purchase Bitcoin and other digital assets in accordance with the Company's Investment Policy, for working capital and general corporate purposes. The proceeds of the Offering will be used for working capital, and general corporate purposes.</w:t>
      </w:r>
    </w:p>
    <w:p>
      <w:pPr>
        <w:spacing w:after="0" w:line="191"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On August 12, 2024, Bakkt and Opco executed a secured revolving credit facility with the Lender (the credit facility herein referred to as the "ICE Credit Facility"), with certain subsidiaries of Bakkt to be party thereto from time to time, as guarantors, whereby the Lender agreed to provide for a $40.0 million secured revolving line of credit to us for working capital and general corporate purposes. The Company terminated the ICE Credit Facility on July 30, 2025 and repaid all outstanding principal, interest and fees due thereunder through the date of termination.</w:t>
      </w:r>
    </w:p>
    <w:p>
      <w:pPr>
        <w:spacing w:after="0" w:line="191" w:lineRule="exact"/>
        <w:rPr>
          <w:sz w:val="20"/>
          <w:szCs w:val="20"/>
          <w:color w:val="auto"/>
        </w:rPr>
      </w:pPr>
    </w:p>
    <w:p>
      <w:pPr>
        <w:jc w:val="both"/>
        <w:ind w:firstLine="641"/>
        <w:spacing w:after="0" w:line="308" w:lineRule="auto"/>
        <w:rPr>
          <w:sz w:val="20"/>
          <w:szCs w:val="20"/>
          <w:color w:val="auto"/>
        </w:rPr>
      </w:pPr>
      <w:r>
        <w:rPr>
          <w:rFonts w:ascii="Times New Roman" w:cs="Times New Roman" w:eastAsia="Times New Roman" w:hAnsi="Times New Roman"/>
          <w:sz w:val="18"/>
          <w:szCs w:val="18"/>
          <w:color w:val="auto"/>
        </w:rPr>
        <w:t>As discussed above, we consummated the Concurrent Offerings in March and April 2024. We raised aggregate net proceeds from the Concurrent Offerings of approximately $46.5 million, after deducting the placement agent’s fees and offering expenses payable by us.</w:t>
      </w:r>
    </w:p>
    <w:p>
      <w:pPr>
        <w:spacing w:after="0" w:line="177" w:lineRule="exact"/>
        <w:rPr>
          <w:sz w:val="20"/>
          <w:szCs w:val="20"/>
          <w:color w:val="auto"/>
        </w:rPr>
      </w:pPr>
    </w:p>
    <w:p>
      <w:pPr>
        <w:jc w:val="both"/>
        <w:ind w:firstLine="641"/>
        <w:spacing w:after="0" w:line="307" w:lineRule="auto"/>
        <w:rPr>
          <w:sz w:val="20"/>
          <w:szCs w:val="20"/>
          <w:color w:val="auto"/>
        </w:rPr>
      </w:pPr>
      <w:r>
        <w:rPr>
          <w:rFonts w:ascii="Times New Roman" w:cs="Times New Roman" w:eastAsia="Times New Roman" w:hAnsi="Times New Roman"/>
          <w:sz w:val="17"/>
          <w:szCs w:val="17"/>
          <w:color w:val="auto"/>
        </w:rPr>
        <w:t>We intend to use our unrestricted cash, inclusive of the proceeds from the Private Placement and Offering, to fund our day-to-day operations, including, but not limited to funding our regulatory capital requirements, compensating balance arrangements and other similar commitments, each of which is subject to change, and as available (i) activate new crypto clients, (ii) maintain our product development efforts, and (iii) optimize our technology infrastructure and operational support. We continue to evaluate our headcount and expense base. We have acted to right-size headcount since 2022. Our expected uses of available funds are based on our present plans, objectives and business condition. Additionally, Webull’s decision not to renew its agreement with us which ended on June 14, 2025 has and is expected to continue to materially reduce our Crypto services revenue, although the Company continues to service a limited number of states under an amended agreement with Webull. Following the notice from Webull, the Company executed further cost reduction measures, including personnel reductions, a hiring freeze, and is making changes to vendors, and additional discretionary spending cuts to preserve and extend cash to fund operations. In forecasting the Company's expectation of cash needs for the initial going concern evaluation, the Crypto services revenue growth projections exclude activation of new clients or products currently not live on Bakkt's platform as of the date of release of these consolidated financial statements. In addition, we may in the future enter into arrangements to acquire or invest in complementary businesses, services,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68" w:name="page69"/>
    <w:bookmarkEnd w:id="68"/>
    <w:p>
      <w:pPr>
        <w:jc w:val="both"/>
        <w:spacing w:after="0" w:line="301" w:lineRule="auto"/>
        <w:rPr>
          <w:sz w:val="20"/>
          <w:szCs w:val="20"/>
          <w:color w:val="auto"/>
        </w:rPr>
      </w:pPr>
      <w:r>
        <w:rPr>
          <w:rFonts w:ascii="Times New Roman" w:cs="Times New Roman" w:eastAsia="Times New Roman" w:hAnsi="Times New Roman"/>
          <w:sz w:val="18"/>
          <w:szCs w:val="18"/>
          <w:color w:val="auto"/>
        </w:rPr>
        <w:t>technologies or intellectual property rights. However, except with respect to our potential acquisition of DTR pursuant to the Cooperation Agreement, we have no agreements or commitments with respect to any such acquisitions or investments at this time. Management believes that the Company's cash and cash equivalents will be sufficient to fund Bakkt's operations for 12 months from the date of these financial statements are issued.</w:t>
      </w:r>
    </w:p>
    <w:p>
      <w:pPr>
        <w:spacing w:after="0" w:line="183" w:lineRule="exact"/>
        <w:rPr>
          <w:sz w:val="20"/>
          <w:szCs w:val="20"/>
          <w:color w:val="auto"/>
        </w:rPr>
      </w:pPr>
    </w:p>
    <w:p>
      <w:pPr>
        <w:jc w:val="both"/>
        <w:ind w:firstLine="641"/>
        <w:spacing w:after="0" w:line="288" w:lineRule="auto"/>
        <w:rPr>
          <w:sz w:val="20"/>
          <w:szCs w:val="20"/>
          <w:color w:val="auto"/>
        </w:rPr>
      </w:pPr>
      <w:r>
        <w:rPr>
          <w:rFonts w:ascii="Times New Roman" w:cs="Times New Roman" w:eastAsia="Times New Roman" w:hAnsi="Times New Roman"/>
          <w:sz w:val="18"/>
          <w:szCs w:val="18"/>
          <w:color w:val="231F20"/>
        </w:rPr>
        <w:t xml:space="preserve">Our future cash requirements will depend on many factors, including our revenue growth rate, the timing and extent of overhead, sales and marketing expenditures to support projected growth, our ability to limit our software development investments to features and functionality with a clear line of sight to revenue generation, and our ability to retain our clients. For example, our client, Webull, which represented 74% of our Crypto services revenues in the year ended December 31, 2024, notified us that it will not renew its agreement with us which ended on June 14, 2025, </w:t>
      </w:r>
      <w:r>
        <w:rPr>
          <w:rFonts w:ascii="Times New Roman" w:cs="Times New Roman" w:eastAsia="Times New Roman" w:hAnsi="Times New Roman"/>
          <w:sz w:val="18"/>
          <w:szCs w:val="18"/>
          <w:color w:val="000000"/>
        </w:rPr>
        <w:t>although the Company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continues to service a limited number of states under an amended agreement with Webull</w:t>
      </w:r>
      <w:r>
        <w:rPr>
          <w:rFonts w:ascii="Times New Roman" w:cs="Times New Roman" w:eastAsia="Times New Roman" w:hAnsi="Times New Roman"/>
          <w:sz w:val="18"/>
          <w:szCs w:val="18"/>
          <w:color w:val="231F20"/>
        </w:rPr>
        <w:t>. Unless we are able to replace the Crypto services revenue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historically generated through our relationship with Webull, we expect our Crypto services revenue to decrease significantly, which will increase our future cash requirements. We made substantial investments in our platforms in 2023 and 2024, which we expect will enable us to continue to simplify our organization and focus on the core capabilities critical to our strategy, and continue to pursue growth with new and existing clients</w:t>
      </w:r>
      <w:r>
        <w:rPr>
          <w:rFonts w:ascii="Times New Roman" w:cs="Times New Roman" w:eastAsia="Times New Roman" w:hAnsi="Times New Roman"/>
          <w:sz w:val="18"/>
          <w:szCs w:val="18"/>
          <w:color w:val="000000"/>
        </w:rPr>
        <w:t>. Please see “</w:t>
      </w:r>
      <w:r>
        <w:rPr>
          <w:rFonts w:ascii="Times New Roman" w:cs="Times New Roman" w:eastAsia="Times New Roman" w:hAnsi="Times New Roman"/>
          <w:sz w:val="18"/>
          <w:szCs w:val="18"/>
          <w:i w:val="1"/>
          <w:iCs w:val="1"/>
          <w:color w:val="000000"/>
        </w:rPr>
        <w:t>Item 1A. Risk</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000000"/>
        </w:rPr>
        <w:t>Factors—Risks Related to our Business, Finances and Operations—In the past, we have identified conditions and events that raised substantial doubt about our ability to continue as a going concern and it is possible that we may identify conditions and events in the future that raise substantial doubt about our ability to continue as a going concern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31F20"/>
        </w:rPr>
        <w:t>in the Company's</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Annual Report on Form 10-K for the year ended December 31, 2024 (our "Form 10-K")</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31F20"/>
        </w:rPr>
        <w:t>filed with</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31F20"/>
        </w:rPr>
        <w:t xml:space="preserve">the SEC on March 20, 2025 </w:t>
      </w:r>
      <w:r>
        <w:rPr>
          <w:rFonts w:ascii="Times New Roman" w:cs="Times New Roman" w:eastAsia="Times New Roman" w:hAnsi="Times New Roman"/>
          <w:sz w:val="18"/>
          <w:szCs w:val="18"/>
          <w:color w:val="000000"/>
        </w:rPr>
        <w:t>for more information.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760" w:type="dxa"/>
            <w:vAlign w:val="bottom"/>
          </w:tcPr>
          <w:p>
            <w:pPr>
              <w:ind w:left="640"/>
              <w:spacing w:after="0"/>
              <w:rPr>
                <w:sz w:val="20"/>
                <w:szCs w:val="20"/>
                <w:color w:val="auto"/>
              </w:rPr>
            </w:pPr>
            <w:r>
              <w:rPr>
                <w:rFonts w:ascii="Times New Roman" w:cs="Times New Roman" w:eastAsia="Times New Roman" w:hAnsi="Times New Roman"/>
                <w:sz w:val="18"/>
                <w:szCs w:val="18"/>
                <w:color w:val="231F20"/>
              </w:rPr>
              <w:t>The following table summarizes our cash flows for the periods presented (</w:t>
            </w:r>
            <w:r>
              <w:rPr>
                <w:rFonts w:ascii="Times New Roman" w:cs="Times New Roman" w:eastAsia="Times New Roman" w:hAnsi="Times New Roman"/>
                <w:sz w:val="18"/>
                <w:szCs w:val="18"/>
                <w:color w:val="000000"/>
              </w:rPr>
              <w:t>in thousands)</w:t>
            </w:r>
            <w:r>
              <w:rPr>
                <w:rFonts w:ascii="Times New Roman" w:cs="Times New Roman" w:eastAsia="Times New Roman" w:hAnsi="Times New Roman"/>
                <w:sz w:val="18"/>
                <w:szCs w:val="18"/>
                <w:color w:val="231F20"/>
              </w:rPr>
              <w:t>:</w:t>
            </w: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40"/>
        </w:trPr>
        <w:tc>
          <w:tcPr>
            <w:tcW w:w="7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20" w:type="dxa"/>
            <w:vAlign w:val="bottom"/>
          </w:tcPr>
          <w:p>
            <w:pPr>
              <w:spacing w:after="0"/>
              <w:rPr>
                <w:sz w:val="24"/>
                <w:szCs w:val="24"/>
                <w:color w:val="auto"/>
              </w:rPr>
            </w:pPr>
          </w:p>
        </w:tc>
        <w:tc>
          <w:tcPr>
            <w:tcW w:w="156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r>
      <w:tr>
        <w:trPr>
          <w:trHeight w:val="239"/>
        </w:trPr>
        <w:tc>
          <w:tcPr>
            <w:tcW w:w="7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June 30, 2025</w:t>
            </w:r>
          </w:p>
        </w:tc>
        <w:tc>
          <w:tcPr>
            <w:tcW w:w="120" w:type="dxa"/>
            <w:vAlign w:val="bottom"/>
          </w:tcPr>
          <w:p>
            <w:pPr>
              <w:spacing w:after="0"/>
              <w:rPr>
                <w:sz w:val="20"/>
                <w:szCs w:val="20"/>
                <w:color w:val="auto"/>
              </w:rPr>
            </w:pPr>
          </w:p>
        </w:tc>
        <w:tc>
          <w:tcPr>
            <w:tcW w:w="1560" w:type="dxa"/>
            <w:vAlign w:val="bottom"/>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22"/>
        </w:trPr>
        <w:tc>
          <w:tcPr>
            <w:tcW w:w="7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(95,929)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(27,540)</w:t>
            </w:r>
          </w:p>
        </w:tc>
      </w:tr>
      <w:tr>
        <w:trPr>
          <w:trHeight w:val="227"/>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r>
      <w:tr>
        <w:trPr>
          <w:trHeight w:val="227"/>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44,190</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Operating Activities</w:t>
      </w:r>
    </w:p>
    <w:p>
      <w:pPr>
        <w:spacing w:after="0" w:line="238"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Since our inception, we have yet to achieve positive cash flow from operations. Our primary uses of cash include compensation and benefits for headcount-related expenses, investment in software and product development of our technology platforms, and associated non-headcount technology and communication cost to develop, operate and support our customer-facing technology platforms.</w:t>
      </w:r>
    </w:p>
    <w:p>
      <w:pPr>
        <w:spacing w:after="0" w:line="183"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231F20"/>
        </w:rPr>
        <w:t xml:space="preserve">Net cash flows used in operating activities of $95.9 million for the six months ended June 30, 2025 was primarily related to cash outflows resulting from change in our operating assets and liabilities of </w:t>
      </w:r>
      <w:r>
        <w:rPr>
          <w:rFonts w:ascii="Times New Roman" w:cs="Times New Roman" w:eastAsia="Times New Roman" w:hAnsi="Times New Roman"/>
          <w:sz w:val="18"/>
          <w:szCs w:val="18"/>
          <w:color w:val="000000"/>
        </w:rPr>
        <w:t>$69.6 million and a $23.6 million non-cash gain resulting from the change in fair value of warrant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liabilities, slightly offset by net income of $13.9 million, and non-cash compensation expense of $9.7 million. Net cash outflows from changes in operating assets and liabilities for the six months ended </w:t>
      </w:r>
      <w:r>
        <w:rPr>
          <w:rFonts w:ascii="Times New Roman" w:cs="Times New Roman" w:eastAsia="Times New Roman" w:hAnsi="Times New Roman"/>
          <w:sz w:val="18"/>
          <w:szCs w:val="18"/>
          <w:color w:val="231F20"/>
        </w:rPr>
        <w:t>June 30, 2025</w:t>
      </w:r>
      <w:r>
        <w:rPr>
          <w:rFonts w:ascii="Times New Roman" w:cs="Times New Roman" w:eastAsia="Times New Roman" w:hAnsi="Times New Roman"/>
          <w:sz w:val="18"/>
          <w:szCs w:val="18"/>
          <w:color w:val="000000"/>
        </w:rPr>
        <w:t xml:space="preserve"> were primarily from a $67.2 million decrease in customer funds mainly related to Webull moving a substantial portion of its trading activity off the Company's platform, the disposition of $3.5 million in net assets for Bakkt Trust, a $2.7 million decrease in operating lease liabilities, primarily related to the assignment of the New York office lease, and a $2.4 million decrease in TSA related party payables, partially offset by a $3.6 million increase in accounts payable.</w:t>
      </w:r>
    </w:p>
    <w:p>
      <w:pPr>
        <w:spacing w:after="0" w:line="180"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231F20"/>
        </w:rPr>
        <w:t xml:space="preserve">Net cash flows used in operating activities of $27.5 million for the six months ended June 30, 2024 was primarily related to our net loss of $56.8 million, offset by net cash inflows resulting from changes in our operating assets and liabilities of $11.3 million and non-cash charges of $17.9 million. Net cash inflows from changes in our operating assets and liabilities for the six months ended June 30, 2024 resulted primarily from a </w:t>
      </w:r>
      <w:r>
        <w:rPr>
          <w:rFonts w:ascii="Times New Roman" w:cs="Times New Roman" w:eastAsia="Times New Roman" w:hAnsi="Times New Roman"/>
          <w:sz w:val="18"/>
          <w:szCs w:val="18"/>
          <w:color w:val="000000"/>
        </w:rPr>
        <w:t>$20.4 million</w:t>
      </w:r>
      <w:r>
        <w:rPr>
          <w:rFonts w:ascii="Times New Roman" w:cs="Times New Roman" w:eastAsia="Times New Roman" w:hAnsi="Times New Roman"/>
          <w:sz w:val="18"/>
          <w:szCs w:val="18"/>
          <w:color w:val="231F20"/>
        </w:rPr>
        <w:t xml:space="preserve"> increase in customer funds and a decrease in prepaid insurance of $7.1 million, partially offset by a decrease of accounts payable and accrued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69" w:name="page70"/>
    <w:bookmarkEnd w:id="69"/>
    <w:p>
      <w:pPr>
        <w:jc w:val="both"/>
        <w:spacing w:after="0" w:line="324" w:lineRule="auto"/>
        <w:rPr>
          <w:sz w:val="20"/>
          <w:szCs w:val="20"/>
          <w:color w:val="auto"/>
        </w:rPr>
      </w:pPr>
      <w:r>
        <w:rPr>
          <w:rFonts w:ascii="Times New Roman" w:cs="Times New Roman" w:eastAsia="Times New Roman" w:hAnsi="Times New Roman"/>
          <w:sz w:val="18"/>
          <w:szCs w:val="18"/>
          <w:color w:val="231F20"/>
        </w:rPr>
        <w:t xml:space="preserve">liabilities of $16.1 million. The non-cash charges primarily consisted of share-based compensation of $10.4 million, loss from change in fair value of warrant liability of </w:t>
      </w:r>
      <w:r>
        <w:rPr>
          <w:rFonts w:ascii="Times New Roman" w:cs="Times New Roman" w:eastAsia="Times New Roman" w:hAnsi="Times New Roman"/>
          <w:sz w:val="18"/>
          <w:szCs w:val="18"/>
          <w:color w:val="000000"/>
        </w:rPr>
        <w:t>$6.1 million</w:t>
      </w:r>
      <w:r>
        <w:rPr>
          <w:rFonts w:ascii="Times New Roman" w:cs="Times New Roman" w:eastAsia="Times New Roman" w:hAnsi="Times New Roman"/>
          <w:sz w:val="18"/>
          <w:szCs w:val="18"/>
          <w:color w:val="231F20"/>
        </w:rPr>
        <w:t xml:space="preserve">, and non-cash lease expense of </w:t>
      </w:r>
      <w:r>
        <w:rPr>
          <w:rFonts w:ascii="Times New Roman" w:cs="Times New Roman" w:eastAsia="Times New Roman" w:hAnsi="Times New Roman"/>
          <w:sz w:val="18"/>
          <w:szCs w:val="18"/>
          <w:color w:val="000000"/>
        </w:rPr>
        <w:t>$1.0 million</w:t>
      </w:r>
      <w:r>
        <w:rPr>
          <w:rFonts w:ascii="Times New Roman" w:cs="Times New Roman" w:eastAsia="Times New Roman" w:hAnsi="Times New Roman"/>
          <w:sz w:val="18"/>
          <w:szCs w:val="18"/>
          <w:color w:val="231F20"/>
        </w:rPr>
        <w: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Investing Activities</w:t>
      </w: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231F20"/>
        </w:rPr>
        <w:t>Net cash flows provided by investing activities of $4.4 million for the six months ended June 30, 2025 consisted of proceeds from the sale of Bakkt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Trust.</w:t>
      </w:r>
    </w:p>
    <w:p>
      <w:pPr>
        <w:spacing w:after="0" w:line="261"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Net cash flows provided by investing activities of $2.0 million for the six months ended June 30, 2024 consisted of the receipt of $22.2 million of proceeds from the sale of available-for-sale securities, partially offset by the purchase of $18.0 million of available-for-sale debt securities and $2.2 million of capitalized costs of internally developed software for our technology platforms.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Financing Activities</w:t>
      </w:r>
    </w:p>
    <w:p>
      <w:pPr>
        <w:spacing w:after="0" w:line="265"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 xml:space="preserve">Net cash flows provided by financing activities of </w:t>
      </w:r>
      <w:r>
        <w:rPr>
          <w:rFonts w:ascii="Times New Roman" w:cs="Times New Roman" w:eastAsia="Times New Roman" w:hAnsi="Times New Roman"/>
          <w:sz w:val="18"/>
          <w:szCs w:val="18"/>
          <w:color w:val="000000"/>
        </w:rPr>
        <w:t>$21.3 million</w:t>
      </w:r>
      <w:r>
        <w:rPr>
          <w:rFonts w:ascii="Times New Roman" w:cs="Times New Roman" w:eastAsia="Times New Roman" w:hAnsi="Times New Roman"/>
          <w:sz w:val="18"/>
          <w:szCs w:val="18"/>
          <w:color w:val="231F20"/>
        </w:rPr>
        <w:t xml:space="preserve"> during the six months ended June 30, 2025 primarily consisted of $23.8 million in proceeds from the issuance of convertible debentures, slightly offset by tax withholding payments of </w:t>
      </w:r>
      <w:r>
        <w:rPr>
          <w:rFonts w:ascii="Times New Roman" w:cs="Times New Roman" w:eastAsia="Times New Roman" w:hAnsi="Times New Roman"/>
          <w:sz w:val="18"/>
          <w:szCs w:val="18"/>
          <w:color w:val="000000"/>
        </w:rPr>
        <w:t>$1.7 million for vested equity awards and $0.8 million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 financing fees related to the Private Placement</w:t>
      </w:r>
      <w:r>
        <w:rPr>
          <w:rFonts w:ascii="Times New Roman" w:cs="Times New Roman" w:eastAsia="Times New Roman" w:hAnsi="Times New Roman"/>
          <w:sz w:val="18"/>
          <w:szCs w:val="18"/>
          <w:color w:val="231F20"/>
        </w:rPr>
        <w:t>.</w:t>
      </w:r>
    </w:p>
    <w:p>
      <w:pPr>
        <w:spacing w:after="0" w:line="170"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 xml:space="preserve">Net cash flows provided by financing activities of </w:t>
      </w:r>
      <w:r>
        <w:rPr>
          <w:rFonts w:ascii="Times New Roman" w:cs="Times New Roman" w:eastAsia="Times New Roman" w:hAnsi="Times New Roman"/>
          <w:sz w:val="18"/>
          <w:szCs w:val="18"/>
          <w:color w:val="000000"/>
        </w:rPr>
        <w:t>$44.2 million</w:t>
      </w:r>
      <w:r>
        <w:rPr>
          <w:rFonts w:ascii="Times New Roman" w:cs="Times New Roman" w:eastAsia="Times New Roman" w:hAnsi="Times New Roman"/>
          <w:sz w:val="18"/>
          <w:szCs w:val="18"/>
          <w:color w:val="231F20"/>
        </w:rPr>
        <w:t xml:space="preserve"> during the six months ended June 30, 2024 primarily consisted of </w:t>
      </w:r>
      <w:r>
        <w:rPr>
          <w:rFonts w:ascii="Times New Roman" w:cs="Times New Roman" w:eastAsia="Times New Roman" w:hAnsi="Times New Roman"/>
          <w:sz w:val="18"/>
          <w:szCs w:val="18"/>
          <w:color w:val="000000"/>
        </w:rPr>
        <w:t>$46.5 million</w:t>
      </w:r>
      <w:r>
        <w:rPr>
          <w:rFonts w:ascii="Times New Roman" w:cs="Times New Roman" w:eastAsia="Times New Roman" w:hAnsi="Times New Roman"/>
          <w:sz w:val="18"/>
          <w:szCs w:val="18"/>
          <w:color w:val="231F20"/>
        </w:rPr>
        <w:t xml:space="preserve"> in proceeds from our Concurrent Offerings, partially offset by the repurchase and retirement of </w:t>
      </w:r>
      <w:r>
        <w:rPr>
          <w:rFonts w:ascii="Times New Roman" w:cs="Times New Roman" w:eastAsia="Times New Roman" w:hAnsi="Times New Roman"/>
          <w:sz w:val="18"/>
          <w:szCs w:val="18"/>
          <w:color w:val="000000"/>
        </w:rPr>
        <w:t>$2.3 million of Class A Common Stock</w:t>
      </w:r>
      <w:r>
        <w:rPr>
          <w:rFonts w:ascii="Times New Roman" w:cs="Times New Roman" w:eastAsia="Times New Roman" w:hAnsi="Times New Roman"/>
          <w:sz w:val="18"/>
          <w:szCs w:val="18"/>
          <w:color w:val="231F20"/>
        </w:rPr>
        <w:t xml:space="preserve"> that was withheld from vested equity grants.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Tax Receivable Agreement</w:t>
      </w:r>
    </w:p>
    <w:p>
      <w:pPr>
        <w:spacing w:after="0" w:line="265"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Concurrently with the completion of the VIH Business Combination, we entered into a Tax Receivable Agreement ("TRA") with certain members of Opco. Pursuant to the TRA, among other things, holders of Opco Common Units may, subject to certain conditions, from and after April 16, 2022, exchange such Opco Common Units (along with a corresponding number of shares of our Class V Common Stock),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Internal Revenue Code for each taxable year in which an exchange of Opco Common Units for Class A Common Stock (or cash) occurs.</w:t>
      </w:r>
    </w:p>
    <w:p>
      <w:pPr>
        <w:spacing w:after="0" w:line="196" w:lineRule="exact"/>
        <w:rPr>
          <w:sz w:val="20"/>
          <w:szCs w:val="20"/>
          <w:color w:val="auto"/>
        </w:rPr>
      </w:pPr>
    </w:p>
    <w:p>
      <w:pPr>
        <w:jc w:val="both"/>
        <w:ind w:right="20" w:firstLine="641"/>
        <w:spacing w:after="0" w:line="301" w:lineRule="auto"/>
        <w:rPr>
          <w:sz w:val="20"/>
          <w:szCs w:val="20"/>
          <w:color w:val="auto"/>
        </w:rPr>
      </w:pPr>
      <w:r>
        <w:rPr>
          <w:rFonts w:ascii="Times New Roman" w:cs="Times New Roman" w:eastAsia="Times New Roman" w:hAnsi="Times New Roman"/>
          <w:sz w:val="18"/>
          <w:szCs w:val="18"/>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70" w:lineRule="exact"/>
        <w:rPr>
          <w:sz w:val="20"/>
          <w:szCs w:val="20"/>
          <w:color w:val="auto"/>
        </w:rPr>
      </w:pPr>
    </w:p>
    <w:p>
      <w:pPr>
        <w:jc w:val="both"/>
        <w:ind w:firstLine="641"/>
        <w:spacing w:after="0" w:line="292" w:lineRule="auto"/>
        <w:rPr>
          <w:sz w:val="20"/>
          <w:szCs w:val="20"/>
          <w:color w:val="auto"/>
        </w:rPr>
      </w:pPr>
      <w:r>
        <w:rPr>
          <w:rFonts w:ascii="Times New Roman" w:cs="Times New Roman" w:eastAsia="Times New Roman" w:hAnsi="Times New Roman"/>
          <w:sz w:val="18"/>
          <w:szCs w:val="18"/>
          <w:color w:val="auto"/>
        </w:rPr>
        <w:t>The TRA provides for the payment by us to exchanging holders of Opco Common Units of 85% of certain net income tax benefits, if any, that we realize (or in certain cases are deemed to realize) as a result of these increases in tax basis related to entering into the TRA, including tax benefits attributable to payments under the TRA. This payment obligation is an obligation of the Company and not of Opco. For purposes of the TRA, the cash tax savings in income tax will be computed by comparing our actual income tax liability (calculated with certain assumptions) to the amount of such taxes that we would have been required to pay had there been no increase to the tax basis of the assets of Opco as a result of Opco having an election in effect under Section 754 of the Code for each taxable year in which an exchange of Opco Common Units for Class A Common Stock occurs and had we not entered into the TRA. Such change will be calculated under the TRA without regard to any transfers of Opco Common Units or distributions with respect to such Opco Common Units before the exchange under the Exchange Agreement to which Section 743(b) or 734(b) of the Code applies. As of June 30, 2025, 1,061,075 Opco Common Units were exchanged for Class A Common Stock. Based on our history of</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70" w:name="page71"/>
    <w:bookmarkEnd w:id="70"/>
    <w:p>
      <w:pPr>
        <w:spacing w:after="0" w:line="324" w:lineRule="auto"/>
        <w:rPr>
          <w:sz w:val="20"/>
          <w:szCs w:val="20"/>
          <w:color w:val="auto"/>
        </w:rPr>
      </w:pPr>
      <w:r>
        <w:rPr>
          <w:rFonts w:ascii="Times New Roman" w:cs="Times New Roman" w:eastAsia="Times New Roman" w:hAnsi="Times New Roman"/>
          <w:sz w:val="18"/>
          <w:szCs w:val="18"/>
          <w:color w:val="auto"/>
        </w:rPr>
        <w:t>taxable losses, we have concluded that it is not probable to expect cash tax payments in the foreseeable future and as such, no value has been recorded under the TRA.</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Contractual Obligations and Commitments</w:t>
      </w:r>
    </w:p>
    <w:p>
      <w:pPr>
        <w:spacing w:after="0" w:line="2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231F20"/>
        </w:rPr>
        <w:t xml:space="preserve">The following is a summary of our significant contractual obligations and commitments as of </w:t>
      </w:r>
      <w:r>
        <w:rPr>
          <w:rFonts w:ascii="Times New Roman" w:cs="Times New Roman" w:eastAsia="Times New Roman" w:hAnsi="Times New Roman"/>
          <w:sz w:val="18"/>
          <w:szCs w:val="18"/>
          <w:color w:val="000000"/>
        </w:rPr>
        <w:t>June 30, 2025</w:t>
      </w:r>
      <w:r>
        <w:rPr>
          <w:rFonts w:ascii="Times New Roman" w:cs="Times New Roman" w:eastAsia="Times New Roman" w:hAnsi="Times New Roman"/>
          <w:sz w:val="18"/>
          <w:szCs w:val="18"/>
          <w:color w:val="231F20"/>
        </w:rPr>
        <w:t xml:space="preserve">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6"/>
          </w:tcPr>
          <w:p>
            <w:pPr>
              <w:jc w:val="right"/>
              <w:ind w:right="351"/>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74"/>
        </w:trPr>
        <w:tc>
          <w:tcPr>
            <w:tcW w:w="35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Less than 1 year</w:t>
            </w: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5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More than 5 years</w:t>
            </w: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0"/>
        </w:trPr>
        <w:tc>
          <w:tcPr>
            <w:tcW w:w="3520" w:type="dxa"/>
            <w:vAlign w:val="bottom"/>
            <w:shd w:val="clear" w:color="auto" w:fill="CCEEFF"/>
          </w:tcPr>
          <w:p>
            <w:pPr>
              <w:ind w:left="20"/>
              <w:spacing w:after="0" w:line="221"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r>
      <w:tr>
        <w:trPr>
          <w:trHeight w:val="227"/>
        </w:trPr>
        <w:tc>
          <w:tcPr>
            <w:tcW w:w="3520" w:type="dxa"/>
            <w:vAlign w:val="bottom"/>
          </w:tcPr>
          <w:p>
            <w:pPr>
              <w:ind w:left="20"/>
              <w:spacing w:after="0" w:line="228" w:lineRule="exact"/>
              <w:rPr>
                <w:sz w:val="20"/>
                <w:szCs w:val="20"/>
                <w:color w:val="auto"/>
              </w:rPr>
            </w:pPr>
            <w:r>
              <w:rPr>
                <w:rFonts w:ascii="Times New Roman" w:cs="Times New Roman" w:eastAsia="Times New Roman" w:hAnsi="Times New Roman"/>
                <w:sz w:val="18"/>
                <w:szCs w:val="18"/>
                <w:color w:val="auto"/>
              </w:rPr>
              <w:t>Future minimum operating lease payments</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20,192</w:t>
            </w:r>
          </w:p>
        </w:tc>
      </w:tr>
      <w:tr>
        <w:trPr>
          <w:trHeight w:val="227"/>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Repayments on line of credit</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9,071</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12,183</w:t>
            </w:r>
          </w:p>
        </w:tc>
        <w:tc>
          <w:tcPr>
            <w:tcW w:w="80" w:type="dxa"/>
            <w:vAlign w:val="bottom"/>
          </w:tcPr>
          <w:p>
            <w:pPr>
              <w:spacing w:after="0"/>
              <w:rPr>
                <w:sz w:val="19"/>
                <w:szCs w:val="19"/>
                <w:color w:val="auto"/>
              </w:rPr>
            </w:pPr>
          </w:p>
        </w:tc>
        <w:tc>
          <w:tcPr>
            <w:tcW w:w="260" w:type="dxa"/>
            <w:vAlign w:val="bottom"/>
            <w:tcBorders>
              <w:top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5,093</w:t>
            </w:r>
          </w:p>
        </w:tc>
        <w:tc>
          <w:tcPr>
            <w:tcW w:w="80" w:type="dxa"/>
            <w:vAlign w:val="bottom"/>
          </w:tcPr>
          <w:p>
            <w:pPr>
              <w:spacing w:after="0"/>
              <w:rPr>
                <w:sz w:val="19"/>
                <w:szCs w:val="19"/>
                <w:color w:val="auto"/>
              </w:rPr>
            </w:pPr>
          </w:p>
        </w:tc>
        <w:tc>
          <w:tcPr>
            <w:tcW w:w="560" w:type="dxa"/>
            <w:vAlign w:val="bottom"/>
            <w:tcBorders>
              <w:top w:val="single" w:sz="8" w:color="auto"/>
            </w:tcBorders>
          </w:tcPr>
          <w:p>
            <w:pPr>
              <w:jc w:val="right"/>
              <w:ind w:right="351"/>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100" w:type="dxa"/>
            <w:vAlign w:val="bottom"/>
          </w:tcPr>
          <w:p>
            <w:pPr>
              <w:spacing w:after="0"/>
              <w:rPr>
                <w:sz w:val="19"/>
                <w:szCs w:val="19"/>
                <w:color w:val="auto"/>
              </w:rPr>
            </w:pPr>
          </w:p>
        </w:tc>
        <w:tc>
          <w:tcPr>
            <w:tcW w:w="320" w:type="dxa"/>
            <w:vAlign w:val="bottom"/>
            <w:tcBorders>
              <w:top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31,192</w:t>
            </w:r>
          </w:p>
        </w:tc>
      </w:tr>
    </w:tbl>
    <w:p>
      <w:pPr>
        <w:spacing w:after="0" w:line="270" w:lineRule="exact"/>
        <w:rPr>
          <w:sz w:val="20"/>
          <w:szCs w:val="20"/>
          <w:color w:val="auto"/>
        </w:rPr>
      </w:pPr>
    </w:p>
    <w:p>
      <w:pPr>
        <w:ind w:left="320" w:right="640" w:hanging="313"/>
        <w:spacing w:after="0" w:line="220" w:lineRule="auto"/>
        <w:tabs>
          <w:tab w:leader="none" w:pos="308"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minimum commitment payments under a four-year cloud computing arrangement. In December 2023, we agreed to amend the cloud computing arrangement and extended the payment period for an additional year.</w:t>
      </w:r>
    </w:p>
    <w:p>
      <w:pPr>
        <w:spacing w:after="0" w:line="1" w:lineRule="exact"/>
        <w:rPr>
          <w:rFonts w:ascii="Times New Roman" w:cs="Times New Roman" w:eastAsia="Times New Roman" w:hAnsi="Times New Roman"/>
          <w:sz w:val="23"/>
          <w:szCs w:val="23"/>
          <w:color w:val="auto"/>
          <w:vertAlign w:val="superscript"/>
        </w:rPr>
      </w:pPr>
    </w:p>
    <w:p>
      <w:pPr>
        <w:ind w:left="320" w:hanging="313"/>
        <w:spacing w:after="0" w:line="192" w:lineRule="auto"/>
        <w:tabs>
          <w:tab w:leader="none" w:pos="320" w:val="left"/>
        </w:tabs>
        <w:numPr>
          <w:ilvl w:val="0"/>
          <w:numId w:val="4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rental payments under operating leases with remaining non-cancellable terms in excess of one year.</w:t>
      </w:r>
    </w:p>
    <w:p>
      <w:pPr>
        <w:spacing w:after="0" w:line="196" w:lineRule="exact"/>
        <w:rPr>
          <w:sz w:val="20"/>
          <w:szCs w:val="20"/>
          <w:color w:val="auto"/>
        </w:rPr>
      </w:pPr>
    </w:p>
    <w:p>
      <w:pPr>
        <w:jc w:val="both"/>
        <w:ind w:firstLine="641"/>
        <w:spacing w:after="0" w:line="288" w:lineRule="auto"/>
        <w:rPr>
          <w:sz w:val="20"/>
          <w:szCs w:val="20"/>
          <w:color w:val="auto"/>
        </w:rPr>
      </w:pPr>
      <w:r>
        <w:rPr>
          <w:rFonts w:ascii="Times New Roman" w:cs="Times New Roman" w:eastAsia="Times New Roman" w:hAnsi="Times New Roman"/>
          <w:sz w:val="18"/>
          <w:szCs w:val="18"/>
          <w:color w:val="auto"/>
        </w:rPr>
        <w:t>On April 7, 2022, we entered into a corporate card services agreement with Bank of America to provide a purchasing card facility that we utilize for redemption purchases made from vendors as part of our loyalty redemption platform. Expenditures made using the purchasing card facility were payable at least bi-monthly, are not subject to formula-based restrictions and do not bear interest if amounts outstanding are paid when due and in full. The purchasing card facility required us to maintain a concentration account with the lender subject to a minimum liquidity maintenance requirement of $7.0 million along with the accounts receivable of our subsidiary, within the loyalty business. Bakkt Holdings, Inc. serves as the guarantor on behalf of our subsidiary under the commercial purchasing card facility. In March 2024, Bank of America required us to pledge as collateral the amounts which were previously required to be maintained in the concentration account. In April 2024, Bank of America reduced our credit line associated with the purchasing card facility from $35.0 million to $20.0 million. In January 2025, Bank of America further reduced our credit line associated with the purchasing card facility from $20.0 million to $18.0 million and changed payment frequency to weekly. There is no defined maturity date for the purchasing card facility. In March 2025, Bank of America further reduced the credit line to $15.0 million.</w:t>
      </w:r>
    </w:p>
    <w:p>
      <w:pPr>
        <w:spacing w:after="0" w:line="201"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On March 19, 2025, we entered into a Cooperation Agreement with DTR and Akshay Naheta, the sole stockholder of DTR, pursuant to which DTR will provide, subject to the negotiation and execution of a definitive commercial agreement, us with certain exclusive payment processing technology, application programming interfaces, and infrastructure to be integrated into our platform for the enablement of global payments processing services in the jurisdictions where we or our affiliates operate.</w:t>
      </w:r>
    </w:p>
    <w:p>
      <w:pPr>
        <w:spacing w:after="0" w:line="191"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On the date that is twelve (12) months following the date of on which we initiate processing payments using all or part of DTR’s technology (the “Call Event Deadline”), we shall have the exclusive right (such right, the “Call Option”) to require Mr. Naheta to sell, convey, transfer, assign and deliver to us 100% of the capital stock and all other equity interests of DTR (the “DTR Equity”). This Call Option may be exercised by us at any time prior to the Call Event Deadline. If we do not exercise the Call Option within the Call Event Deadline, then for a period beginning on the date of expiration of the Call Event Deadline and ending on the second anniversary of the Call Event Deadline, if DTR or Mr. Naheta receives an offer or proposal from a third-party to purchase more than 50% of the DTR Equity, then (i) Mr. Naheta shall provide written notice to us of the material financial and other terms and conditions of such offer or proposal (such notice, the “ROFR Notice”) and (ii) for a period of 15 days following receipt of the ROFR Notice, we shall have the right to purchase the DTR Equity on the same terms as set forth in the ROFR Notice (the “ROFR”). The ROFR Notice will expire in the event that (a) the terms proposed by us are not the same or as favorable as those in the ROFR Notice or (b) we exercise the ROFR pursuant to a ROFR Notice but the ROFR transaction is not consummated within 90 days following the date of the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71" w:name="page72"/>
    <w:bookmarkEnd w:id="71"/>
    <w:p>
      <w:pPr>
        <w:jc w:val="both"/>
        <w:spacing w:after="0" w:line="324" w:lineRule="auto"/>
        <w:rPr>
          <w:sz w:val="20"/>
          <w:szCs w:val="20"/>
          <w:color w:val="auto"/>
        </w:rPr>
      </w:pPr>
      <w:r>
        <w:rPr>
          <w:rFonts w:ascii="Times New Roman" w:cs="Times New Roman" w:eastAsia="Times New Roman" w:hAnsi="Times New Roman"/>
          <w:sz w:val="18"/>
          <w:szCs w:val="18"/>
          <w:color w:val="auto"/>
        </w:rPr>
        <w:t>ROFR Notice, subject to certain automatic extensions for regulatory approvals, required authorizations or our stockholder approval, which such automatic extension shall not exceed 90 days.</w:t>
      </w:r>
    </w:p>
    <w:p>
      <w:pPr>
        <w:spacing w:after="0" w:line="149"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If the cumulative volume of payments processed by us utilizing DTR’s technology or otherwise facilitated by DTR’s technology infrastructure for enabling global payment processing exceeds $2 billion during any 18-month period following the date of the Cooperation Agreement (the “Put Event”), then within three years of such Put Event (the “Put Event Deadline”), Mr. Naheta shall have the right to require us to purchase, acquire and accept from Mr. Naheta the DTR Equity (the “Put Option”).</w:t>
      </w:r>
    </w:p>
    <w:p>
      <w:pPr>
        <w:spacing w:after="0" w:line="171"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As consideration for the sale of the DTR Equity contemplated by a Put Option or a Call Option, Mr. Naheta will be entitled, in exchange for all of the DTR Equity, to a number of shares of the Class A Common Stock, representing at least 19.9% and no more than 31.5%, of our aggregate common stock (which such total shall include the shares of the then outstanding and issued Class A Common Stock and the shares of Class A Common Stock then exchangeable for the paired interests represented by our Class V Common Stock, par value $0.0001 per share), plus the aggregate number of shares of our Class A Common Stock issuable upon full exercise or conversion of any options, warrants or other convertible or derivative securities then outstanding, on an as-converted basis, which shall not include our publicly traded warrants currently listed on the NYSE (BKKT WS) and any warrants to purchases of Class A Common Stock that are below the Bakkt Share Price (as defined below) (the “Bakkt Share Number”) subject to any DTR Adjustment (as defined below); provided that Mr. Naheta will be entitled to a “top up” of additional shares of Class A Common Stock to the extent any such public warrants are actually exercised. Any indebtedness of DTR outstanding immediately prior to the closing of a Call Option or Put Option transaction and certain transaction expenses in excess of $1.0 million incurred by or on behalf of DTR or Mr. Naheta (such amount, the “DTR Value”) shall proportionately reduce the number of shares Mr. Naheta is entitled to receive in a Put Option or Call Option transaction (the “DTR Adjustment”).</w:t>
      </w:r>
    </w:p>
    <w:p>
      <w:pPr>
        <w:spacing w:after="0" w:line="178" w:lineRule="exact"/>
        <w:rPr>
          <w:sz w:val="20"/>
          <w:szCs w:val="20"/>
          <w:color w:val="auto"/>
        </w:rPr>
      </w:pPr>
    </w:p>
    <w:p>
      <w:pPr>
        <w:jc w:val="both"/>
        <w:ind w:firstLine="641"/>
        <w:spacing w:after="0" w:line="289" w:lineRule="auto"/>
        <w:rPr>
          <w:sz w:val="20"/>
          <w:szCs w:val="20"/>
          <w:color w:val="auto"/>
        </w:rPr>
      </w:pPr>
      <w:r>
        <w:rPr>
          <w:rFonts w:ascii="Times New Roman" w:cs="Times New Roman" w:eastAsia="Times New Roman" w:hAnsi="Times New Roman"/>
          <w:sz w:val="18"/>
          <w:szCs w:val="18"/>
          <w:color w:val="auto"/>
        </w:rPr>
        <w:t>If either we or Mr. Naheta shall exercise the above described Call Option or Put Option, respectively, such transaction shall be (i) executed pursuant to a customary purchase agreement that will contain representations, warranties and interim operating covenants by the Company, DTR and Mr. Naheta that are customary for a transaction of this nature (the “Definitive Agreement”), (ii) subject to, among other things, obtaining any required regulatory approvals, non-objections and/or similar authorizations, our stockholder approval (including compliance with any applicable requirements of the NYSE) and Delaware law, (iii) subject to receipt by us of a fairness opinion from an independent financial advisor, (iv) subject to the execution by the parties of a definitive agreement reflecting the commercial arrangement described above, and (v) subject to us having terminated any lines of credit in effect on the date of the Cooperation Agreement and having repaid in full any indebtedness then outstanding and borrowed thereunder. The Definitive Agreement shall also provide for a clause to allow the Special Committee of the Board to pursue any superior proposal for a transaction that, if consummated, would result in our change of control that is conditioned upon the termination of the Put Option; provided, that we will negotiate reasonably and in good faith with any prospective party to include the Put Option or have such Put Option exercised immediately prior to the closing of such proposed transaction. If, after such negotiation, the Put Option will be terminated, we will be obligated to pay Mr. Naheta a termination fee of 3.0% of the DTR Value, as determined immediately prior to the termination of the Put Option.</w:t>
      </w:r>
    </w:p>
    <w:p>
      <w:pPr>
        <w:spacing w:after="0" w:line="188" w:lineRule="exact"/>
        <w:rPr>
          <w:sz w:val="20"/>
          <w:szCs w:val="20"/>
          <w:color w:val="auto"/>
        </w:rPr>
      </w:pPr>
    </w:p>
    <w:p>
      <w:pPr>
        <w:jc w:val="both"/>
        <w:ind w:firstLine="641"/>
        <w:spacing w:after="0" w:line="297" w:lineRule="auto"/>
        <w:rPr>
          <w:sz w:val="20"/>
          <w:szCs w:val="20"/>
          <w:color w:val="auto"/>
        </w:rPr>
      </w:pPr>
      <w:r>
        <w:rPr>
          <w:rFonts w:ascii="Times New Roman" w:cs="Times New Roman" w:eastAsia="Times New Roman" w:hAnsi="Times New Roman"/>
          <w:sz w:val="18"/>
          <w:szCs w:val="18"/>
          <w:color w:val="auto"/>
        </w:rPr>
        <w:t>The price payable by us for the DTR Equity in any such Put Option or Call Option transaction shall be the fair market value as determined by a third-party valuation from an independent valuation firm, and the price of the Class A Common Stock to be issued in a Put Option or Call Option transaction shall be equal to the volume weighted average price of the Class A Common Stock on the NYSE over the 30 consecutive trading day period ending on the trading day immediately preceding the date on which the Class A Common Stock would be issued pursuant to the Cooperation Agreement (the “Bakkt Share Price”), subject to the floor and price cap mechanisms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Non-GAAP Financial Measures</w:t>
      </w:r>
    </w:p>
    <w:p>
      <w:pPr>
        <w:spacing w:after="0" w:line="238" w:lineRule="exact"/>
        <w:rPr>
          <w:sz w:val="20"/>
          <w:szCs w:val="20"/>
          <w:color w:val="auto"/>
        </w:rPr>
      </w:pPr>
    </w:p>
    <w:p>
      <w:pPr>
        <w:jc w:val="both"/>
        <w:ind w:firstLine="641"/>
        <w:spacing w:after="0" w:line="324" w:lineRule="auto"/>
        <w:rPr>
          <w:sz w:val="20"/>
          <w:szCs w:val="20"/>
          <w:color w:val="auto"/>
        </w:rPr>
      </w:pPr>
      <w:r>
        <w:rPr>
          <w:rFonts w:ascii="Times New Roman" w:cs="Times New Roman" w:eastAsia="Times New Roman" w:hAnsi="Times New Roman"/>
          <w:sz w:val="18"/>
          <w:szCs w:val="18"/>
          <w:color w:val="auto"/>
        </w:rPr>
        <w:t xml:space="preserve">The unaudited interim consolidated financial statements included in this Report are prepared in accordance with United States generally accepted accounting principles (“GAAP”). </w:t>
      </w:r>
      <w:r>
        <w:rPr>
          <w:rFonts w:ascii="Times New Roman" w:cs="Times New Roman" w:eastAsia="Times New Roman" w:hAnsi="Times New Roman"/>
          <w:sz w:val="18"/>
          <w:szCs w:val="18"/>
          <w:color w:val="231F20"/>
        </w:rPr>
        <w:t>We use non-GAAP financial measures to assist in</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72" w:name="page73"/>
    <w:bookmarkEnd w:id="72"/>
    <w:p>
      <w:pPr>
        <w:jc w:val="both"/>
        <w:spacing w:after="0" w:line="293" w:lineRule="auto"/>
        <w:rPr>
          <w:sz w:val="20"/>
          <w:szCs w:val="20"/>
          <w:color w:val="auto"/>
        </w:rPr>
      </w:pPr>
      <w:r>
        <w:rPr>
          <w:rFonts w:ascii="Times New Roman" w:cs="Times New Roman" w:eastAsia="Times New Roman" w:hAnsi="Times New Roman"/>
          <w:sz w:val="18"/>
          <w:szCs w:val="18"/>
          <w:color w:val="231F20"/>
        </w:rPr>
        <w:t>comparing our performance on a consistent basis for purposes of business decision-making by removing the impact of certain items that management believes do not directly reflect our core operations. We believe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w:t>
      </w:r>
    </w:p>
    <w:p>
      <w:pPr>
        <w:spacing w:after="0" w:line="193"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We believe that the presentation of the following non-GAAP financial measures, when considered together with the corresponding GAAP financial measures and the reconciliations to those measures provided herein, provides investors with an additional understanding of the factors and trends affecting our business that could not be obtained absent these disclosures.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Adjusted EBITDA</w:t>
      </w: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231F20"/>
        </w:rPr>
        <w:t>We present Adjusted EBITDA as a non-GAAP financial measure.</w:t>
      </w:r>
    </w:p>
    <w:p>
      <w:pPr>
        <w:spacing w:after="0" w:line="247" w:lineRule="exact"/>
        <w:rPr>
          <w:sz w:val="20"/>
          <w:szCs w:val="20"/>
          <w:color w:val="auto"/>
        </w:rPr>
      </w:pPr>
    </w:p>
    <w:p>
      <w:pPr>
        <w:jc w:val="both"/>
        <w:ind w:firstLine="641"/>
        <w:spacing w:after="0" w:line="292" w:lineRule="auto"/>
        <w:rPr>
          <w:sz w:val="20"/>
          <w:szCs w:val="20"/>
          <w:color w:val="auto"/>
        </w:rPr>
      </w:pPr>
      <w:r>
        <w:rPr>
          <w:rFonts w:ascii="Times New Roman" w:cs="Times New Roman" w:eastAsia="Times New Roman" w:hAnsi="Times New Roman"/>
          <w:sz w:val="18"/>
          <w:szCs w:val="18"/>
          <w:color w:val="231F20"/>
        </w:rPr>
        <w:t>We believe that Adjusted EBITDA provides relevant and useful information, which is used by management in assessing the performance of our business. EBITDA is defined as earnings before interest, income taxes, depreciation, and amortization. Adjusted EBITDA is defined as EBITDA before share-based and unit-based compensation expense, goodwill and intangible assets impairments, restructuring charges, changes in the fair value of our warrant liability and certain other non-cash and/or non-recurring items that do not contribute directly to our evaluation of operating results and are not components of our core business operations. Adjusted EBITDA provides management with an understanding of earnings before the impact of investing and financing transactions and income taxes, and the effects of 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spacing w:after="0" w:line="178"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231F20"/>
        </w:rPr>
        <w:t>Non-GAAP financial measures like Adjusted EBITDA have limitations, should be considered as supplemental in nature and are not meant as a substitute for the related financial information prepared in accordance with GAAP. The non-GAAP financial measures should be considered alongside other financial performance measures, including net income (loss) and our other financial results presented in accordance with GAAP.</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73" w:name="page74"/>
    <w:bookmarkEnd w:id="73"/>
    <w:p>
      <w:pPr>
        <w:ind w:left="640"/>
        <w:spacing w:after="0"/>
        <w:rPr>
          <w:sz w:val="20"/>
          <w:szCs w:val="20"/>
          <w:color w:val="auto"/>
        </w:rPr>
      </w:pPr>
      <w:r>
        <w:rPr>
          <w:rFonts w:ascii="Times New Roman" w:cs="Times New Roman" w:eastAsia="Times New Roman" w:hAnsi="Times New Roman"/>
          <w:sz w:val="18"/>
          <w:szCs w:val="18"/>
          <w:color w:val="231F20"/>
        </w:rPr>
        <w:t>The following table presents a reconciliation of net income (loss), the most directly comparable GAAP operating performance measure, to our</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Adjusted EBITDA for each of the periods indicated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tcPr>
          <w:p>
            <w:pPr>
              <w:spacing w:after="0"/>
              <w:rPr>
                <w:sz w:val="17"/>
                <w:szCs w:val="17"/>
                <w:color w:val="auto"/>
              </w:rPr>
            </w:pPr>
          </w:p>
        </w:tc>
        <w:tc>
          <w:tcPr>
            <w:tcW w:w="178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7"/>
                <w:szCs w:val="17"/>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140" w:type="dxa"/>
            <w:vAlign w:val="bottom"/>
          </w:tcPr>
          <w:p>
            <w:pPr>
              <w:spacing w:after="0"/>
              <w:rPr>
                <w:sz w:val="17"/>
                <w:szCs w:val="17"/>
                <w:color w:val="auto"/>
              </w:rPr>
            </w:pPr>
          </w:p>
        </w:tc>
        <w:tc>
          <w:tcPr>
            <w:tcW w:w="1560" w:type="dxa"/>
            <w:vAlign w:val="bottom"/>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r>
      <w:tr>
        <w:trPr>
          <w:trHeight w:val="239"/>
        </w:trPr>
        <w:tc>
          <w:tcPr>
            <w:tcW w:w="4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220" w:type="dxa"/>
            <w:vAlign w:val="bottom"/>
          </w:tcPr>
          <w:p>
            <w:pPr>
              <w:spacing w:after="0"/>
              <w:rPr>
                <w:sz w:val="20"/>
                <w:szCs w:val="20"/>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tcPr>
          <w:p>
            <w:pPr>
              <w:spacing w:after="0"/>
              <w:rPr>
                <w:sz w:val="20"/>
                <w:szCs w:val="20"/>
                <w:color w:val="auto"/>
              </w:rPr>
            </w:pP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40" w:type="dxa"/>
            <w:vAlign w:val="bottom"/>
          </w:tcPr>
          <w:p>
            <w:pPr>
              <w:spacing w:after="0"/>
              <w:rPr>
                <w:sz w:val="20"/>
                <w:szCs w:val="20"/>
                <w:color w:val="auto"/>
              </w:rPr>
            </w:pPr>
          </w:p>
        </w:tc>
        <w:tc>
          <w:tcPr>
            <w:tcW w:w="156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22"/>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(13,915)</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(56,787)</w:t>
            </w:r>
          </w:p>
        </w:tc>
      </w:tr>
      <w:tr>
        <w:trPr>
          <w:trHeight w:val="227"/>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2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r>
      <w:tr>
        <w:trPr>
          <w:trHeight w:val="227"/>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(58,584)</w:t>
            </w:r>
          </w:p>
        </w:tc>
      </w:tr>
      <w:tr>
        <w:trPr>
          <w:trHeight w:val="227"/>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22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2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and unit-based compensation expense</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w:t>
            </w:r>
          </w:p>
        </w:tc>
      </w:tr>
      <w:tr>
        <w:trPr>
          <w:trHeight w:val="227"/>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(gain) from change in fair value of warrant liability</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w:t>
            </w:r>
          </w:p>
        </w:tc>
      </w:tr>
      <w:tr>
        <w:trPr>
          <w:trHeight w:val="22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7"/>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22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7,067</w:t>
            </w:r>
          </w:p>
        </w:tc>
      </w:tr>
      <w:tr>
        <w:trPr>
          <w:trHeight w:val="22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Shelf registration expenses</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7"/>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Transition services expense</w:t>
            </w:r>
          </w:p>
        </w:tc>
        <w:tc>
          <w:tcPr>
            <w:tcW w:w="220" w:type="dxa"/>
            <w:vAlign w:val="bottom"/>
          </w:tcPr>
          <w:p>
            <w:pPr>
              <w:spacing w:after="0"/>
              <w:rPr>
                <w:sz w:val="19"/>
                <w:szCs w:val="19"/>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2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lease assignment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sale of Bakkt Trust</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loss</w:t>
            </w: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(12,555)</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(27,101)</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(34,175)</w:t>
            </w:r>
          </w:p>
        </w:tc>
      </w:tr>
      <w:tr>
        <w:trPr>
          <w:trHeight w:val="20"/>
        </w:trPr>
        <w:tc>
          <w:tcPr>
            <w:tcW w:w="4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231F20"/>
        </w:rPr>
        <w:t>Adjusted EBITDA loss for the three months ended June 30, 2025 decreased by $5.4 million or 29.9% as compared to the three months ended June 30, 2024 primarily due to an overall lower net loss for the three months ended June 30, 2025 relative to the same period in the prior year. The lower net loss was primarily due to $2.3 million lower compensation expense, a $3.9 million increase in the share-based and unit-based compensation component of compensation expense, and a $1.9 million decrease in selling, general and administrative expenses, partially offset by $3.0 million lower net loyalty services revenue for the three months ended June 30, 2025 relative to the three months ended June 30, 2024.</w:t>
      </w:r>
    </w:p>
    <w:p>
      <w:pPr>
        <w:spacing w:after="0" w:line="206"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231F20"/>
        </w:rPr>
        <w:t>Adjusted EBITDA loss for the six months ended June 30, 2025 decreased by $7.1 million or 20.7% as compared to the six months ended June 30, 2024 mainly due to an overall lower net loss for the six months ended June 30, 2025 relative to the same period in the prior year. The decreased loss was primarily due to a $9.0 million lower compensation expense, a $5.9 million decrease in selling, general and administrative expenses and a $3.0 million decrease in technology and communications expense partially offset by $7.1 million lower net loyalty services revenue, a $2.0 million increase in professional services expense, and a $0.7 million decline in the share-based and unit-based compensation component of compensation expense for the six months ended June 30, 2025 relative to the six months ended June 30, 2024.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Critical Accounting Policies and Estimates</w:t>
      </w:r>
    </w:p>
    <w:p>
      <w:pPr>
        <w:spacing w:after="0" w:line="238"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231F20"/>
        </w:rPr>
        <w:t>Our consolidated financial statements are prepared in accordance with GAAP, which requires us to make estimates and apply judgments that affect the reported amounts. In our notes to the unaudited consolidated financial statements, we describe the significant accounting policies used in preparing the consolidated financial statements. Our management has discussed the development, selection, and disclosure of our critical accounting policies and estimates with the Audit and Risk Committee of the Board. For further information about our critical accounting policies and estimates, refer to “</w:t>
      </w:r>
      <w:r>
        <w:rPr>
          <w:rFonts w:ascii="Times New Roman" w:cs="Times New Roman" w:eastAsia="Times New Roman" w:hAnsi="Times New Roman"/>
          <w:sz w:val="18"/>
          <w:szCs w:val="18"/>
          <w:i w:val="1"/>
          <w:iCs w:val="1"/>
          <w:color w:val="231F20"/>
        </w:rPr>
        <w:t>Item 7. Management’s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Discussion and Analysis of Financial Condition and Results of Operations</w:t>
      </w:r>
      <w:r>
        <w:rPr>
          <w:rFonts w:ascii="Times New Roman" w:cs="Times New Roman" w:eastAsia="Times New Roman" w:hAnsi="Times New Roman"/>
          <w:sz w:val="18"/>
          <w:szCs w:val="18"/>
          <w:color w:val="231F20"/>
        </w:rPr>
        <w:t>” in our Form 10-K filed with the SEC on March 20, 2025. There have been no</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material changes to our critical accounting policies and estimates since the filing of our Form 10-K.</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231F20"/>
        </w:rPr>
        <w:t>Use of Estimates</w:t>
      </w:r>
    </w:p>
    <w:p>
      <w:pPr>
        <w:spacing w:after="0" w:line="238"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 xml:space="preserve">The preparation of consolidated financial statements in conformity with U.S. GAAP requires management to make estimates and assumptions that affect the amounts reported in our consolidated financial statements and accompanying notes. We base our estimates and assumptions on various judgments that we believe to be reasonable under the circumstances. </w:t>
      </w:r>
      <w:r>
        <w:rPr>
          <w:rFonts w:ascii="Times New Roman" w:cs="Times New Roman" w:eastAsia="Times New Roman" w:hAnsi="Times New Roman"/>
          <w:sz w:val="18"/>
          <w:szCs w:val="18"/>
          <w:color w:val="231F20"/>
        </w:rPr>
        <w:t>The significant estimates and assumptions that affect the financial statements may include, but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not limited to, going concern, income tax valuation allowances, useful lives of intangible assets and property, equipment and software, fair value of financial assets and liabilities, determining provision for credit losses, valuation of acquired tangible and intangible assets, the impairment of intangible assets and goodwill, and fair market value of Bakkt incentive units. Actual results and outcomes may differ from management's estimates and assumptions and such differences may be material to our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Recently Issued and Adopted Accounting Pronouncements</w:t>
      </w:r>
    </w:p>
    <w:p>
      <w:pPr>
        <w:spacing w:after="0" w:line="23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231F20"/>
        </w:rPr>
        <w:t xml:space="preserve">Recently issued and adopted accounting pronouncements are described in Note 2 in the unaudited consolidated financial statements </w:t>
      </w:r>
      <w:r>
        <w:rPr>
          <w:rFonts w:ascii="Times New Roman" w:cs="Times New Roman" w:eastAsia="Times New Roman" w:hAnsi="Times New Roman"/>
          <w:sz w:val="17"/>
          <w:szCs w:val="17"/>
          <w:color w:val="000000"/>
        </w:rPr>
        <w:t>included in this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w:t>
      </w:r>
      <w:r>
        <w:rPr>
          <w:rFonts w:ascii="Times New Roman" w:cs="Times New Roman" w:eastAsia="Times New Roman" w:hAnsi="Times New Roman"/>
          <w:sz w:val="18"/>
          <w:szCs w:val="18"/>
          <w:color w:val="231F20"/>
        </w:rPr>
        <w: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38" w:lineRule="exact"/>
        <w:rPr>
          <w:sz w:val="20"/>
          <w:szCs w:val="20"/>
          <w:color w:val="auto"/>
        </w:rPr>
      </w:pPr>
    </w:p>
    <w:p>
      <w:pPr>
        <w:jc w:val="both"/>
        <w:ind w:firstLine="641"/>
        <w:spacing w:after="0" w:line="290" w:lineRule="auto"/>
        <w:rPr>
          <w:sz w:val="20"/>
          <w:szCs w:val="20"/>
          <w:color w:val="auto"/>
        </w:rPr>
      </w:pPr>
      <w:r>
        <w:rPr>
          <w:rFonts w:ascii="Times New Roman" w:cs="Times New Roman" w:eastAsia="Times New Roman" w:hAnsi="Times New Roman"/>
          <w:sz w:val="18"/>
          <w:szCs w:val="18"/>
          <w:color w:val="auto"/>
        </w:rPr>
        <w:t>As required by Rule 13a-15(b) under the Securities Exchange Act of 1934, as amended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 13a-15(e) and 15d-15(e) under the Exchange Act) as of the end of the period covered by this Report. Our disclosure controls and procedures are designed to provide reasonable assurance that the information required to be disclosed by us in reports that we file under the Exchange Act is accumulated and communicated to management, including our President and Co-Chief Executive Officer (principal executive officer) and Chief Financial Officer (principal financial officer), as appropriate, to allow timely decisions regarding required disclosure and is recorded, processed, summarized, and reported within the time periods specified in the rules and forms of the SEC. Based on the evaluation of our disclosure controls and procedures, our President and Co-Chief Executive Officer and Chief Financial Officer have concluded that as of June 30, 2025, our disclosure controls and procedures were, in design and operation, effective at a reasonable assurance level.</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51"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 xml:space="preserve">There were no changes to our internal control over financial reporting (as defined in Rule 13a-15(f) and Rule 15d-15(f) under the Exchange Act) during the quarter ended </w:t>
      </w:r>
      <w:r>
        <w:rPr>
          <w:rFonts w:ascii="Times New Roman" w:cs="Times New Roman" w:eastAsia="Times New Roman" w:hAnsi="Times New Roman"/>
          <w:sz w:val="18"/>
          <w:szCs w:val="18"/>
          <w:color w:val="231F20"/>
        </w:rPr>
        <w:t>June 30, 2025</w:t>
      </w:r>
      <w:r>
        <w:rPr>
          <w:rFonts w:ascii="Times New Roman" w:cs="Times New Roman" w:eastAsia="Times New Roman" w:hAnsi="Times New Roman"/>
          <w:sz w:val="18"/>
          <w:szCs w:val="18"/>
          <w:color w:val="auto"/>
        </w:rPr>
        <w:t xml:space="preserve"> that have materially affected, or are reasonably likely to materially affect, our internal control over financial reporting.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Controls and Procedures</w:t>
      </w:r>
    </w:p>
    <w:p>
      <w:pPr>
        <w:spacing w:after="0" w:line="265" w:lineRule="exact"/>
        <w:rPr>
          <w:sz w:val="20"/>
          <w:szCs w:val="20"/>
          <w:color w:val="auto"/>
        </w:rPr>
      </w:pPr>
    </w:p>
    <w:p>
      <w:pPr>
        <w:jc w:val="both"/>
        <w:ind w:firstLine="641"/>
        <w:spacing w:after="0" w:line="293"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principal executive officer and principal financial officer, believe that our disclosure controls and procedures and internal control over financial reporting are designed to provide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75" w:name="page76"/>
    <w:bookmarkEnd w:id="75"/>
    <w:p>
      <w:pPr>
        <w:spacing w:after="0" w:line="324" w:lineRule="auto"/>
        <w:rPr>
          <w:sz w:val="20"/>
          <w:szCs w:val="20"/>
          <w:color w:val="auto"/>
        </w:rPr>
      </w:pPr>
      <w:r>
        <w:rPr>
          <w:rFonts w:ascii="Times New Roman" w:cs="Times New Roman" w:eastAsia="Times New Roman" w:hAnsi="Times New Roman"/>
          <w:sz w:val="18"/>
          <w:szCs w:val="18"/>
          <w:color w:val="auto"/>
        </w:rPr>
        <w:t>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65" w:lineRule="exact"/>
        <w:rPr>
          <w:sz w:val="20"/>
          <w:szCs w:val="20"/>
          <w:color w:val="auto"/>
        </w:rPr>
      </w:pPr>
    </w:p>
    <w:p>
      <w:pPr>
        <w:jc w:val="both"/>
        <w:ind w:firstLine="641"/>
        <w:spacing w:after="0" w:line="301" w:lineRule="auto"/>
        <w:rPr>
          <w:sz w:val="20"/>
          <w:szCs w:val="20"/>
          <w:color w:val="auto"/>
        </w:rPr>
      </w:pPr>
      <w:r>
        <w:rPr>
          <w:rFonts w:ascii="Times New Roman" w:cs="Times New Roman" w:eastAsia="Times New Roman" w:hAnsi="Times New Roman"/>
          <w:sz w:val="18"/>
          <w:szCs w:val="18"/>
          <w:color w:val="auto"/>
        </w:rPr>
        <w:t>From time to time we are subject to legal proceedings and claims arising in the ordinary course of business. Based on our current knowledge, we believe that the amount or range of reasonably possible losses will not, either individually or in the aggregate, have a material adverse effect on our business, results of operations, or financial condition.</w:t>
      </w:r>
    </w:p>
    <w:p>
      <w:pPr>
        <w:spacing w:after="0" w:line="170" w:lineRule="exact"/>
        <w:rPr>
          <w:sz w:val="20"/>
          <w:szCs w:val="20"/>
          <w:color w:val="auto"/>
        </w:rPr>
      </w:pPr>
    </w:p>
    <w:p>
      <w:pPr>
        <w:jc w:val="both"/>
        <w:ind w:firstLine="641"/>
        <w:spacing w:after="0" w:line="299" w:lineRule="auto"/>
        <w:rPr>
          <w:sz w:val="20"/>
          <w:szCs w:val="20"/>
          <w:color w:val="auto"/>
        </w:rPr>
      </w:pPr>
      <w:r>
        <w:rPr>
          <w:rFonts w:ascii="Times New Roman" w:cs="Times New Roman" w:eastAsia="Times New Roman" w:hAnsi="Times New Roman"/>
          <w:sz w:val="18"/>
          <w:szCs w:val="18"/>
          <w:color w:val="auto"/>
        </w:rPr>
        <w:t>The results of any litigation cannot be predicted with certainty, and an unfavorable resolution in any legal proceedings could materially affect our future business, results of operations, or financial condition. Regardless of the outcome, litigation can have an adverse impact on us because of defense and settlement costs, diversion of management resources, and other factors. For additional information regarding our ongoing legal proceedings, refer to Notes 14 in our unaudited consolidated financial statements included in this Report.</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1" w:lineRule="exact"/>
        <w:rPr>
          <w:sz w:val="20"/>
          <w:szCs w:val="20"/>
          <w:color w:val="auto"/>
        </w:rPr>
      </w:pPr>
    </w:p>
    <w:p>
      <w:pPr>
        <w:jc w:val="both"/>
        <w:ind w:firstLine="641"/>
        <w:spacing w:after="0" w:line="294" w:lineRule="auto"/>
        <w:rPr>
          <w:sz w:val="20"/>
          <w:szCs w:val="20"/>
          <w:color w:val="auto"/>
        </w:rPr>
      </w:pPr>
      <w:r>
        <w:rPr>
          <w:rFonts w:ascii="Times New Roman" w:cs="Times New Roman" w:eastAsia="Times New Roman" w:hAnsi="Times New Roman"/>
          <w:sz w:val="18"/>
          <w:szCs w:val="18"/>
          <w:color w:val="auto"/>
        </w:rPr>
        <w:t>In addition to the information set forth in this Report, you should carefully consider the risk factors and other cautionary statements described under the heading “Part I—Item 1A—Risk Factors” of our most recent Annual Report on Form 10-K and in “Part II—Item 1A—Risk Factors” of our Quarterly Report on Form 10-Q for the quarter ended March 31, 2025. In addition, you should consider the risks, uncertainties and assumptions discussed under the heading “Risk Factors Related to the Update of Our Investment Policy” in Exhibit 99.1 to our Current Report on Form 8-K filed on June 10, 2025, which is hereby incorporated by reference into this Quarterly Report on Form 10-Q. Additional risks and uncertainties not currently known to us or that we currently deem to be immaterial also may materially adversely affect our business, financial condition, or future results.</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Future issuances and sales into the market of our Common Stock or other equity securities may reduce the market price of our securities.</w:t>
      </w:r>
    </w:p>
    <w:p>
      <w:pPr>
        <w:spacing w:after="0" w:line="265" w:lineRule="exact"/>
        <w:rPr>
          <w:sz w:val="20"/>
          <w:szCs w:val="20"/>
          <w:color w:val="auto"/>
        </w:rPr>
      </w:pPr>
    </w:p>
    <w:p>
      <w:pPr>
        <w:jc w:val="both"/>
        <w:ind w:firstLine="641"/>
        <w:spacing w:after="0" w:line="291" w:lineRule="auto"/>
        <w:rPr>
          <w:sz w:val="20"/>
          <w:szCs w:val="20"/>
          <w:color w:val="auto"/>
        </w:rPr>
      </w:pPr>
      <w:r>
        <w:rPr>
          <w:rFonts w:ascii="Times New Roman" w:cs="Times New Roman" w:eastAsia="Times New Roman" w:hAnsi="Times New Roman"/>
          <w:sz w:val="18"/>
          <w:szCs w:val="18"/>
          <w:color w:val="auto"/>
        </w:rPr>
        <w:t>Additional shares of our Common Stock or other equity securities may be issued and sold into the market in the future in connection with, among other things, the exercise of Options, the conversion of the Convertible Debenture into shares of Common Stock by the Investor, the exercise of the Pre-Funded Warrants sold in the Offering, future acquisitions, repayment of outstanding indebtedness or grants under the Omnibus Incentive Plan, without stockholder approval in a number of circumstances. The issuance and sale into the market of additional shares of Common Stock or other equity securities could have, among other things, one or more of the following effects: our existing stockholders’ proportionate ownership interest will decrease; the amount of cash available per share, including for payment of dividends in the future, may decrease; the relative voting strength of each previously outstanding share of our Common Stock may be diminished; and the market price of our Common Stock may decline.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97"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156" w:lineRule="exact"/>
        <w:rPr>
          <w:sz w:val="20"/>
          <w:szCs w:val="20"/>
          <w:color w:val="auto"/>
        </w:rPr>
      </w:pPr>
    </w:p>
    <w:p>
      <w:pPr>
        <w:jc w:val="center"/>
        <w:ind w:right="88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62865</wp:posOffset>
            </wp:positionV>
            <wp:extent cx="71589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249" w:lineRule="exact"/>
        <w:rPr>
          <w:sz w:val="20"/>
          <w:szCs w:val="20"/>
          <w:color w:val="auto"/>
        </w:rPr>
      </w:pPr>
    </w:p>
    <w:p>
      <w:pPr>
        <w:ind w:firstLine="641"/>
        <w:spacing w:after="0" w:line="324" w:lineRule="auto"/>
        <w:rPr>
          <w:sz w:val="20"/>
          <w:szCs w:val="20"/>
          <w:color w:val="auto"/>
        </w:rPr>
      </w:pPr>
      <w:r>
        <w:rPr>
          <w:rFonts w:ascii="Times New Roman" w:cs="Times New Roman" w:eastAsia="Times New Roman" w:hAnsi="Times New Roman"/>
          <w:sz w:val="18"/>
          <w:szCs w:val="18"/>
          <w:color w:val="auto"/>
        </w:rPr>
        <w:t>During our last fiscal quarter, no director or officer, as defined in Rule 16a-1(f), adopted or terminated a "Rule 10b5-1 trading arrangement" or a "non-Rule 10b5-1 trading arrangement," each as defined in Regulation S-K Item 408.</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0"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21"/>
          <w:szCs w:val="21"/>
          <w:color w:val="auto"/>
        </w:rPr>
        <w:t>Incorporated by Reference</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640" w:type="dxa"/>
            <w:vAlign w:val="bottom"/>
            <w:vMerge w:val="restart"/>
          </w:tcPr>
          <w:p>
            <w:pPr>
              <w:ind w:left="14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960" w:type="dxa"/>
            <w:vAlign w:val="bottom"/>
            <w:vMerge w:val="restart"/>
          </w:tcPr>
          <w:p>
            <w:pPr>
              <w:ind w:left="128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w w:val="95"/>
              </w:rPr>
              <w:t>Filing Date</w:t>
            </w: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640" w:type="dxa"/>
            <w:vAlign w:val="bottom"/>
            <w:vMerge w:val="continue"/>
          </w:tcPr>
          <w:p>
            <w:pPr>
              <w:spacing w:after="0"/>
              <w:rPr>
                <w:sz w:val="20"/>
                <w:szCs w:val="20"/>
                <w:color w:val="auto"/>
              </w:rPr>
            </w:pPr>
          </w:p>
        </w:tc>
        <w:tc>
          <w:tcPr>
            <w:tcW w:w="196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0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1335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4372610</wp:posOffset>
            </wp:positionH>
            <wp:positionV relativeFrom="paragraph">
              <wp:posOffset>-262890</wp:posOffset>
            </wp:positionV>
            <wp:extent cx="27654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ectPr>
          <w:pgSz w:w="11900" w:h="16838" w:orient="portrait"/>
          <w:cols w:equalWidth="0" w:num="1">
            <w:col w:w="11140"/>
          </w:cols>
          <w:pgMar w:left="320" w:top="1012" w:right="439" w:bottom="1440" w:gutter="0" w:footer="0" w:header="0"/>
        </w:sectPr>
      </w:pP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5580" w:type="dxa"/>
            <w:vAlign w:val="bottom"/>
            <w:gridSpan w:val="21"/>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By-laws of the Company, as currently in effect</w:t>
              </w:r>
            </w:hyperlink>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3.2(a)</w:t>
            </w:r>
          </w:p>
        </w:tc>
        <w:tc>
          <w:tcPr>
            <w:tcW w:w="1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240" w:type="dxa"/>
            <w:vAlign w:val="bottom"/>
            <w:vMerge w:val="continue"/>
          </w:tcPr>
          <w:p>
            <w:pPr>
              <w:spacing w:after="0"/>
              <w:rPr>
                <w:sz w:val="24"/>
                <w:szCs w:val="24"/>
                <w:color w:val="auto"/>
              </w:rPr>
            </w:pPr>
          </w:p>
        </w:tc>
        <w:tc>
          <w:tcPr>
            <w:tcW w:w="5580" w:type="dxa"/>
            <w:vAlign w:val="bottom"/>
            <w:gridSpan w:val="21"/>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Certificate of Incorporation of the Company, as currently in effect</w:t>
              </w:r>
            </w:hyperlink>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3.2(b)</w:t>
            </w:r>
          </w:p>
        </w:tc>
        <w:tc>
          <w:tcPr>
            <w:tcW w:w="1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240" w:type="dxa"/>
            <w:vAlign w:val="bottom"/>
            <w:vMerge w:val="continue"/>
          </w:tcPr>
          <w:p>
            <w:pPr>
              <w:spacing w:after="0"/>
              <w:rPr>
                <w:sz w:val="24"/>
                <w:szCs w:val="24"/>
                <w:color w:val="auto"/>
              </w:rPr>
            </w:pPr>
          </w:p>
        </w:tc>
        <w:tc>
          <w:tcPr>
            <w:tcW w:w="5580" w:type="dxa"/>
            <w:vAlign w:val="bottom"/>
            <w:gridSpan w:val="21"/>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Certificate of Amendment to the Company’s Certificate of Incorporation,</w:t>
              </w:r>
            </w:hyperlink>
          </w:p>
        </w:tc>
        <w:tc>
          <w:tcPr>
            <w:tcW w:w="0" w:type="dxa"/>
            <w:vAlign w:val="bottom"/>
          </w:tcPr>
          <w:p>
            <w:pPr>
              <w:spacing w:after="0"/>
              <w:rPr>
                <w:sz w:val="1"/>
                <w:szCs w:val="1"/>
                <w:color w:val="auto"/>
              </w:rPr>
            </w:pPr>
          </w:p>
        </w:tc>
      </w:tr>
      <w:tr>
        <w:trPr>
          <w:trHeight w:val="194"/>
        </w:trPr>
        <w:tc>
          <w:tcPr>
            <w:tcW w:w="1240" w:type="dxa"/>
            <w:vAlign w:val="bottom"/>
          </w:tcPr>
          <w:p>
            <w:pPr>
              <w:spacing w:after="0"/>
              <w:rPr>
                <w:sz w:val="16"/>
                <w:szCs w:val="16"/>
                <w:color w:val="auto"/>
              </w:rPr>
            </w:pPr>
          </w:p>
        </w:tc>
        <w:tc>
          <w:tcPr>
            <w:tcW w:w="1480" w:type="dxa"/>
            <w:vAlign w:val="bottom"/>
            <w:tcBorders>
              <w:top w:val="single" w:sz="8" w:color="0000FF"/>
              <w:bottom w:val="single" w:sz="8" w:color="0000FF"/>
            </w:tcBorders>
            <w:gridSpan w:val="5"/>
          </w:tcPr>
          <w:p>
            <w:pPr>
              <w:spacing w:after="0" w:line="194" w:lineRule="exact"/>
              <w:rPr>
                <w:rFonts w:ascii="Times New Roman" w:cs="Times New Roman" w:eastAsia="Times New Roman" w:hAnsi="Times New Roman"/>
                <w:sz w:val="18"/>
                <w:szCs w:val="18"/>
                <w:color w:val="0000FF"/>
                <w:w w:val="97"/>
              </w:rPr>
            </w:pPr>
            <w:hyperlink r:id="rId129">
              <w:r>
                <w:rPr>
                  <w:rFonts w:ascii="Times New Roman" w:cs="Times New Roman" w:eastAsia="Times New Roman" w:hAnsi="Times New Roman"/>
                  <w:sz w:val="18"/>
                  <w:szCs w:val="18"/>
                  <w:color w:val="0000FF"/>
                  <w:w w:val="97"/>
                </w:rPr>
                <w:t>dated April 26, 2024</w:t>
              </w:r>
            </w:hyperlink>
          </w:p>
        </w:tc>
        <w:tc>
          <w:tcPr>
            <w:tcW w:w="3720" w:type="dxa"/>
            <w:vAlign w:val="bottom"/>
            <w:tcBorders>
              <w:top w:val="single" w:sz="8" w:color="0000FF"/>
            </w:tcBorders>
            <w:gridSpan w:val="10"/>
          </w:tcPr>
          <w:p>
            <w:pPr>
              <w:spacing w:after="0"/>
              <w:rPr>
                <w:sz w:val="16"/>
                <w:szCs w:val="16"/>
                <w:color w:val="auto"/>
              </w:rPr>
            </w:pPr>
          </w:p>
        </w:tc>
        <w:tc>
          <w:tcPr>
            <w:tcW w:w="38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3.2(c)</w:t>
            </w:r>
          </w:p>
        </w:tc>
        <w:tc>
          <w:tcPr>
            <w:tcW w:w="5580" w:type="dxa"/>
            <w:vAlign w:val="bottom"/>
            <w:gridSpan w:val="21"/>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Certificate of Amendment to the Company’s Certificate of Incorporation,</w:t>
              </w:r>
            </w:hyperlink>
          </w:p>
        </w:tc>
        <w:tc>
          <w:tcPr>
            <w:tcW w:w="0" w:type="dxa"/>
            <w:vAlign w:val="bottom"/>
          </w:tcPr>
          <w:p>
            <w:pPr>
              <w:spacing w:after="0"/>
              <w:rPr>
                <w:sz w:val="1"/>
                <w:szCs w:val="1"/>
                <w:color w:val="auto"/>
              </w:rPr>
            </w:pPr>
          </w:p>
        </w:tc>
      </w:tr>
      <w:tr>
        <w:trPr>
          <w:trHeight w:val="194"/>
        </w:trPr>
        <w:tc>
          <w:tcPr>
            <w:tcW w:w="1240" w:type="dxa"/>
            <w:vAlign w:val="bottom"/>
          </w:tcPr>
          <w:p>
            <w:pPr>
              <w:spacing w:after="0"/>
              <w:rPr>
                <w:sz w:val="16"/>
                <w:szCs w:val="16"/>
                <w:color w:val="auto"/>
              </w:rPr>
            </w:pPr>
          </w:p>
        </w:tc>
        <w:tc>
          <w:tcPr>
            <w:tcW w:w="1420" w:type="dxa"/>
            <w:vAlign w:val="bottom"/>
            <w:tcBorders>
              <w:top w:val="single" w:sz="8" w:color="0000FF"/>
              <w:bottom w:val="single" w:sz="8" w:color="0000FF"/>
            </w:tcBorders>
            <w:gridSpan w:val="2"/>
          </w:tcPr>
          <w:p>
            <w:pPr>
              <w:spacing w:after="0" w:line="194" w:lineRule="exact"/>
              <w:rPr>
                <w:rFonts w:ascii="Times New Roman" w:cs="Times New Roman" w:eastAsia="Times New Roman" w:hAnsi="Times New Roman"/>
                <w:sz w:val="18"/>
                <w:szCs w:val="18"/>
                <w:color w:val="0000FF"/>
                <w:w w:val="97"/>
              </w:rPr>
            </w:pPr>
            <w:hyperlink r:id="rId130">
              <w:r>
                <w:rPr>
                  <w:rFonts w:ascii="Times New Roman" w:cs="Times New Roman" w:eastAsia="Times New Roman" w:hAnsi="Times New Roman"/>
                  <w:sz w:val="18"/>
                  <w:szCs w:val="18"/>
                  <w:color w:val="0000FF"/>
                  <w:w w:val="97"/>
                </w:rPr>
                <w:t>dated June 17, 2025</w:t>
              </w:r>
            </w:hyperlink>
          </w:p>
        </w:tc>
        <w:tc>
          <w:tcPr>
            <w:tcW w:w="3780" w:type="dxa"/>
            <w:vAlign w:val="bottom"/>
            <w:tcBorders>
              <w:top w:val="single" w:sz="8" w:color="0000FF"/>
            </w:tcBorders>
            <w:gridSpan w:val="13"/>
          </w:tcPr>
          <w:p>
            <w:pPr>
              <w:spacing w:after="0"/>
              <w:rPr>
                <w:sz w:val="16"/>
                <w:szCs w:val="16"/>
                <w:color w:val="auto"/>
              </w:rPr>
            </w:pPr>
          </w:p>
        </w:tc>
        <w:tc>
          <w:tcPr>
            <w:tcW w:w="38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3.2(d)</w:t>
            </w:r>
          </w:p>
        </w:tc>
        <w:tc>
          <w:tcPr>
            <w:tcW w:w="5580" w:type="dxa"/>
            <w:vAlign w:val="bottom"/>
            <w:gridSpan w:val="21"/>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Certificate of Amendment to the Company’s Certificate of Incorporation,</w:t>
              </w:r>
            </w:hyperlink>
          </w:p>
        </w:tc>
        <w:tc>
          <w:tcPr>
            <w:tcW w:w="0" w:type="dxa"/>
            <w:vAlign w:val="bottom"/>
          </w:tcPr>
          <w:p>
            <w:pPr>
              <w:spacing w:after="0"/>
              <w:rPr>
                <w:sz w:val="1"/>
                <w:szCs w:val="1"/>
                <w:color w:val="auto"/>
              </w:rPr>
            </w:pPr>
          </w:p>
        </w:tc>
      </w:tr>
      <w:tr>
        <w:trPr>
          <w:trHeight w:val="194"/>
        </w:trPr>
        <w:tc>
          <w:tcPr>
            <w:tcW w:w="1240" w:type="dxa"/>
            <w:vAlign w:val="bottom"/>
          </w:tcPr>
          <w:p>
            <w:pPr>
              <w:spacing w:after="0"/>
              <w:rPr>
                <w:sz w:val="16"/>
                <w:szCs w:val="16"/>
                <w:color w:val="auto"/>
              </w:rPr>
            </w:pPr>
          </w:p>
        </w:tc>
        <w:tc>
          <w:tcPr>
            <w:tcW w:w="1420" w:type="dxa"/>
            <w:vAlign w:val="bottom"/>
            <w:tcBorders>
              <w:top w:val="single" w:sz="8" w:color="0000FF"/>
              <w:bottom w:val="single" w:sz="8" w:color="0000FF"/>
            </w:tcBorders>
            <w:gridSpan w:val="2"/>
          </w:tcPr>
          <w:p>
            <w:pPr>
              <w:spacing w:after="0" w:line="194" w:lineRule="exact"/>
              <w:rPr>
                <w:rFonts w:ascii="Times New Roman" w:cs="Times New Roman" w:eastAsia="Times New Roman" w:hAnsi="Times New Roman"/>
                <w:sz w:val="18"/>
                <w:szCs w:val="18"/>
                <w:color w:val="0000FF"/>
                <w:w w:val="97"/>
              </w:rPr>
            </w:pPr>
            <w:hyperlink r:id="rId131">
              <w:r>
                <w:rPr>
                  <w:rFonts w:ascii="Times New Roman" w:cs="Times New Roman" w:eastAsia="Times New Roman" w:hAnsi="Times New Roman"/>
                  <w:sz w:val="18"/>
                  <w:szCs w:val="18"/>
                  <w:color w:val="0000FF"/>
                  <w:w w:val="97"/>
                </w:rPr>
                <w:t>dated June 17, 2025</w:t>
              </w:r>
            </w:hyperlink>
          </w:p>
        </w:tc>
        <w:tc>
          <w:tcPr>
            <w:tcW w:w="3780" w:type="dxa"/>
            <w:vAlign w:val="bottom"/>
            <w:tcBorders>
              <w:top w:val="single" w:sz="8" w:color="0000FF"/>
            </w:tcBorders>
            <w:gridSpan w:val="13"/>
          </w:tcPr>
          <w:p>
            <w:pPr>
              <w:spacing w:after="0"/>
              <w:rPr>
                <w:sz w:val="16"/>
                <w:szCs w:val="16"/>
                <w:color w:val="auto"/>
              </w:rPr>
            </w:pPr>
          </w:p>
        </w:tc>
        <w:tc>
          <w:tcPr>
            <w:tcW w:w="38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3.2(e)</w:t>
            </w:r>
          </w:p>
        </w:tc>
        <w:tc>
          <w:tcPr>
            <w:tcW w:w="5580" w:type="dxa"/>
            <w:vAlign w:val="bottom"/>
            <w:gridSpan w:val="21"/>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Certificate of Amendment to the Company’s Certificate of Incorporation,</w:t>
              </w:r>
            </w:hyperlink>
          </w:p>
        </w:tc>
        <w:tc>
          <w:tcPr>
            <w:tcW w:w="0" w:type="dxa"/>
            <w:vAlign w:val="bottom"/>
          </w:tcPr>
          <w:p>
            <w:pPr>
              <w:spacing w:after="0"/>
              <w:rPr>
                <w:sz w:val="1"/>
                <w:szCs w:val="1"/>
                <w:color w:val="auto"/>
              </w:rPr>
            </w:pPr>
          </w:p>
        </w:tc>
      </w:tr>
      <w:tr>
        <w:trPr>
          <w:trHeight w:val="194"/>
        </w:trPr>
        <w:tc>
          <w:tcPr>
            <w:tcW w:w="1240" w:type="dxa"/>
            <w:vAlign w:val="bottom"/>
          </w:tcPr>
          <w:p>
            <w:pPr>
              <w:spacing w:after="0"/>
              <w:rPr>
                <w:sz w:val="16"/>
                <w:szCs w:val="16"/>
                <w:color w:val="auto"/>
              </w:rPr>
            </w:pPr>
          </w:p>
        </w:tc>
        <w:tc>
          <w:tcPr>
            <w:tcW w:w="1520" w:type="dxa"/>
            <w:vAlign w:val="bottom"/>
            <w:tcBorders>
              <w:top w:val="single" w:sz="8" w:color="0000FF"/>
              <w:bottom w:val="single" w:sz="8" w:color="0000FF"/>
            </w:tcBorders>
            <w:gridSpan w:val="6"/>
          </w:tcPr>
          <w:p>
            <w:pPr>
              <w:spacing w:after="0" w:line="194" w:lineRule="exact"/>
              <w:rPr>
                <w:rFonts w:ascii="Times New Roman" w:cs="Times New Roman" w:eastAsia="Times New Roman" w:hAnsi="Times New Roman"/>
                <w:sz w:val="18"/>
                <w:szCs w:val="18"/>
                <w:color w:val="0000FF"/>
                <w:w w:val="97"/>
              </w:rPr>
            </w:pPr>
            <w:hyperlink r:id="rId132">
              <w:r>
                <w:rPr>
                  <w:rFonts w:ascii="Times New Roman" w:cs="Times New Roman" w:eastAsia="Times New Roman" w:hAnsi="Times New Roman"/>
                  <w:sz w:val="18"/>
                  <w:szCs w:val="18"/>
                  <w:color w:val="0000FF"/>
                  <w:w w:val="97"/>
                </w:rPr>
                <w:t>dated August 7, 2025</w:t>
              </w:r>
            </w:hyperlink>
          </w:p>
        </w:tc>
        <w:tc>
          <w:tcPr>
            <w:tcW w:w="3680" w:type="dxa"/>
            <w:vAlign w:val="bottom"/>
            <w:tcBorders>
              <w:top w:val="single" w:sz="8" w:color="0000FF"/>
            </w:tcBorders>
            <w:gridSpan w:val="9"/>
          </w:tcPr>
          <w:p>
            <w:pPr>
              <w:spacing w:after="0"/>
              <w:rPr>
                <w:sz w:val="16"/>
                <w:szCs w:val="16"/>
                <w:color w:val="auto"/>
              </w:rPr>
            </w:pPr>
          </w:p>
        </w:tc>
        <w:tc>
          <w:tcPr>
            <w:tcW w:w="38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1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8"/>
              </w:rPr>
            </w:pPr>
            <w:hyperlink r:id="rId133">
              <w:r>
                <w:rPr>
                  <w:rFonts w:ascii="Times New Roman" w:cs="Times New Roman" w:eastAsia="Times New Roman" w:hAnsi="Times New Roman"/>
                  <w:sz w:val="18"/>
                  <w:szCs w:val="18"/>
                  <w:color w:val="0000FF"/>
                  <w:w w:val="98"/>
                </w:rPr>
                <w:t>Convertible Debenture, dated June 18, 2025</w:t>
              </w:r>
            </w:hyperlink>
          </w:p>
        </w:tc>
        <w:tc>
          <w:tcPr>
            <w:tcW w:w="24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580" w:type="dxa"/>
            <w:vAlign w:val="bottom"/>
            <w:gridSpan w:val="21"/>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Form of Performance Stock Unit Agreement by and between the Company.</w:t>
              </w:r>
            </w:hyperlink>
          </w:p>
        </w:tc>
        <w:tc>
          <w:tcPr>
            <w:tcW w:w="0" w:type="dxa"/>
            <w:vAlign w:val="bottom"/>
          </w:tcPr>
          <w:p>
            <w:pPr>
              <w:spacing w:after="0"/>
              <w:rPr>
                <w:sz w:val="1"/>
                <w:szCs w:val="1"/>
                <w:color w:val="auto"/>
              </w:rPr>
            </w:pPr>
          </w:p>
        </w:tc>
      </w:tr>
      <w:tr>
        <w:trPr>
          <w:trHeight w:val="194"/>
        </w:trPr>
        <w:tc>
          <w:tcPr>
            <w:tcW w:w="1240" w:type="dxa"/>
            <w:vAlign w:val="bottom"/>
          </w:tcPr>
          <w:p>
            <w:pPr>
              <w:spacing w:after="0"/>
              <w:rPr>
                <w:sz w:val="16"/>
                <w:szCs w:val="16"/>
                <w:color w:val="auto"/>
              </w:rPr>
            </w:pPr>
          </w:p>
        </w:tc>
        <w:tc>
          <w:tcPr>
            <w:tcW w:w="1460" w:type="dxa"/>
            <w:vAlign w:val="bottom"/>
            <w:tcBorders>
              <w:top w:val="single" w:sz="8" w:color="0000FF"/>
              <w:bottom w:val="single" w:sz="8" w:color="0000FF"/>
            </w:tcBorders>
            <w:gridSpan w:val="4"/>
          </w:tcPr>
          <w:p>
            <w:pPr>
              <w:spacing w:after="0" w:line="194" w:lineRule="exact"/>
              <w:rPr>
                <w:rFonts w:ascii="Times New Roman" w:cs="Times New Roman" w:eastAsia="Times New Roman" w:hAnsi="Times New Roman"/>
                <w:sz w:val="18"/>
                <w:szCs w:val="18"/>
                <w:color w:val="0000FF"/>
                <w:w w:val="98"/>
              </w:rPr>
            </w:pPr>
            <w:hyperlink r:id="rId134">
              <w:r>
                <w:rPr>
                  <w:rFonts w:ascii="Times New Roman" w:cs="Times New Roman" w:eastAsia="Times New Roman" w:hAnsi="Times New Roman"/>
                  <w:sz w:val="18"/>
                  <w:szCs w:val="18"/>
                  <w:color w:val="0000FF"/>
                  <w:w w:val="98"/>
                </w:rPr>
                <w:t>and Akshay Naheta.</w:t>
              </w:r>
            </w:hyperlink>
          </w:p>
        </w:tc>
        <w:tc>
          <w:tcPr>
            <w:tcW w:w="3900" w:type="dxa"/>
            <w:vAlign w:val="bottom"/>
            <w:tcBorders>
              <w:top w:val="single" w:sz="8" w:color="0000FF"/>
            </w:tcBorders>
            <w:gridSpan w:val="13"/>
          </w:tcPr>
          <w:p>
            <w:pPr>
              <w:spacing w:after="0"/>
              <w:rPr>
                <w:sz w:val="16"/>
                <w:szCs w:val="16"/>
                <w:color w:val="auto"/>
              </w:rPr>
            </w:pPr>
          </w:p>
        </w:tc>
        <w:tc>
          <w:tcPr>
            <w:tcW w:w="22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54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8"/>
              </w:rPr>
            </w:pPr>
            <w:hyperlink r:id="rId135">
              <w:r>
                <w:rPr>
                  <w:rFonts w:ascii="Times New Roman" w:cs="Times New Roman" w:eastAsia="Times New Roman" w:hAnsi="Times New Roman"/>
                  <w:sz w:val="18"/>
                  <w:szCs w:val="18"/>
                  <w:color w:val="0000FF"/>
                  <w:w w:val="98"/>
                </w:rPr>
                <w:t>Form of Restricted Stock Unit Agreement by and between the Company and</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spacing w:after="0"/>
              <w:rPr>
                <w:sz w:val="16"/>
                <w:szCs w:val="16"/>
                <w:color w:val="auto"/>
              </w:rPr>
            </w:pPr>
          </w:p>
        </w:tc>
        <w:tc>
          <w:tcPr>
            <w:tcW w:w="1140" w:type="dxa"/>
            <w:vAlign w:val="bottom"/>
            <w:tcBorders>
              <w:bottom w:val="single" w:sz="8" w:color="0000FF"/>
            </w:tcBorders>
          </w:tcPr>
          <w:p>
            <w:pPr>
              <w:spacing w:after="0" w:line="194" w:lineRule="exact"/>
              <w:rPr>
                <w:rFonts w:ascii="Times New Roman" w:cs="Times New Roman" w:eastAsia="Times New Roman" w:hAnsi="Times New Roman"/>
                <w:sz w:val="18"/>
                <w:szCs w:val="18"/>
                <w:color w:val="0000FF"/>
                <w:w w:val="97"/>
              </w:rPr>
            </w:pPr>
            <w:hyperlink r:id="rId135">
              <w:r>
                <w:rPr>
                  <w:rFonts w:ascii="Times New Roman" w:cs="Times New Roman" w:eastAsia="Times New Roman" w:hAnsi="Times New Roman"/>
                  <w:sz w:val="18"/>
                  <w:szCs w:val="18"/>
                  <w:color w:val="0000FF"/>
                  <w:w w:val="97"/>
                </w:rPr>
                <w:t>Akshay Naheta.</w:t>
              </w:r>
            </w:hyperlink>
          </w:p>
        </w:tc>
        <w:tc>
          <w:tcPr>
            <w:tcW w:w="4440" w:type="dxa"/>
            <w:vAlign w:val="bottom"/>
            <w:gridSpan w:val="20"/>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58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w w:val="98"/>
              </w:rPr>
            </w:pPr>
            <w:hyperlink r:id="rId136">
              <w:r>
                <w:rPr>
                  <w:rFonts w:ascii="Times New Roman" w:cs="Times New Roman" w:eastAsia="Times New Roman" w:hAnsi="Times New Roman"/>
                  <w:sz w:val="18"/>
                  <w:szCs w:val="18"/>
                  <w:color w:val="0000FF"/>
                  <w:w w:val="98"/>
                </w:rPr>
                <w:t>Purchase Agreement, dated as of June 17, 2025, between Bakkt Holdings, Inc.</w:t>
              </w:r>
            </w:hyperlink>
          </w:p>
        </w:tc>
        <w:tc>
          <w:tcPr>
            <w:tcW w:w="0" w:type="dxa"/>
            <w:vAlign w:val="bottom"/>
          </w:tcPr>
          <w:p>
            <w:pPr>
              <w:spacing w:after="0"/>
              <w:rPr>
                <w:sz w:val="1"/>
                <w:szCs w:val="1"/>
                <w:color w:val="auto"/>
              </w:rPr>
            </w:pPr>
          </w:p>
        </w:tc>
      </w:tr>
      <w:tr>
        <w:trPr>
          <w:trHeight w:val="194"/>
        </w:trPr>
        <w:tc>
          <w:tcPr>
            <w:tcW w:w="1240" w:type="dxa"/>
            <w:vAlign w:val="bottom"/>
          </w:tcPr>
          <w:p>
            <w:pPr>
              <w:spacing w:after="0"/>
              <w:rPr>
                <w:sz w:val="16"/>
                <w:szCs w:val="16"/>
                <w:color w:val="auto"/>
              </w:rPr>
            </w:pPr>
          </w:p>
        </w:tc>
        <w:tc>
          <w:tcPr>
            <w:tcW w:w="1440" w:type="dxa"/>
            <w:vAlign w:val="bottom"/>
            <w:tcBorders>
              <w:bottom w:val="single" w:sz="8" w:color="0000FF"/>
            </w:tcBorders>
            <w:gridSpan w:val="3"/>
          </w:tcPr>
          <w:p>
            <w:pPr>
              <w:spacing w:after="0" w:line="194" w:lineRule="exact"/>
              <w:rPr>
                <w:rFonts w:ascii="Times New Roman" w:cs="Times New Roman" w:eastAsia="Times New Roman" w:hAnsi="Times New Roman"/>
                <w:sz w:val="18"/>
                <w:szCs w:val="18"/>
                <w:color w:val="0000FF"/>
                <w:w w:val="95"/>
              </w:rPr>
            </w:pPr>
            <w:hyperlink r:id="rId136">
              <w:r>
                <w:rPr>
                  <w:rFonts w:ascii="Times New Roman" w:cs="Times New Roman" w:eastAsia="Times New Roman" w:hAnsi="Times New Roman"/>
                  <w:sz w:val="18"/>
                  <w:szCs w:val="18"/>
                  <w:color w:val="0000FF"/>
                  <w:w w:val="95"/>
                </w:rPr>
                <w:t>and YA II PN, LTD.</w:t>
              </w:r>
            </w:hyperlink>
          </w:p>
        </w:tc>
        <w:tc>
          <w:tcPr>
            <w:tcW w:w="4140" w:type="dxa"/>
            <w:vAlign w:val="bottom"/>
            <w:gridSpan w:val="18"/>
          </w:tcPr>
          <w:p>
            <w:pPr>
              <w:spacing w:after="0"/>
              <w:rPr>
                <w:sz w:val="16"/>
                <w:szCs w:val="16"/>
                <w:color w:val="auto"/>
              </w:rPr>
            </w:pPr>
          </w:p>
        </w:tc>
        <w:tc>
          <w:tcPr>
            <w:tcW w:w="0" w:type="dxa"/>
            <w:vAlign w:val="bottom"/>
          </w:tcPr>
          <w:p>
            <w:pPr>
              <w:spacing w:after="0"/>
              <w:rPr>
                <w:sz w:val="1"/>
                <w:szCs w:val="1"/>
                <w:color w:val="auto"/>
              </w:rPr>
            </w:pPr>
          </w:p>
        </w:tc>
      </w:tr>
      <w:tr>
        <w:trPr>
          <w:trHeight w:val="4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580" w:type="dxa"/>
            <w:vAlign w:val="bottom"/>
            <w:gridSpan w:val="21"/>
          </w:tcPr>
          <w:p>
            <w:pPr>
              <w:spacing w:after="0"/>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Global Guaranty Agreement, dated June 17, 2025, by Bakkt Opco Holdings,</w:t>
              </w:r>
            </w:hyperlink>
          </w:p>
        </w:tc>
        <w:tc>
          <w:tcPr>
            <w:tcW w:w="0" w:type="dxa"/>
            <w:vAlign w:val="bottom"/>
          </w:tcPr>
          <w:p>
            <w:pPr>
              <w:spacing w:after="0"/>
              <w:rPr>
                <w:sz w:val="1"/>
                <w:szCs w:val="1"/>
                <w:color w:val="auto"/>
              </w:rPr>
            </w:pPr>
          </w:p>
        </w:tc>
      </w:tr>
      <w:tr>
        <w:trPr>
          <w:trHeight w:val="194"/>
        </w:trPr>
        <w:tc>
          <w:tcPr>
            <w:tcW w:w="1240" w:type="dxa"/>
            <w:vAlign w:val="bottom"/>
          </w:tcPr>
          <w:p>
            <w:pPr>
              <w:spacing w:after="0"/>
              <w:rPr>
                <w:sz w:val="16"/>
                <w:szCs w:val="16"/>
                <w:color w:val="auto"/>
              </w:rPr>
            </w:pPr>
          </w:p>
        </w:tc>
        <w:tc>
          <w:tcPr>
            <w:tcW w:w="5440" w:type="dxa"/>
            <w:vAlign w:val="bottom"/>
            <w:tcBorders>
              <w:top w:val="single" w:sz="8" w:color="0000FF"/>
            </w:tcBorders>
            <w:gridSpan w:val="18"/>
          </w:tcPr>
          <w:p>
            <w:pPr>
              <w:spacing w:after="0" w:line="194" w:lineRule="exact"/>
              <w:rPr>
                <w:rFonts w:ascii="Times New Roman" w:cs="Times New Roman" w:eastAsia="Times New Roman" w:hAnsi="Times New Roman"/>
                <w:sz w:val="18"/>
                <w:szCs w:val="18"/>
                <w:color w:val="0000FF"/>
              </w:rPr>
            </w:pPr>
            <w:hyperlink r:id="rId137">
              <w:r>
                <w:rPr>
                  <w:rFonts w:ascii="Times New Roman" w:cs="Times New Roman" w:eastAsia="Times New Roman" w:hAnsi="Times New Roman"/>
                  <w:sz w:val="18"/>
                  <w:szCs w:val="18"/>
                  <w:color w:val="0000FF"/>
                </w:rPr>
                <w:t>LLC in favor of YA II PN, LTD</w:t>
              </w:r>
            </w:hyperlink>
          </w:p>
        </w:tc>
        <w:tc>
          <w:tcPr>
            <w:tcW w:w="14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10.5</w:t>
            </w:r>
          </w:p>
        </w:tc>
        <w:tc>
          <w:tcPr>
            <w:tcW w:w="1760" w:type="dxa"/>
            <w:vAlign w:val="bottom"/>
            <w:gridSpan w:val="7"/>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240" w:type="dxa"/>
            <w:vAlign w:val="bottom"/>
            <w:vMerge w:val="continue"/>
          </w:tcPr>
          <w:p>
            <w:pPr>
              <w:spacing w:after="0"/>
              <w:rPr>
                <w:sz w:val="24"/>
                <w:szCs w:val="24"/>
                <w:color w:val="auto"/>
              </w:rPr>
            </w:pPr>
          </w:p>
        </w:tc>
        <w:tc>
          <w:tcPr>
            <w:tcW w:w="52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8"/>
              </w:rPr>
            </w:pPr>
            <w:hyperlink r:id="rId138">
              <w:r>
                <w:rPr>
                  <w:rFonts w:ascii="Times New Roman" w:cs="Times New Roman" w:eastAsia="Times New Roman" w:hAnsi="Times New Roman"/>
                  <w:sz w:val="18"/>
                  <w:szCs w:val="18"/>
                  <w:color w:val="0000FF"/>
                  <w:w w:val="98"/>
                </w:rPr>
                <w:t>Registration Rights Agreement, dated as of June 17, 2025, between Bakkt</w:t>
              </w:r>
            </w:hyperlink>
          </w:p>
        </w:tc>
        <w:tc>
          <w:tcPr>
            <w:tcW w:w="3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spacing w:after="0"/>
              <w:rPr>
                <w:sz w:val="16"/>
                <w:szCs w:val="16"/>
                <w:color w:val="auto"/>
              </w:rPr>
            </w:pPr>
          </w:p>
        </w:tc>
        <w:tc>
          <w:tcPr>
            <w:tcW w:w="5580" w:type="dxa"/>
            <w:vAlign w:val="bottom"/>
            <w:gridSpan w:val="21"/>
          </w:tcPr>
          <w:p>
            <w:pPr>
              <w:spacing w:after="0" w:line="194" w:lineRule="exact"/>
              <w:rPr>
                <w:rFonts w:ascii="Times New Roman" w:cs="Times New Roman" w:eastAsia="Times New Roman" w:hAnsi="Times New Roman"/>
                <w:sz w:val="18"/>
                <w:szCs w:val="18"/>
                <w:color w:val="0000FF"/>
              </w:rPr>
            </w:pPr>
            <w:hyperlink r:id="rId138">
              <w:r>
                <w:rPr>
                  <w:rFonts w:ascii="Times New Roman" w:cs="Times New Roman" w:eastAsia="Times New Roman" w:hAnsi="Times New Roman"/>
                  <w:sz w:val="18"/>
                  <w:szCs w:val="18"/>
                  <w:color w:val="0000FF"/>
                </w:rPr>
                <w:t>Holdings, Inc. and YA II PN, LTD</w:t>
              </w:r>
            </w:hyperlink>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10.6</w:t>
            </w:r>
          </w:p>
        </w:tc>
        <w:tc>
          <w:tcPr>
            <w:tcW w:w="1760" w:type="dxa"/>
            <w:vAlign w:val="bottom"/>
            <w:gridSpan w:val="7"/>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1240" w:type="dxa"/>
            <w:vAlign w:val="bottom"/>
            <w:vMerge w:val="continue"/>
          </w:tcPr>
          <w:p>
            <w:pPr>
              <w:spacing w:after="0"/>
              <w:rPr>
                <w:sz w:val="24"/>
                <w:szCs w:val="24"/>
                <w:color w:val="auto"/>
              </w:rPr>
            </w:pPr>
          </w:p>
        </w:tc>
        <w:tc>
          <w:tcPr>
            <w:tcW w:w="548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8"/>
              </w:rPr>
            </w:pPr>
            <w:hyperlink r:id="rId139">
              <w:r>
                <w:rPr>
                  <w:rFonts w:ascii="Times New Roman" w:cs="Times New Roman" w:eastAsia="Times New Roman" w:hAnsi="Times New Roman"/>
                  <w:sz w:val="18"/>
                  <w:szCs w:val="18"/>
                  <w:color w:val="0000FF"/>
                  <w:w w:val="98"/>
                </w:rPr>
                <w:t>Amendment No. 1, dated June 17, 2025, to the Revolving Credit Agreement,</w:t>
              </w:r>
            </w:hyperlink>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40" w:type="dxa"/>
            <w:vAlign w:val="bottom"/>
          </w:tcPr>
          <w:p>
            <w:pPr>
              <w:spacing w:after="0"/>
              <w:rPr>
                <w:sz w:val="16"/>
                <w:szCs w:val="16"/>
                <w:color w:val="auto"/>
              </w:rPr>
            </w:pPr>
          </w:p>
        </w:tc>
        <w:tc>
          <w:tcPr>
            <w:tcW w:w="4920" w:type="dxa"/>
            <w:vAlign w:val="bottom"/>
            <w:tcBorders>
              <w:bottom w:val="single" w:sz="8" w:color="0000FF"/>
            </w:tcBorders>
            <w:gridSpan w:val="13"/>
          </w:tcPr>
          <w:p>
            <w:pPr>
              <w:spacing w:after="0" w:line="194" w:lineRule="exact"/>
              <w:rPr>
                <w:rFonts w:ascii="Times New Roman" w:cs="Times New Roman" w:eastAsia="Times New Roman" w:hAnsi="Times New Roman"/>
                <w:sz w:val="18"/>
                <w:szCs w:val="18"/>
                <w:color w:val="0000FF"/>
                <w:w w:val="98"/>
              </w:rPr>
            </w:pPr>
            <w:hyperlink r:id="rId139">
              <w:r>
                <w:rPr>
                  <w:rFonts w:ascii="Times New Roman" w:cs="Times New Roman" w:eastAsia="Times New Roman" w:hAnsi="Times New Roman"/>
                  <w:sz w:val="18"/>
                  <w:szCs w:val="18"/>
                  <w:color w:val="0000FF"/>
                  <w:w w:val="98"/>
                </w:rPr>
                <w:t>between Bakkt Holdings, Inc., Bakkt Opco, the subsidiaries of Bakkt</w:t>
              </w:r>
            </w:hyperlink>
          </w:p>
        </w:tc>
        <w:tc>
          <w:tcPr>
            <w:tcW w:w="66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240" w:type="dxa"/>
            <w:vAlign w:val="bottom"/>
          </w:tcPr>
          <w:p>
            <w:pPr>
              <w:spacing w:after="0"/>
              <w:rPr>
                <w:sz w:val="16"/>
                <w:szCs w:val="16"/>
                <w:color w:val="auto"/>
              </w:rPr>
            </w:pPr>
          </w:p>
        </w:tc>
        <w:tc>
          <w:tcPr>
            <w:tcW w:w="5580" w:type="dxa"/>
            <w:vAlign w:val="bottom"/>
            <w:gridSpan w:val="21"/>
          </w:tcPr>
          <w:p>
            <w:pPr>
              <w:spacing w:after="0" w:line="194"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Holdings, Inc. party thereto as guarantors and Intercontinental Exchange</w:t>
              </w:r>
            </w:hyperlink>
          </w:p>
        </w:tc>
        <w:tc>
          <w:tcPr>
            <w:tcW w:w="0" w:type="dxa"/>
            <w:vAlign w:val="bottom"/>
          </w:tcPr>
          <w:p>
            <w:pPr>
              <w:spacing w:after="0"/>
              <w:rPr>
                <w:sz w:val="1"/>
                <w:szCs w:val="1"/>
                <w:color w:val="auto"/>
              </w:rPr>
            </w:pPr>
          </w:p>
        </w:tc>
      </w:tr>
      <w:tr>
        <w:trPr>
          <w:trHeight w:val="194"/>
        </w:trPr>
        <w:tc>
          <w:tcPr>
            <w:tcW w:w="1240" w:type="dxa"/>
            <w:vAlign w:val="bottom"/>
          </w:tcPr>
          <w:p>
            <w:pPr>
              <w:spacing w:after="0"/>
              <w:rPr>
                <w:sz w:val="16"/>
                <w:szCs w:val="16"/>
                <w:color w:val="auto"/>
              </w:rPr>
            </w:pPr>
          </w:p>
        </w:tc>
        <w:tc>
          <w:tcPr>
            <w:tcW w:w="5160" w:type="dxa"/>
            <w:vAlign w:val="bottom"/>
            <w:tcBorders>
              <w:top w:val="single" w:sz="8" w:color="0000FF"/>
            </w:tcBorders>
            <w:gridSpan w:val="14"/>
          </w:tcPr>
          <w:p>
            <w:pPr>
              <w:spacing w:after="0" w:line="194" w:lineRule="exact"/>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Holdings, Inc., as lender.</w:t>
              </w:r>
            </w:hyperlink>
          </w:p>
        </w:tc>
        <w:tc>
          <w:tcPr>
            <w:tcW w:w="42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56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4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8"/>
              </w:rPr>
              <w:t>October 21, 2021</w:t>
            </w:r>
          </w:p>
        </w:tc>
      </w:tr>
      <w:tr>
        <w:trPr>
          <w:trHeight w:val="414"/>
        </w:trPr>
        <w:tc>
          <w:tcPr>
            <w:tcW w:w="56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7"/>
              </w:rPr>
              <w:t>10-K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8"/>
              </w:rPr>
              <w:t>October 21, 2021</w:t>
            </w:r>
          </w:p>
        </w:tc>
      </w:tr>
      <w:tr>
        <w:trPr>
          <w:trHeight w:val="414"/>
        </w:trPr>
        <w:tc>
          <w:tcPr>
            <w:tcW w:w="56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7"/>
              </w:rPr>
              <w:t>10-K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8"/>
              </w:rPr>
              <w:t>April 29, 2024</w:t>
            </w:r>
          </w:p>
        </w:tc>
      </w:tr>
      <w:tr>
        <w:trPr>
          <w:trHeight w:val="628"/>
        </w:trPr>
        <w:tc>
          <w:tcPr>
            <w:tcW w:w="56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7"/>
              </w:rPr>
              <w:t>10-K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9"/>
              </w:rPr>
              <w:t>June 17, 2025</w:t>
            </w:r>
          </w:p>
        </w:tc>
      </w:tr>
      <w:tr>
        <w:trPr>
          <w:trHeight w:val="628"/>
        </w:trPr>
        <w:tc>
          <w:tcPr>
            <w:tcW w:w="5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4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9"/>
              </w:rPr>
              <w:t>June 17, 2025</w:t>
            </w:r>
          </w:p>
        </w:tc>
      </w:tr>
      <w:tr>
        <w:trPr>
          <w:trHeight w:val="628"/>
        </w:trPr>
        <w:tc>
          <w:tcPr>
            <w:tcW w:w="5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40" w:type="dxa"/>
            <w:vAlign w:val="bottom"/>
          </w:tcPr>
          <w:p>
            <w:pPr>
              <w:jc w:val="center"/>
              <w:ind w:left="131"/>
              <w:spacing w:after="0"/>
              <w:rPr>
                <w:sz w:val="20"/>
                <w:szCs w:val="20"/>
                <w:color w:val="auto"/>
              </w:rPr>
            </w:pPr>
            <w:r>
              <w:rPr>
                <w:rFonts w:ascii="Times New Roman" w:cs="Times New Roman" w:eastAsia="Times New Roman" w:hAnsi="Times New Roman"/>
                <w:sz w:val="18"/>
                <w:szCs w:val="18"/>
                <w:color w:val="auto"/>
                <w:w w:val="99"/>
              </w:rPr>
              <w:t>August 8, 2025</w:t>
            </w:r>
          </w:p>
        </w:tc>
      </w:tr>
      <w:tr>
        <w:trPr>
          <w:trHeight w:val="628"/>
        </w:trPr>
        <w:tc>
          <w:tcPr>
            <w:tcW w:w="56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4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9"/>
              </w:rPr>
              <w:t>June 18, 2025</w:t>
            </w:r>
          </w:p>
        </w:tc>
      </w:tr>
      <w:tr>
        <w:trPr>
          <w:trHeight w:val="414"/>
        </w:trPr>
        <w:tc>
          <w:tcPr>
            <w:tcW w:w="56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5"/>
              </w:rPr>
              <w:t>S-8</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333-286645</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4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8"/>
              </w:rPr>
              <w:t>April 18, 2025</w:t>
            </w:r>
          </w:p>
        </w:tc>
      </w:tr>
      <w:tr>
        <w:trPr>
          <w:trHeight w:val="641"/>
        </w:trPr>
        <w:tc>
          <w:tcPr>
            <w:tcW w:w="56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5"/>
              </w:rPr>
              <w:t>S-8</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333-286645</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4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8"/>
              </w:rPr>
              <w:t>April 18, 2025</w:t>
            </w:r>
          </w:p>
        </w:tc>
      </w:tr>
      <w:tr>
        <w:trPr>
          <w:trHeight w:val="641"/>
        </w:trPr>
        <w:tc>
          <w:tcPr>
            <w:tcW w:w="56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4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9"/>
              </w:rPr>
              <w:t>June 18, 2025</w:t>
            </w:r>
          </w:p>
        </w:tc>
      </w:tr>
      <w:tr>
        <w:trPr>
          <w:trHeight w:val="641"/>
        </w:trPr>
        <w:tc>
          <w:tcPr>
            <w:tcW w:w="56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4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9"/>
              </w:rPr>
              <w:t>June 18, 2025</w:t>
            </w:r>
          </w:p>
        </w:tc>
      </w:tr>
      <w:tr>
        <w:trPr>
          <w:trHeight w:val="641"/>
        </w:trPr>
        <w:tc>
          <w:tcPr>
            <w:tcW w:w="56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4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9"/>
              </w:rPr>
              <w:t>June 18, 2025</w:t>
            </w:r>
          </w:p>
        </w:tc>
      </w:tr>
      <w:tr>
        <w:trPr>
          <w:trHeight w:val="641"/>
        </w:trPr>
        <w:tc>
          <w:tcPr>
            <w:tcW w:w="56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440" w:type="dxa"/>
            <w:vAlign w:val="bottom"/>
          </w:tcPr>
          <w:p>
            <w:pPr>
              <w:jc w:val="center"/>
              <w:ind w:left="111"/>
              <w:spacing w:after="0"/>
              <w:rPr>
                <w:sz w:val="20"/>
                <w:szCs w:val="20"/>
                <w:color w:val="auto"/>
              </w:rPr>
            </w:pPr>
            <w:r>
              <w:rPr>
                <w:rFonts w:ascii="Times New Roman" w:cs="Times New Roman" w:eastAsia="Times New Roman" w:hAnsi="Times New Roman"/>
                <w:sz w:val="18"/>
                <w:szCs w:val="18"/>
                <w:color w:val="auto"/>
                <w:w w:val="99"/>
              </w:rPr>
              <w:t>June 18, 2025</w:t>
            </w:r>
          </w:p>
        </w:tc>
      </w:tr>
    </w:tbl>
    <w:p>
      <w:pPr>
        <w:spacing w:after="0" w:line="827" w:lineRule="exact"/>
        <w:rPr>
          <w:sz w:val="20"/>
          <w:szCs w:val="20"/>
          <w:color w:val="auto"/>
        </w:rPr>
      </w:pPr>
    </w:p>
    <w:p>
      <w:pPr>
        <w:sectPr>
          <w:pgSz w:w="11900" w:h="16838" w:orient="portrait"/>
          <w:cols w:equalWidth="0" w:num="2">
            <w:col w:w="6840" w:space="260"/>
            <w:col w:w="4040"/>
          </w:cols>
          <w:pgMar w:left="320" w:top="1012" w:right="439" w:bottom="1440" w:gutter="0" w:footer="0" w:header="0"/>
          <w:type w:val="continuous"/>
        </w:sectPr>
      </w:pP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31.1*</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31.2*</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32.1†</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4340"/>
        <w:spacing w:after="0" w:line="262"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Rules 13a-14(a) and 15d-14(a) under the Securities Exchange Act of 1934, as Adopted Pursuant to Section 302 of the Sarbanes-Oxley Act of 2002.</w:t>
      </w:r>
    </w:p>
    <w:p>
      <w:pPr>
        <w:spacing w:after="0" w:line="164" w:lineRule="exact"/>
        <w:rPr>
          <w:sz w:val="20"/>
          <w:szCs w:val="20"/>
          <w:color w:val="auto"/>
        </w:rPr>
      </w:pPr>
    </w:p>
    <w:p>
      <w:pPr>
        <w:ind w:right="4340"/>
        <w:spacing w:after="0" w:line="262"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Rules 13a-14(a) and 15d-14(a) under the Securities Exchange Act of 1934, as Adopted Pursuant to Section 302 of the Sarbanes-Oxley Act of 2002.</w:t>
      </w:r>
    </w:p>
    <w:p>
      <w:pPr>
        <w:spacing w:after="0" w:line="137" w:lineRule="exact"/>
        <w:rPr>
          <w:sz w:val="20"/>
          <w:szCs w:val="20"/>
          <w:color w:val="auto"/>
        </w:rPr>
      </w:pPr>
    </w:p>
    <w:p>
      <w:pPr>
        <w:ind w:right="4320"/>
        <w:spacing w:after="0" w:line="308" w:lineRule="auto"/>
        <w:rPr>
          <w:sz w:val="20"/>
          <w:szCs w:val="20"/>
          <w:color w:val="auto"/>
        </w:rPr>
      </w:pPr>
      <w:r>
        <w:rPr>
          <w:rFonts w:ascii="Times New Roman" w:cs="Times New Roman" w:eastAsia="Times New Roman" w:hAnsi="Times New Roman"/>
          <w:sz w:val="17"/>
          <w:szCs w:val="17"/>
          <w:u w:val="single" w:color="auto"/>
          <w:color w:val="0000FF"/>
        </w:rPr>
        <w:t>Certification of Principal Executive Officer Pursuant to 18 U.S.C. Section 1350, as Adopted Pursuant to Section 906 of the Sarbanes-Oxley Act of 2002.</w:t>
      </w:r>
    </w:p>
    <w:p>
      <w:pPr>
        <w:spacing w:after="0" w:line="200" w:lineRule="exact"/>
        <w:rPr>
          <w:sz w:val="20"/>
          <w:szCs w:val="20"/>
          <w:color w:val="auto"/>
        </w:rPr>
      </w:pPr>
    </w:p>
    <w:p>
      <w:pPr>
        <w:sectPr>
          <w:pgSz w:w="11900" w:h="16838" w:orient="portrait"/>
          <w:cols w:equalWidth="0" w:num="2">
            <w:col w:w="540" w:space="720"/>
            <w:col w:w="9880"/>
          </w:cols>
          <w:pgMar w:left="320" w:top="1012" w:right="439" w:bottom="1440" w:gutter="0" w:footer="0" w:header="0"/>
          <w:type w:val="continuous"/>
        </w:sectPr>
      </w:pPr>
    </w:p>
    <w:p>
      <w:pPr>
        <w:spacing w:after="0" w:line="200" w:lineRule="exact"/>
        <w:rPr>
          <w:sz w:val="20"/>
          <w:szCs w:val="20"/>
          <w:color w:val="auto"/>
        </w:rPr>
      </w:pPr>
    </w:p>
    <w:p>
      <w:pPr>
        <w:spacing w:after="0" w:line="3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53975</wp:posOffset>
            </wp:positionV>
            <wp:extent cx="71589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0">
                      <a:extLst>
                        <a:ext uri="{28A0092B-C50C-407E-A947-70E740481C1C}"/>
                      </a:extLst>
                    </a:blip>
                    <a:srcRect/>
                    <a:stretch>
                      <a:fillRect/>
                    </a:stretch>
                  </pic:blipFill>
                  <pic:spPr bwMode="auto">
                    <a:xfrm>
                      <a:off x="0" y="0"/>
                      <a:ext cx="7158990" cy="42545"/>
                    </a:xfrm>
                    <a:prstGeom prst="rect">
                      <a:avLst/>
                    </a:prstGeom>
                    <a:noFill/>
                  </pic:spPr>
                </pic:pic>
              </a:graphicData>
            </a:graphic>
          </wp:anchor>
        </w:drawing>
      </w:r>
    </w:p>
    <w:p>
      <w:pPr>
        <w:sectPr>
          <w:pgSz w:w="11900" w:h="16838" w:orient="portrait"/>
          <w:cols w:equalWidth="0" w:num="1">
            <w:col w:w="11140"/>
          </w:cols>
          <w:pgMar w:left="320" w:top="1012" w:right="439" w:bottom="1440" w:gutter="0" w:footer="0" w:header="0"/>
          <w:type w:val="continuous"/>
        </w:sectPr>
      </w:pPr>
    </w:p>
    <w:bookmarkStart w:id="79" w:name="page80"/>
    <w:bookmarkEnd w:id="79"/>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3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101.CAL*</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101.LAB*</w:t>
      </w:r>
    </w:p>
    <w:p>
      <w:pPr>
        <w:spacing w:after="0" w:line="1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ind w:right="4420"/>
        <w:spacing w:after="0" w:line="308" w:lineRule="auto"/>
        <w:rPr>
          <w:sz w:val="20"/>
          <w:szCs w:val="20"/>
          <w:color w:val="auto"/>
        </w:rPr>
      </w:pPr>
      <w:r>
        <w:rPr>
          <w:rFonts w:ascii="Times New Roman" w:cs="Times New Roman" w:eastAsia="Times New Roman" w:hAnsi="Times New Roman"/>
          <w:sz w:val="17"/>
          <w:szCs w:val="17"/>
          <w:u w:val="single" w:color="auto"/>
          <w:color w:val="0000FF"/>
        </w:rPr>
        <w:t>Certification of Principal Financial Officer Pursuant to 18 U.S.C. Section 1350, as Adopted Pursuant to Section 906 of the Sarbanes-Oxley Act of 2002.</w:t>
      </w:r>
    </w:p>
    <w:p>
      <w:pPr>
        <w:spacing w:after="0" w:line="99" w:lineRule="exact"/>
        <w:rPr>
          <w:sz w:val="20"/>
          <w:szCs w:val="20"/>
          <w:color w:val="auto"/>
        </w:rPr>
      </w:pPr>
    </w:p>
    <w:p>
      <w:pPr>
        <w:jc w:val="both"/>
        <w:ind w:right="4520"/>
        <w:spacing w:after="0" w:line="262"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 within the Inline XBRL document.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p>
      <w:pPr>
        <w:spacing w:after="0" w:line="180" w:lineRule="exact"/>
        <w:rPr>
          <w:sz w:val="20"/>
          <w:szCs w:val="20"/>
          <w:color w:val="auto"/>
        </w:rPr>
      </w:pPr>
    </w:p>
    <w:p>
      <w:pPr>
        <w:ind w:right="4460"/>
        <w:spacing w:after="0" w:line="277" w:lineRule="auto"/>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780" w:space="480"/>
            <w:col w:w="9980"/>
          </w:cols>
          <w:pgMar w:left="320" w:top="1069" w:right="339" w:bottom="1440" w:gutter="0" w:footer="0" w:header="0"/>
        </w:sectPr>
      </w:pPr>
    </w:p>
    <w:p>
      <w:pPr>
        <w:spacing w:after="0" w:line="150" w:lineRule="exact"/>
        <w:rPr>
          <w:sz w:val="20"/>
          <w:szCs w:val="20"/>
          <w:color w:val="auto"/>
        </w:rPr>
      </w:pPr>
    </w:p>
    <w:p>
      <w:pPr>
        <w:ind w:left="280" w:hanging="273"/>
        <w:spacing w:after="0"/>
        <w:tabs>
          <w:tab w:leader="none" w:pos="2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87" w:lineRule="exact"/>
        <w:rPr>
          <w:sz w:val="20"/>
          <w:szCs w:val="20"/>
          <w:color w:val="auto"/>
        </w:rPr>
      </w:pPr>
    </w:p>
    <w:p>
      <w:pPr>
        <w:ind w:left="440" w:hanging="433"/>
        <w:spacing w:after="0" w:line="301" w:lineRule="auto"/>
        <w:tabs>
          <w:tab w:leader="none" w:pos="31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exhibits are furnished with this Quarterly Report on Form 10-Q and are not deemed filed with the Securities and Exchange Commission and are not incorporated by reference in any filing of Bakkt Holdings, Inc. under the Securities Act of 1933, as amended, or the Securities Exchange Act of 1934, as amended, whether made before or after the date hereof and irrespective of any general incorporation language contained in such filings.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1" w:lineRule="exact"/>
        <w:rPr>
          <w:sz w:val="20"/>
          <w:szCs w:val="20"/>
          <w:color w:val="auto"/>
        </w:rPr>
      </w:pPr>
    </w:p>
    <w:p>
      <w:pPr>
        <w:spacing w:after="0" w:line="32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3360" w:type="dxa"/>
            <w:vAlign w:val="bottom"/>
          </w:tcPr>
          <w:p>
            <w:pPr>
              <w:spacing w:after="0"/>
              <w:rPr>
                <w:sz w:val="20"/>
                <w:szCs w:val="20"/>
                <w:color w:val="auto"/>
              </w:rPr>
            </w:pPr>
          </w:p>
        </w:tc>
        <w:tc>
          <w:tcPr>
            <w:tcW w:w="78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Bakkt Holdings, Inc.</w:t>
            </w:r>
          </w:p>
        </w:tc>
      </w:tr>
      <w:tr>
        <w:trPr>
          <w:trHeight w:val="44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2025</w:t>
            </w:r>
          </w:p>
        </w:tc>
        <w:tc>
          <w:tcPr>
            <w:tcW w:w="21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Andrew Main</w:t>
            </w:r>
          </w:p>
        </w:tc>
      </w:tr>
      <w:tr>
        <w:trPr>
          <w:trHeight w:val="215"/>
        </w:trPr>
        <w:tc>
          <w:tcPr>
            <w:tcW w:w="3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Andrew Main</w:t>
            </w:r>
          </w:p>
        </w:tc>
      </w:tr>
      <w:tr>
        <w:trPr>
          <w:trHeight w:val="187"/>
        </w:trPr>
        <w:tc>
          <w:tcPr>
            <w:tcW w:w="33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68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8"/>
              </w:rPr>
              <w:t>Co-Chief Executive Officer, President and Director</w:t>
            </w:r>
          </w:p>
        </w:tc>
      </w:tr>
      <w:tr>
        <w:trPr>
          <w:trHeight w:val="233"/>
        </w:trPr>
        <w:tc>
          <w:tcPr>
            <w:tcW w:w="33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44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2025</w:t>
            </w:r>
          </w:p>
        </w:tc>
        <w:tc>
          <w:tcPr>
            <w:tcW w:w="21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Karen Alexander</w:t>
            </w:r>
          </w:p>
        </w:tc>
      </w:tr>
      <w:tr>
        <w:trPr>
          <w:trHeight w:val="215"/>
        </w:trPr>
        <w:tc>
          <w:tcPr>
            <w:tcW w:w="3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Karen Alexander</w:t>
            </w:r>
          </w:p>
        </w:tc>
      </w:tr>
      <w:tr>
        <w:trPr>
          <w:trHeight w:val="187"/>
        </w:trPr>
        <w:tc>
          <w:tcPr>
            <w:tcW w:w="336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5680" w:type="dxa"/>
            <w:vAlign w:val="bottom"/>
          </w:tcPr>
          <w:p>
            <w:pPr>
              <w:jc w:val="center"/>
              <w:spacing w:after="0" w:line="187" w:lineRule="exact"/>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33"/>
        </w:trPr>
        <w:tc>
          <w:tcPr>
            <w:tcW w:w="33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Financial Officer)</w:t>
            </w:r>
          </w:p>
        </w:tc>
      </w:tr>
      <w:tr>
        <w:trPr>
          <w:trHeight w:val="44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11, 2025</w:t>
            </w:r>
          </w:p>
        </w:tc>
        <w:tc>
          <w:tcPr>
            <w:tcW w:w="216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Joseph Henderson</w:t>
            </w:r>
          </w:p>
        </w:tc>
      </w:tr>
      <w:tr>
        <w:trPr>
          <w:trHeight w:val="226"/>
        </w:trPr>
        <w:tc>
          <w:tcPr>
            <w:tcW w:w="33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5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Joseph Henderson</w:t>
            </w:r>
          </w:p>
        </w:tc>
      </w:tr>
    </w:tbl>
    <w:p>
      <w:pPr>
        <w:jc w:val="center"/>
        <w:ind w:left="5500"/>
        <w:spacing w:after="0" w:line="227" w:lineRule="auto"/>
        <w:rPr>
          <w:sz w:val="20"/>
          <w:szCs w:val="20"/>
          <w:color w:val="auto"/>
        </w:rPr>
      </w:pPr>
      <w:r>
        <w:rPr>
          <w:rFonts w:ascii="Times New Roman" w:cs="Times New Roman" w:eastAsia="Times New Roman" w:hAnsi="Times New Roman"/>
          <w:sz w:val="18"/>
          <w:szCs w:val="18"/>
          <w:color w:val="auto"/>
        </w:rPr>
        <w:t>Chief Accounting Officer</w:t>
      </w:r>
    </w:p>
    <w:p>
      <w:pPr>
        <w:spacing w:after="0" w:line="1" w:lineRule="exact"/>
        <w:rPr>
          <w:sz w:val="20"/>
          <w:szCs w:val="20"/>
          <w:color w:val="auto"/>
        </w:rPr>
      </w:pPr>
    </w:p>
    <w:p>
      <w:pPr>
        <w:jc w:val="center"/>
        <w:ind w:left="55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069" w:right="339" w:bottom="1440" w:gutter="0" w:footer="0" w:header="0"/>
          <w:type w:val="continuous"/>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01"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Main, certify that:</w:t>
      </w:r>
    </w:p>
    <w:p>
      <w:pPr>
        <w:spacing w:after="0" w:line="74" w:lineRule="exact"/>
        <w:rPr>
          <w:sz w:val="20"/>
          <w:szCs w:val="20"/>
          <w:color w:val="auto"/>
        </w:rPr>
      </w:pPr>
    </w:p>
    <w:p>
      <w:pPr>
        <w:ind w:left="440" w:hanging="433"/>
        <w:spacing w:after="0"/>
        <w:tabs>
          <w:tab w:leader="none" w:pos="4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Bakkt Holdings, Inc.;</w:t>
      </w:r>
    </w:p>
    <w:p>
      <w:pPr>
        <w:spacing w:after="0" w:line="73" w:lineRule="exact"/>
        <w:rPr>
          <w:rFonts w:ascii="Times New Roman" w:cs="Times New Roman" w:eastAsia="Times New Roman" w:hAnsi="Times New Roman"/>
          <w:sz w:val="18"/>
          <w:szCs w:val="18"/>
          <w:color w:val="auto"/>
        </w:rPr>
      </w:pPr>
    </w:p>
    <w:p>
      <w:pPr>
        <w:jc w:val="both"/>
        <w:ind w:left="440" w:hanging="433"/>
        <w:spacing w:after="0" w:line="229" w:lineRule="auto"/>
        <w:tabs>
          <w:tab w:leader="none" w:pos="43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8"/>
          <w:szCs w:val="18"/>
          <w:color w:val="auto"/>
        </w:rPr>
      </w:pPr>
    </w:p>
    <w:p>
      <w:pPr>
        <w:ind w:left="440" w:hanging="433"/>
        <w:spacing w:after="0" w:line="246" w:lineRule="auto"/>
        <w:tabs>
          <w:tab w:leader="none" w:pos="43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Times New Roman" w:cs="Times New Roman" w:eastAsia="Times New Roman" w:hAnsi="Times New Roman"/>
          <w:sz w:val="18"/>
          <w:szCs w:val="18"/>
          <w:color w:val="auto"/>
        </w:rPr>
      </w:pPr>
    </w:p>
    <w:p>
      <w:pPr>
        <w:jc w:val="both"/>
        <w:ind w:left="440" w:hanging="433"/>
        <w:spacing w:after="0" w:line="229" w:lineRule="auto"/>
        <w:tabs>
          <w:tab w:leader="none" w:pos="43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Times New Roman" w:cs="Times New Roman" w:eastAsia="Times New Roman" w:hAnsi="Times New Roman"/>
          <w:sz w:val="18"/>
          <w:szCs w:val="18"/>
          <w:color w:val="auto"/>
        </w:rPr>
      </w:pPr>
    </w:p>
    <w:p>
      <w:pPr>
        <w:jc w:val="both"/>
        <w:ind w:left="880" w:hanging="437"/>
        <w:spacing w:after="0" w:line="229" w:lineRule="auto"/>
        <w:tabs>
          <w:tab w:leader="none" w:pos="87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Times New Roman" w:cs="Times New Roman" w:eastAsia="Times New Roman" w:hAnsi="Times New Roman"/>
          <w:sz w:val="18"/>
          <w:szCs w:val="18"/>
          <w:color w:val="auto"/>
        </w:rPr>
      </w:pPr>
    </w:p>
    <w:p>
      <w:pPr>
        <w:jc w:val="both"/>
        <w:ind w:left="880" w:hanging="437"/>
        <w:spacing w:after="0" w:line="229" w:lineRule="auto"/>
        <w:tabs>
          <w:tab w:leader="none" w:pos="95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Times New Roman" w:cs="Times New Roman" w:eastAsia="Times New Roman" w:hAnsi="Times New Roman"/>
          <w:sz w:val="18"/>
          <w:szCs w:val="18"/>
          <w:color w:val="auto"/>
        </w:rPr>
      </w:pPr>
    </w:p>
    <w:p>
      <w:pPr>
        <w:ind w:left="880" w:hanging="437"/>
        <w:spacing w:after="0" w:line="235" w:lineRule="auto"/>
        <w:tabs>
          <w:tab w:leader="none" w:pos="97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Times New Roman" w:cs="Times New Roman" w:eastAsia="Times New Roman" w:hAnsi="Times New Roman"/>
          <w:sz w:val="18"/>
          <w:szCs w:val="18"/>
          <w:color w:val="auto"/>
        </w:rPr>
      </w:pPr>
    </w:p>
    <w:p>
      <w:pPr>
        <w:jc w:val="both"/>
        <w:ind w:left="880" w:hanging="437"/>
        <w:spacing w:after="0" w:line="224" w:lineRule="auto"/>
        <w:tabs>
          <w:tab w:leader="none" w:pos="88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440" w:hanging="433"/>
        <w:spacing w:after="0" w:line="235" w:lineRule="auto"/>
        <w:tabs>
          <w:tab w:leader="none" w:pos="43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8"/>
          <w:szCs w:val="18"/>
          <w:color w:val="auto"/>
        </w:rPr>
      </w:pPr>
    </w:p>
    <w:p>
      <w:pPr>
        <w:ind w:left="880" w:hanging="437"/>
        <w:spacing w:after="0" w:line="246" w:lineRule="auto"/>
        <w:tabs>
          <w:tab w:leader="none" w:pos="84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Times New Roman" w:cs="Times New Roman" w:eastAsia="Times New Roman" w:hAnsi="Times New Roman"/>
          <w:sz w:val="18"/>
          <w:szCs w:val="18"/>
          <w:color w:val="auto"/>
        </w:rPr>
      </w:pPr>
    </w:p>
    <w:p>
      <w:pPr>
        <w:ind w:left="880" w:hanging="437"/>
        <w:spacing w:after="0" w:line="235" w:lineRule="auto"/>
        <w:tabs>
          <w:tab w:leader="none" w:pos="85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ind w:left="20"/>
        <w:spacing w:after="0"/>
        <w:tabs>
          <w:tab w:leader="none" w:pos="5260" w:val="left"/>
          <w:tab w:leader="none" w:pos="7760" w:val="left"/>
        </w:tabs>
        <w:rPr>
          <w:sz w:val="20"/>
          <w:szCs w:val="20"/>
          <w:color w:val="auto"/>
        </w:rPr>
      </w:pPr>
      <w:r>
        <w:rPr>
          <w:rFonts w:ascii="Times New Roman" w:cs="Times New Roman" w:eastAsia="Times New Roman" w:hAnsi="Times New Roman"/>
          <w:sz w:val="18"/>
          <w:szCs w:val="18"/>
          <w:color w:val="auto"/>
        </w:rPr>
        <w:t>Date: August 11,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41275</wp:posOffset>
            </wp:positionV>
            <wp:extent cx="359664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1">
                      <a:extLst>
                        <a:ext uri="{28A0092B-C50C-407E-A947-70E740481C1C}"/>
                      </a:extLst>
                    </a:blip>
                    <a:srcRect/>
                    <a:stretch>
                      <a:fillRect/>
                    </a:stretch>
                  </pic:blipFill>
                  <pic:spPr bwMode="auto">
                    <a:xfrm>
                      <a:off x="0" y="0"/>
                      <a:ext cx="3596640" cy="8255"/>
                    </a:xfrm>
                    <a:prstGeom prst="rect">
                      <a:avLst/>
                    </a:prstGeom>
                    <a:noFill/>
                  </pic:spPr>
                </pic:pic>
              </a:graphicData>
            </a:graphic>
          </wp:anchor>
        </w:drawing>
      </w:r>
    </w:p>
    <w:p>
      <w:pPr>
        <w:spacing w:after="0" w:line="6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Andrew Main</w:t>
      </w:r>
    </w:p>
    <w:p>
      <w:pPr>
        <w:spacing w:after="0" w:line="47"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Chief Executive Officer</w:t>
      </w:r>
    </w:p>
    <w:p>
      <w:pPr>
        <w:ind w:left="73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386"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01"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Alexander, certify that:</w:t>
      </w:r>
    </w:p>
    <w:p>
      <w:pPr>
        <w:spacing w:after="0" w:line="74" w:lineRule="exact"/>
        <w:rPr>
          <w:sz w:val="20"/>
          <w:szCs w:val="20"/>
          <w:color w:val="auto"/>
        </w:rPr>
      </w:pPr>
    </w:p>
    <w:p>
      <w:pPr>
        <w:ind w:left="440" w:hanging="433"/>
        <w:spacing w:after="0"/>
        <w:tabs>
          <w:tab w:leader="none" w:pos="4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Bakkt Holdings, Inc.;</w:t>
      </w:r>
    </w:p>
    <w:p>
      <w:pPr>
        <w:spacing w:after="0" w:line="73" w:lineRule="exact"/>
        <w:rPr>
          <w:rFonts w:ascii="Times New Roman" w:cs="Times New Roman" w:eastAsia="Times New Roman" w:hAnsi="Times New Roman"/>
          <w:sz w:val="18"/>
          <w:szCs w:val="18"/>
          <w:color w:val="auto"/>
        </w:rPr>
      </w:pPr>
    </w:p>
    <w:p>
      <w:pPr>
        <w:jc w:val="both"/>
        <w:ind w:left="440" w:hanging="433"/>
        <w:spacing w:after="0" w:line="229" w:lineRule="auto"/>
        <w:tabs>
          <w:tab w:leader="none" w:pos="4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8"/>
          <w:szCs w:val="18"/>
          <w:color w:val="auto"/>
        </w:rPr>
      </w:pPr>
    </w:p>
    <w:p>
      <w:pPr>
        <w:ind w:left="440" w:hanging="433"/>
        <w:spacing w:after="0" w:line="246" w:lineRule="auto"/>
        <w:tabs>
          <w:tab w:leader="none" w:pos="4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3" w:lineRule="exact"/>
        <w:rPr>
          <w:rFonts w:ascii="Times New Roman" w:cs="Times New Roman" w:eastAsia="Times New Roman" w:hAnsi="Times New Roman"/>
          <w:sz w:val="18"/>
          <w:szCs w:val="18"/>
          <w:color w:val="auto"/>
        </w:rPr>
      </w:pPr>
    </w:p>
    <w:p>
      <w:pPr>
        <w:jc w:val="both"/>
        <w:ind w:left="440" w:hanging="433"/>
        <w:spacing w:after="0" w:line="229" w:lineRule="auto"/>
        <w:tabs>
          <w:tab w:leader="none" w:pos="4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Times New Roman" w:cs="Times New Roman" w:eastAsia="Times New Roman" w:hAnsi="Times New Roman"/>
          <w:sz w:val="18"/>
          <w:szCs w:val="18"/>
          <w:color w:val="auto"/>
        </w:rPr>
      </w:pPr>
    </w:p>
    <w:p>
      <w:pPr>
        <w:jc w:val="both"/>
        <w:ind w:left="880" w:hanging="437"/>
        <w:spacing w:after="0" w:line="229" w:lineRule="auto"/>
        <w:tabs>
          <w:tab w:leader="none" w:pos="87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8" w:lineRule="exact"/>
        <w:rPr>
          <w:rFonts w:ascii="Times New Roman" w:cs="Times New Roman" w:eastAsia="Times New Roman" w:hAnsi="Times New Roman"/>
          <w:sz w:val="18"/>
          <w:szCs w:val="18"/>
          <w:color w:val="auto"/>
        </w:rPr>
      </w:pPr>
    </w:p>
    <w:p>
      <w:pPr>
        <w:jc w:val="both"/>
        <w:ind w:left="880" w:hanging="437"/>
        <w:spacing w:after="0" w:line="229" w:lineRule="auto"/>
        <w:tabs>
          <w:tab w:leader="none" w:pos="95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Times New Roman" w:cs="Times New Roman" w:eastAsia="Times New Roman" w:hAnsi="Times New Roman"/>
          <w:sz w:val="18"/>
          <w:szCs w:val="18"/>
          <w:color w:val="auto"/>
        </w:rPr>
      </w:pPr>
    </w:p>
    <w:p>
      <w:pPr>
        <w:ind w:left="880" w:hanging="437"/>
        <w:spacing w:after="0" w:line="235" w:lineRule="auto"/>
        <w:tabs>
          <w:tab w:leader="none" w:pos="97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Times New Roman" w:cs="Times New Roman" w:eastAsia="Times New Roman" w:hAnsi="Times New Roman"/>
          <w:sz w:val="18"/>
          <w:szCs w:val="18"/>
          <w:color w:val="auto"/>
        </w:rPr>
      </w:pPr>
    </w:p>
    <w:p>
      <w:pPr>
        <w:jc w:val="both"/>
        <w:ind w:left="880" w:hanging="437"/>
        <w:spacing w:after="0" w:line="224" w:lineRule="auto"/>
        <w:tabs>
          <w:tab w:leader="none" w:pos="885"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1" w:lineRule="exact"/>
        <w:rPr>
          <w:rFonts w:ascii="Times New Roman" w:cs="Times New Roman" w:eastAsia="Times New Roman" w:hAnsi="Times New Roman"/>
          <w:sz w:val="18"/>
          <w:szCs w:val="18"/>
          <w:color w:val="auto"/>
        </w:rPr>
      </w:pPr>
    </w:p>
    <w:p>
      <w:pPr>
        <w:ind w:left="440" w:hanging="433"/>
        <w:spacing w:after="0" w:line="235" w:lineRule="auto"/>
        <w:tabs>
          <w:tab w:leader="none" w:pos="4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8" w:lineRule="exact"/>
        <w:rPr>
          <w:rFonts w:ascii="Times New Roman" w:cs="Times New Roman" w:eastAsia="Times New Roman" w:hAnsi="Times New Roman"/>
          <w:sz w:val="18"/>
          <w:szCs w:val="18"/>
          <w:color w:val="auto"/>
        </w:rPr>
      </w:pPr>
    </w:p>
    <w:p>
      <w:pPr>
        <w:ind w:left="880" w:hanging="437"/>
        <w:spacing w:after="0" w:line="246" w:lineRule="auto"/>
        <w:tabs>
          <w:tab w:leader="none" w:pos="849"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3" w:lineRule="exact"/>
        <w:rPr>
          <w:rFonts w:ascii="Times New Roman" w:cs="Times New Roman" w:eastAsia="Times New Roman" w:hAnsi="Times New Roman"/>
          <w:sz w:val="18"/>
          <w:szCs w:val="18"/>
          <w:color w:val="auto"/>
        </w:rPr>
      </w:pPr>
    </w:p>
    <w:p>
      <w:pPr>
        <w:ind w:left="880" w:hanging="437"/>
        <w:spacing w:after="0" w:line="235" w:lineRule="auto"/>
        <w:tabs>
          <w:tab w:leader="none" w:pos="852"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3" w:lineRule="exact"/>
        <w:rPr>
          <w:sz w:val="20"/>
          <w:szCs w:val="20"/>
          <w:color w:val="auto"/>
        </w:rPr>
      </w:pPr>
    </w:p>
    <w:p>
      <w:pPr>
        <w:ind w:left="20"/>
        <w:spacing w:after="0"/>
        <w:tabs>
          <w:tab w:leader="none" w:pos="5260" w:val="left"/>
          <w:tab w:leader="none" w:pos="7640" w:val="left"/>
        </w:tabs>
        <w:rPr>
          <w:sz w:val="20"/>
          <w:szCs w:val="20"/>
          <w:color w:val="auto"/>
        </w:rPr>
      </w:pPr>
      <w:r>
        <w:rPr>
          <w:rFonts w:ascii="Times New Roman" w:cs="Times New Roman" w:eastAsia="Times New Roman" w:hAnsi="Times New Roman"/>
          <w:sz w:val="18"/>
          <w:szCs w:val="18"/>
          <w:color w:val="auto"/>
        </w:rPr>
        <w:t>Date: August 11,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41275</wp:posOffset>
            </wp:positionV>
            <wp:extent cx="359664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2">
                      <a:extLst>
                        <a:ext uri="{28A0092B-C50C-407E-A947-70E740481C1C}"/>
                      </a:extLst>
                    </a:blip>
                    <a:srcRect/>
                    <a:stretch>
                      <a:fillRect/>
                    </a:stretch>
                  </pic:blipFill>
                  <pic:spPr bwMode="auto">
                    <a:xfrm>
                      <a:off x="0" y="0"/>
                      <a:ext cx="3596640" cy="8255"/>
                    </a:xfrm>
                    <a:prstGeom prst="rect">
                      <a:avLst/>
                    </a:prstGeom>
                    <a:noFill/>
                  </pic:spPr>
                </pic:pic>
              </a:graphicData>
            </a:graphic>
          </wp:anchor>
        </w:drawing>
      </w:r>
    </w:p>
    <w:p>
      <w:pPr>
        <w:spacing w:after="0" w:line="6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Karen Alexander</w:t>
      </w:r>
    </w:p>
    <w:p>
      <w:pPr>
        <w:spacing w:after="0" w:line="4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Chief Financial Officer</w:t>
      </w:r>
    </w:p>
    <w:p>
      <w:pPr>
        <w:ind w:left="73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386"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80"/>
        <w:spacing w:after="0" w:line="206"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3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Quarterly Report of Bakkt Holdings, Inc. (the “Company”) on Form 10-Q for the period ending June 30, 2025 as filed with the</w:t>
      </w:r>
    </w:p>
    <w:p>
      <w:pPr>
        <w:spacing w:after="0" w:line="223" w:lineRule="auto"/>
        <w:rPr>
          <w:sz w:val="20"/>
          <w:szCs w:val="20"/>
          <w:color w:val="auto"/>
        </w:rPr>
      </w:pPr>
      <w:r>
        <w:rPr>
          <w:rFonts w:ascii="Times New Roman" w:cs="Times New Roman" w:eastAsia="Times New Roman" w:hAnsi="Times New Roman"/>
          <w:sz w:val="18"/>
          <w:szCs w:val="18"/>
          <w:color w:val="auto"/>
        </w:rPr>
        <w:t>Securities and Exchange Commission on the date hereof (the “Report”), I, Andrew Main, the Chief Executive Officer of the Company, hereby certify, pursuant to 18 U.S.C. § 1350, as adopted pursuant to § 906 of the Sarbanes-Oxley Act of 2002, that:</w:t>
      </w:r>
    </w:p>
    <w:p>
      <w:pPr>
        <w:spacing w:after="0" w:line="156" w:lineRule="exact"/>
        <w:rPr>
          <w:sz w:val="20"/>
          <w:szCs w:val="20"/>
          <w:color w:val="auto"/>
        </w:rPr>
      </w:pPr>
    </w:p>
    <w:p>
      <w:pPr>
        <w:ind w:left="820" w:hanging="377"/>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3" w:lineRule="exact"/>
        <w:rPr>
          <w:rFonts w:ascii="Times New Roman" w:cs="Times New Roman" w:eastAsia="Times New Roman" w:hAnsi="Times New Roman"/>
          <w:sz w:val="18"/>
          <w:szCs w:val="18"/>
          <w:color w:val="auto"/>
        </w:rPr>
      </w:pPr>
    </w:p>
    <w:p>
      <w:pPr>
        <w:ind w:left="820" w:hanging="377"/>
        <w:spacing w:after="0"/>
        <w:tabs>
          <w:tab w:leader="none" w:pos="8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74" w:lineRule="exact"/>
        <w:rPr>
          <w:sz w:val="20"/>
          <w:szCs w:val="20"/>
          <w:color w:val="auto"/>
        </w:rPr>
      </w:pPr>
    </w:p>
    <w:p>
      <w:pPr>
        <w:ind w:left="20"/>
        <w:spacing w:after="0"/>
        <w:tabs>
          <w:tab w:leader="none" w:pos="5620" w:val="left"/>
          <w:tab w:leader="none" w:pos="8020" w:val="left"/>
        </w:tabs>
        <w:rPr>
          <w:sz w:val="20"/>
          <w:szCs w:val="20"/>
          <w:color w:val="auto"/>
        </w:rPr>
      </w:pPr>
      <w:r>
        <w:rPr>
          <w:rFonts w:ascii="Times New Roman" w:cs="Times New Roman" w:eastAsia="Times New Roman" w:hAnsi="Times New Roman"/>
          <w:sz w:val="18"/>
          <w:szCs w:val="18"/>
          <w:color w:val="auto"/>
        </w:rPr>
        <w:t>Date: August 11,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41275</wp:posOffset>
            </wp:positionV>
            <wp:extent cx="32912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3">
                      <a:extLst>
                        <a:ext uri="{28A0092B-C50C-407E-A947-70E740481C1C}"/>
                      </a:extLst>
                    </a:blip>
                    <a:srcRect/>
                    <a:stretch>
                      <a:fillRect/>
                    </a:stretch>
                  </pic:blipFill>
                  <pic:spPr bwMode="auto">
                    <a:xfrm>
                      <a:off x="0" y="0"/>
                      <a:ext cx="3291205" cy="8255"/>
                    </a:xfrm>
                    <a:prstGeom prst="rect">
                      <a:avLst/>
                    </a:prstGeom>
                    <a:noFill/>
                  </pic:spPr>
                </pic:pic>
              </a:graphicData>
            </a:graphic>
          </wp:anchor>
        </w:drawing>
      </w:r>
    </w:p>
    <w:p>
      <w:pPr>
        <w:spacing w:after="0" w:line="6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Andrew Main</w:t>
      </w:r>
    </w:p>
    <w:p>
      <w:pPr>
        <w:spacing w:after="0" w:line="4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Chief Executive Officer</w:t>
      </w:r>
    </w:p>
    <w:p>
      <w:pPr>
        <w:ind w:left="76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386"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80"/>
        <w:spacing w:after="0" w:line="206"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3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Quarterly Report of Bakkt Holdings, Inc. (the “Company”) on Form 10-Q for the period ending June 30, 2025 as filed with the</w:t>
      </w:r>
    </w:p>
    <w:p>
      <w:pPr>
        <w:spacing w:after="0" w:line="223" w:lineRule="auto"/>
        <w:rPr>
          <w:sz w:val="20"/>
          <w:szCs w:val="20"/>
          <w:color w:val="auto"/>
        </w:rPr>
      </w:pPr>
      <w:r>
        <w:rPr>
          <w:rFonts w:ascii="Times New Roman" w:cs="Times New Roman" w:eastAsia="Times New Roman" w:hAnsi="Times New Roman"/>
          <w:sz w:val="18"/>
          <w:szCs w:val="18"/>
          <w:color w:val="auto"/>
        </w:rPr>
        <w:t>Securities and Exchange Commission on the date hereof (the “Report”), I, Karen Alexander, the Chief Financial Officer of the Company, hereby certify, pursuant to 18 U.S.C. § 1350, as adopted pursuant to § 906 of the Sarbanes-Oxley Act of 2002, that:</w:t>
      </w:r>
    </w:p>
    <w:p>
      <w:pPr>
        <w:spacing w:after="0" w:line="156" w:lineRule="exact"/>
        <w:rPr>
          <w:sz w:val="20"/>
          <w:szCs w:val="20"/>
          <w:color w:val="auto"/>
        </w:rPr>
      </w:pPr>
    </w:p>
    <w:p>
      <w:pPr>
        <w:ind w:left="820" w:hanging="377"/>
        <w:spacing w:after="0"/>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3" w:lineRule="exact"/>
        <w:rPr>
          <w:rFonts w:ascii="Times New Roman" w:cs="Times New Roman" w:eastAsia="Times New Roman" w:hAnsi="Times New Roman"/>
          <w:sz w:val="18"/>
          <w:szCs w:val="18"/>
          <w:color w:val="auto"/>
        </w:rPr>
      </w:pPr>
    </w:p>
    <w:p>
      <w:pPr>
        <w:ind w:left="820" w:hanging="377"/>
        <w:spacing w:after="0"/>
        <w:tabs>
          <w:tab w:leader="none" w:pos="8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74" w:lineRule="exact"/>
        <w:rPr>
          <w:sz w:val="20"/>
          <w:szCs w:val="20"/>
          <w:color w:val="auto"/>
        </w:rPr>
      </w:pPr>
    </w:p>
    <w:p>
      <w:pPr>
        <w:ind w:left="20"/>
        <w:spacing w:after="0"/>
        <w:tabs>
          <w:tab w:leader="none" w:pos="5500" w:val="left"/>
          <w:tab w:leader="none" w:pos="7840" w:val="left"/>
        </w:tabs>
        <w:rPr>
          <w:sz w:val="20"/>
          <w:szCs w:val="20"/>
          <w:color w:val="auto"/>
        </w:rPr>
      </w:pPr>
      <w:r>
        <w:rPr>
          <w:rFonts w:ascii="Times New Roman" w:cs="Times New Roman" w:eastAsia="Times New Roman" w:hAnsi="Times New Roman"/>
          <w:sz w:val="18"/>
          <w:szCs w:val="18"/>
          <w:color w:val="auto"/>
        </w:rPr>
        <w:t>Date: August 11,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3762375</wp:posOffset>
            </wp:positionH>
            <wp:positionV relativeFrom="paragraph">
              <wp:posOffset>41275</wp:posOffset>
            </wp:positionV>
            <wp:extent cx="336740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4">
                      <a:extLst>
                        <a:ext uri="{28A0092B-C50C-407E-A947-70E740481C1C}"/>
                      </a:extLst>
                    </a:blip>
                    <a:srcRect/>
                    <a:stretch>
                      <a:fillRect/>
                    </a:stretch>
                  </pic:blipFill>
                  <pic:spPr bwMode="auto">
                    <a:xfrm>
                      <a:off x="0" y="0"/>
                      <a:ext cx="3367405" cy="8255"/>
                    </a:xfrm>
                    <a:prstGeom prst="rect">
                      <a:avLst/>
                    </a:prstGeom>
                    <a:noFill/>
                  </pic:spPr>
                </pic:pic>
              </a:graphicData>
            </a:graphic>
          </wp:anchor>
        </w:drawing>
      </w:r>
    </w:p>
    <w:p>
      <w:pPr>
        <w:spacing w:after="0" w:line="6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Karen Alexander</w:t>
      </w:r>
    </w:p>
    <w:p>
      <w:pPr>
        <w:spacing w:after="0" w:line="74"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6"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3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1."/>
      <w:numFmt w:val="decimal"/>
      <w:start w:val="2"/>
    </w:lvl>
  </w:abstractNum>
  <w:abstractNum w:abstractNumId="9">
    <w:nsid w:val="2CA88611"/>
    <w:multiLevelType w:val="hybridMultilevel"/>
    <w:lvl w:ilvl="0">
      <w:lvlJc w:val="left"/>
      <w:lvlText w:val="%1."/>
      <w:numFmt w:val="decimal"/>
      <w:start w:val="3"/>
    </w:lvl>
  </w:abstractNum>
  <w:abstractNum w:abstractNumId="10">
    <w:nsid w:val="836C40E"/>
    <w:multiLevelType w:val="hybridMultilevel"/>
    <w:lvl w:ilvl="0">
      <w:lvlJc w:val="left"/>
      <w:lvlText w:val="%1."/>
      <w:numFmt w:val="decimal"/>
      <w:start w:val="6"/>
    </w:lvl>
  </w:abstractNum>
  <w:abstractNum w:abstractNumId="11">
    <w:nsid w:val="2901D82"/>
    <w:multiLevelType w:val="hybridMultilevel"/>
    <w:lvl w:ilvl="0">
      <w:lvlJc w:val="left"/>
      <w:lvlText w:val="(%1)"/>
      <w:numFmt w:val="lowerRoman"/>
      <w:start w:val="2"/>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1."/>
      <w:numFmt w:val="decimal"/>
      <w:start w:val="7"/>
    </w:lvl>
  </w:abstractNum>
  <w:abstractNum w:abstractNumId="14">
    <w:nsid w:val="1E7FF521"/>
    <w:multiLevelType w:val="hybridMultilevel"/>
    <w:lvl w:ilvl="0">
      <w:lvlJc w:val="left"/>
      <w:lvlText w:val="%1."/>
      <w:numFmt w:val="decimal"/>
      <w:start w:val="8"/>
    </w:lvl>
  </w:abstractNum>
  <w:abstractNum w:abstractNumId="15">
    <w:nsid w:val="7C3DBD3D"/>
    <w:multiLevelType w:val="hybridMultilevel"/>
    <w:lvl w:ilvl="0">
      <w:lvlJc w:val="left"/>
      <w:lvlText w:val="%1."/>
      <w:numFmt w:val="decimal"/>
      <w:start w:val="9"/>
    </w:lvl>
  </w:abstractNum>
  <w:abstractNum w:abstractNumId="16">
    <w:nsid w:val="737B8DDC"/>
    <w:multiLevelType w:val="hybridMultilevel"/>
    <w:lvl w:ilvl="0">
      <w:lvlJc w:val="left"/>
      <w:lvlText w:val="%1."/>
      <w:numFmt w:val="decimal"/>
      <w:start w:val="11"/>
    </w:lvl>
  </w:abstractNum>
  <w:abstractNum w:abstractNumId="17">
    <w:nsid w:val="6CEAF087"/>
    <w:multiLevelType w:val="hybridMultilevel"/>
    <w:lvl w:ilvl="0">
      <w:lvlJc w:val="left"/>
      <w:lvlText w:val="1"/>
      <w:numFmt w:val="bullet"/>
      <w:start w:val="1"/>
    </w:lvl>
  </w:abstractNum>
  <w:abstractNum w:abstractNumId="18">
    <w:nsid w:val="22221A70"/>
    <w:multiLevelType w:val="hybridMultilevel"/>
    <w:lvl w:ilvl="0">
      <w:lvlJc w:val="left"/>
      <w:lvlText w:val="2"/>
      <w:numFmt w:val="bullet"/>
      <w:start w:val="1"/>
    </w:lvl>
  </w:abstractNum>
  <w:abstractNum w:abstractNumId="19">
    <w:nsid w:val="4516DDE9"/>
    <w:multiLevelType w:val="hybridMultilevel"/>
    <w:lvl w:ilvl="0">
      <w:lvlJc w:val="left"/>
      <w:lvlText w:val="3"/>
      <w:numFmt w:val="bullet"/>
      <w:start w:val="1"/>
    </w:lvl>
  </w:abstractNum>
  <w:abstractNum w:abstractNumId="20">
    <w:nsid w:val="3006C83E"/>
    <w:multiLevelType w:val="hybridMultilevel"/>
    <w:lvl w:ilvl="0">
      <w:lvlJc w:val="left"/>
      <w:lvlText w:val="4"/>
      <w:numFmt w:val="bullet"/>
      <w:start w:val="1"/>
    </w:lvl>
  </w:abstractNum>
  <w:abstractNum w:abstractNumId="21">
    <w:nsid w:val="614FD4A1"/>
    <w:multiLevelType w:val="hybridMultilevel"/>
    <w:lvl w:ilvl="0">
      <w:lvlJc w:val="left"/>
      <w:lvlText w:val="5"/>
      <w:numFmt w:val="bullet"/>
      <w:start w:val="1"/>
    </w:lvl>
  </w:abstractNum>
  <w:abstractNum w:abstractNumId="22">
    <w:nsid w:val="419AC241"/>
    <w:multiLevelType w:val="hybridMultilevel"/>
    <w:lvl w:ilvl="0">
      <w:lvlJc w:val="left"/>
      <w:lvlText w:val="6"/>
      <w:numFmt w:val="bullet"/>
      <w:start w:val="1"/>
    </w:lvl>
  </w:abstractNum>
  <w:abstractNum w:abstractNumId="23">
    <w:nsid w:val="5577F8E1"/>
    <w:multiLevelType w:val="hybridMultilevel"/>
    <w:lvl w:ilvl="0">
      <w:lvlJc w:val="left"/>
      <w:lvlText w:val="%1."/>
      <w:numFmt w:val="decimal"/>
      <w:start w:val="19"/>
    </w:lvl>
  </w:abstractNum>
  <w:abstractNum w:abstractNumId="24">
    <w:nsid w:val="440BADFC"/>
    <w:multiLevelType w:val="hybridMultilevel"/>
    <w:lvl w:ilvl="0">
      <w:lvlJc w:val="left"/>
      <w:lvlText w:val="(%1)"/>
      <w:numFmt w:val="lowerRoman"/>
      <w:start w:val="2"/>
    </w:lvl>
  </w:abstractNum>
  <w:abstractNum w:abstractNumId="25">
    <w:nsid w:val="5072367"/>
    <w:multiLevelType w:val="hybridMultilevel"/>
    <w:lvl w:ilvl="0">
      <w:lvlJc w:val="left"/>
      <w:lvlText w:val="%1."/>
      <w:numFmt w:val="decimal"/>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1)"/>
      <w:numFmt w:val="lowerRoman"/>
      <w:start w:val="2"/>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1."/>
      <w:numFmt w:val="decimal"/>
      <w:start w:val="1"/>
    </w:lvl>
    <w:lvl w:ilvl="1">
      <w:lvlJc w:val="left"/>
      <w:lvlText w:val="(%2)"/>
      <w:numFmt w:val="lowerLetter"/>
      <w:start w:val="1"/>
    </w:lvl>
  </w:abstractNum>
  <w:abstractNum w:abstractNumId="43">
    <w:nsid w:val="57E4CCAF"/>
    <w:multiLevelType w:val="hybridMultilevel"/>
    <w:lvl w:ilvl="0">
      <w:lvlJc w:val="left"/>
      <w:lvlText w:val="%1."/>
      <w:numFmt w:val="decimal"/>
      <w:start w:val="1"/>
    </w:lvl>
    <w:lvl w:ilvl="1">
      <w:lvlJc w:val="left"/>
      <w:lvlText w:val="(%2)"/>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40" Type="http://schemas.openxmlformats.org/officeDocument/2006/relationships/image" Target="media/image120.png"/><Relationship Id="rId141" Type="http://schemas.openxmlformats.org/officeDocument/2006/relationships/image" Target="media/image121.png"/><Relationship Id="rId142" Type="http://schemas.openxmlformats.org/officeDocument/2006/relationships/image" Target="media/image122.png"/><Relationship Id="rId143" Type="http://schemas.openxmlformats.org/officeDocument/2006/relationships/image" Target="media/image123.png"/><Relationship Id="rId144" Type="http://schemas.openxmlformats.org/officeDocument/2006/relationships/image" Target="media/image124.png"/><Relationship Id="rId127" Type="http://schemas.openxmlformats.org/officeDocument/2006/relationships/hyperlink" Target="https://www.sec.gov/Archives/edgar/data/0001820302/000119312521303985/d219325dex32.htm" TargetMode="External"/><Relationship Id="rId128" Type="http://schemas.openxmlformats.org/officeDocument/2006/relationships/hyperlink" Target="https://www.sec.gov/Archives/edgar/data/1820302/000119312521303985/d219325dex31.htm" TargetMode="External"/><Relationship Id="rId129" Type="http://schemas.openxmlformats.org/officeDocument/2006/relationships/hyperlink" Target="https://www.sec.gov/Archives/edgar/data/1820302/000182030224000080/bakkt-charteramendmentreve.htm" TargetMode="External"/><Relationship Id="rId130" Type="http://schemas.openxmlformats.org/officeDocument/2006/relationships/hyperlink" Target="https://www.sec.gov/Archives/edgar/data/1820302/000119312525142918/d80998dex31.htm" TargetMode="External"/><Relationship Id="rId131" Type="http://schemas.openxmlformats.org/officeDocument/2006/relationships/hyperlink" Target="https://www.sec.gov/Archives/edgar/data/1820302/000119312525142918/d80998dex32.htm" TargetMode="External"/><Relationship Id="rId132" Type="http://schemas.openxmlformats.org/officeDocument/2006/relationships/hyperlink" Target="https://www.sec.gov/Archives/edgar/data/1820302/000162828025039333/certofamend2.htm" TargetMode="External"/><Relationship Id="rId133" Type="http://schemas.openxmlformats.org/officeDocument/2006/relationships/hyperlink" Target="https://www.sec.gov/Archives/edgar/data/1820302/000119312525142918/d80998dex102.htm" TargetMode="External"/><Relationship Id="rId134" Type="http://schemas.openxmlformats.org/officeDocument/2006/relationships/hyperlink" Target="https://www.sec.gov/Archives/edgar/data/1820302/000119312525085820/d930118dex44.htm" TargetMode="External"/><Relationship Id="rId135" Type="http://schemas.openxmlformats.org/officeDocument/2006/relationships/hyperlink" Target="https://www.sec.gov/Archives/edgar/data/1820302/000119312525085820/d930118dex45.htm" TargetMode="External"/><Relationship Id="rId136" Type="http://schemas.openxmlformats.org/officeDocument/2006/relationships/hyperlink" Target="https://www.sec.gov/Archives/edgar/data/1820302/000119312525142918/d80998dex101.htm" TargetMode="External"/><Relationship Id="rId137" Type="http://schemas.openxmlformats.org/officeDocument/2006/relationships/hyperlink" Target="https://www.sec.gov/Archives/edgar/data/1820302/000119312525142918/d80998dex103.htm" TargetMode="External"/><Relationship Id="rId138" Type="http://schemas.openxmlformats.org/officeDocument/2006/relationships/hyperlink" Target="https://www.sec.gov/Archives/edgar/data/1820302/000119312525142918/d80998dex104.htm" TargetMode="External"/><Relationship Id="rId139" Type="http://schemas.openxmlformats.org/officeDocument/2006/relationships/hyperlink" Target="https://www.sec.gov/Archives/edgar/data/1820302/000119312525142918/d80998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2025-08-11T16:12:26Z</dcterms:created>
  <dcterms:modified xsi:type="dcterms:W3CDTF">2025-08-11T16:12:26Z</dcterms:modified>
</cp:coreProperties>
</file>