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966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Elliot Mark Sonbolian</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400"/>
        <w:spacing w:after="0" w:line="335" w:lineRule="auto"/>
        <w:rPr>
          <w:sz w:val="20"/>
          <w:szCs w:val="20"/>
          <w:color w:val="auto"/>
        </w:rPr>
      </w:pPr>
      <w:r>
        <w:rPr>
          <w:rFonts w:ascii="Arial" w:cs="Arial" w:eastAsia="Arial" w:hAnsi="Arial"/>
          <w:sz w:val="16"/>
          <w:szCs w:val="16"/>
          <w:color w:val="0000FF"/>
        </w:rPr>
        <w:t>C/O BAKKT HOLDINGS INC. 10000 AVALON BLVD., SUITE 1000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Bakkt Holdings,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BKKT</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02/24/2023</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605"/>
        <w:spacing w:after="0"/>
        <w:rPr>
          <w:sz w:val="20"/>
          <w:szCs w:val="20"/>
          <w:color w:val="auto"/>
        </w:rPr>
      </w:pPr>
      <w:r>
        <w:rPr>
          <w:rFonts w:ascii="Arial" w:cs="Arial" w:eastAsia="Arial" w:hAnsi="Arial"/>
          <w:sz w:val="17"/>
          <w:szCs w:val="17"/>
          <w:color w:val="0000FF"/>
        </w:rPr>
        <w:t>Chief Sales &amp; Mktg Officer</w:t>
      </w:r>
    </w:p>
    <w:p>
      <w:pPr>
        <w:spacing w:after="0" w:line="452"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860" w:type="dxa"/>
            <w:vAlign w:val="bottom"/>
            <w:tcBorders>
              <w:bottom w:val="single" w:sz="8" w:color="9A9A9A"/>
            </w:tcBorders>
          </w:tcPr>
          <w:p>
            <w:pPr>
              <w:spacing w:after="0"/>
              <w:rPr>
                <w:sz w:val="11"/>
                <w:szCs w:val="11"/>
                <w:color w:val="auto"/>
              </w:rPr>
            </w:pPr>
          </w:p>
        </w:tc>
        <w:tc>
          <w:tcPr>
            <w:tcW w:w="820" w:type="dxa"/>
            <w:vAlign w:val="bottom"/>
            <w:tcBorders>
              <w:bottom w:val="single" w:sz="8" w:color="9A9A9A"/>
            </w:tcBorders>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3800" w:type="dxa"/>
            <w:vAlign w:val="bottom"/>
            <w:gridSpan w:val="6"/>
          </w:tcPr>
          <w:p>
            <w:pPr>
              <w:ind w:left="140"/>
              <w:spacing w:after="0" w:line="101" w:lineRule="exact"/>
              <w:rPr>
                <w:sz w:val="20"/>
                <w:szCs w:val="20"/>
                <w:color w:val="auto"/>
              </w:rPr>
            </w:pPr>
            <w:r>
              <w:rPr>
                <w:rFonts w:ascii="Arial" w:cs="Arial" w:eastAsia="Arial" w:hAnsi="Arial"/>
                <w:sz w:val="11"/>
                <w:szCs w:val="11"/>
                <w:color w:val="auto"/>
              </w:rPr>
              <w:t>4. If Amendment, Date of Original Filed (Month/Day/Year)</w:t>
            </w:r>
          </w:p>
        </w:tc>
        <w:tc>
          <w:tcPr>
            <w:tcW w:w="3500" w:type="dxa"/>
            <w:vAlign w:val="bottom"/>
            <w:gridSpan w:val="8"/>
          </w:tcPr>
          <w:p>
            <w:pPr>
              <w:ind w:left="160"/>
              <w:spacing w:after="0" w:line="101"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gridSpan w:val="2"/>
          </w:tcPr>
          <w:p>
            <w:pPr>
              <w:ind w:left="16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20" w:type="dxa"/>
            <w:vAlign w:val="bottom"/>
            <w:gridSpan w:val="7"/>
            <w:vMerge w:val="restart"/>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2"/>
            <w:vMerge w:val="restart"/>
          </w:tcPr>
          <w:p>
            <w:pPr>
              <w:spacing w:after="0"/>
              <w:rPr>
                <w:sz w:val="20"/>
                <w:szCs w:val="20"/>
                <w:color w:val="auto"/>
              </w:rPr>
            </w:pPr>
            <w:r>
              <w:rPr>
                <w:rFonts w:ascii="Arial" w:cs="Arial" w:eastAsia="Arial" w:hAnsi="Arial"/>
                <w:sz w:val="17"/>
                <w:szCs w:val="17"/>
                <w:color w:val="0000FF"/>
              </w:rPr>
              <w:t>ALPHARETTA GA</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30009</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2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94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7"/>
          </w:tcPr>
          <w:p>
            <w:pPr>
              <w:spacing w:after="0"/>
              <w:rPr>
                <w:sz w:val="11"/>
                <w:szCs w:val="11"/>
                <w:color w:val="auto"/>
              </w:rPr>
            </w:pPr>
          </w:p>
        </w:tc>
        <w:tc>
          <w:tcPr>
            <w:tcW w:w="148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6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3"/>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Class A Common Stock</w:t>
            </w:r>
          </w:p>
        </w:tc>
        <w:tc>
          <w:tcPr>
            <w:tcW w:w="1800" w:type="dxa"/>
            <w:vAlign w:val="bottom"/>
            <w:tcBorders>
              <w:bottom w:val="single" w:sz="8" w:color="2C2C2C"/>
            </w:tcBorders>
            <w:gridSpan w:val="3"/>
          </w:tcPr>
          <w:p>
            <w:pPr>
              <w:ind w:left="860"/>
              <w:spacing w:after="0"/>
              <w:rPr>
                <w:sz w:val="20"/>
                <w:szCs w:val="20"/>
                <w:color w:val="auto"/>
              </w:rPr>
            </w:pPr>
            <w:r>
              <w:rPr>
                <w:rFonts w:ascii="Arial" w:cs="Arial" w:eastAsia="Arial" w:hAnsi="Arial"/>
                <w:sz w:val="17"/>
                <w:szCs w:val="17"/>
                <w:color w:val="0000FF"/>
              </w:rPr>
              <w:t>02/24/2023</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5"/>
              </w:rPr>
              <w:t>140,992</w:t>
            </w:r>
            <w:r>
              <w:rPr>
                <w:rFonts w:ascii="Arial" w:cs="Arial" w:eastAsia="Arial" w:hAnsi="Arial"/>
                <w:sz w:val="22"/>
                <w:szCs w:val="22"/>
                <w:color w:val="008000"/>
                <w:w w:val="95"/>
                <w:vertAlign w:val="superscript"/>
              </w:rPr>
              <w:t>(1)</w:t>
            </w:r>
          </w:p>
        </w:tc>
        <w:tc>
          <w:tcPr>
            <w:tcW w:w="6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gridSpan w:val="2"/>
          </w:tcPr>
          <w:p>
            <w:pPr>
              <w:jc w:val="right"/>
              <w:ind w:right="95"/>
              <w:spacing w:after="0" w:line="320" w:lineRule="exact"/>
              <w:rPr>
                <w:sz w:val="20"/>
                <w:szCs w:val="20"/>
                <w:color w:val="auto"/>
              </w:rPr>
            </w:pPr>
            <w:r>
              <w:rPr>
                <w:rFonts w:ascii="Arial" w:cs="Arial" w:eastAsia="Arial" w:hAnsi="Arial"/>
                <w:sz w:val="34"/>
                <w:szCs w:val="34"/>
                <w:color w:val="000000"/>
                <w:w w:val="98"/>
                <w:vertAlign w:val="subscript"/>
              </w:rPr>
              <w:t>$</w:t>
            </w:r>
            <w:r>
              <w:rPr>
                <w:rFonts w:ascii="Arial" w:cs="Arial" w:eastAsia="Arial" w:hAnsi="Arial"/>
                <w:sz w:val="34"/>
                <w:szCs w:val="34"/>
                <w:color w:val="0000FF"/>
                <w:w w:val="98"/>
                <w:vertAlign w:val="subscript"/>
              </w:rPr>
              <w:t>0</w:t>
            </w:r>
            <w:r>
              <w:rPr>
                <w:rFonts w:ascii="Arial" w:cs="Arial" w:eastAsia="Arial" w:hAnsi="Arial"/>
                <w:sz w:val="11"/>
                <w:szCs w:val="11"/>
                <w:color w:val="008000"/>
                <w:w w:val="98"/>
              </w:rPr>
              <w:t>(1)</w:t>
            </w:r>
          </w:p>
        </w:tc>
        <w:tc>
          <w:tcPr>
            <w:tcW w:w="120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399,260</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Class A Common Stock</w:t>
            </w:r>
          </w:p>
        </w:tc>
        <w:tc>
          <w:tcPr>
            <w:tcW w:w="1800" w:type="dxa"/>
            <w:vAlign w:val="bottom"/>
            <w:tcBorders>
              <w:bottom w:val="single" w:sz="8" w:color="2C2C2C"/>
            </w:tcBorders>
            <w:gridSpan w:val="3"/>
          </w:tcPr>
          <w:p>
            <w:pPr>
              <w:ind w:left="860"/>
              <w:spacing w:after="0"/>
              <w:rPr>
                <w:sz w:val="20"/>
                <w:szCs w:val="20"/>
                <w:color w:val="auto"/>
              </w:rPr>
            </w:pPr>
            <w:r>
              <w:rPr>
                <w:rFonts w:ascii="Arial" w:cs="Arial" w:eastAsia="Arial" w:hAnsi="Arial"/>
                <w:sz w:val="17"/>
                <w:szCs w:val="17"/>
                <w:color w:val="0000FF"/>
              </w:rPr>
              <w:t>02/24/2023</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50,000</w:t>
            </w:r>
            <w:r>
              <w:rPr>
                <w:rFonts w:ascii="Arial" w:cs="Arial" w:eastAsia="Arial" w:hAnsi="Arial"/>
                <w:sz w:val="22"/>
                <w:szCs w:val="22"/>
                <w:color w:val="008000"/>
                <w:vertAlign w:val="superscript"/>
              </w:rPr>
              <w:t>(3)</w:t>
            </w:r>
          </w:p>
        </w:tc>
        <w:tc>
          <w:tcPr>
            <w:tcW w:w="6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gridSpan w:val="2"/>
          </w:tcPr>
          <w:p>
            <w:pPr>
              <w:jc w:val="right"/>
              <w:ind w:right="95"/>
              <w:spacing w:after="0" w:line="320" w:lineRule="exact"/>
              <w:rPr>
                <w:sz w:val="20"/>
                <w:szCs w:val="20"/>
                <w:color w:val="auto"/>
              </w:rPr>
            </w:pPr>
            <w:r>
              <w:rPr>
                <w:rFonts w:ascii="Arial" w:cs="Arial" w:eastAsia="Arial" w:hAnsi="Arial"/>
                <w:sz w:val="34"/>
                <w:szCs w:val="34"/>
                <w:color w:val="000000"/>
                <w:w w:val="98"/>
                <w:vertAlign w:val="subscript"/>
              </w:rPr>
              <w:t>$</w:t>
            </w:r>
            <w:r>
              <w:rPr>
                <w:rFonts w:ascii="Arial" w:cs="Arial" w:eastAsia="Arial" w:hAnsi="Arial"/>
                <w:sz w:val="34"/>
                <w:szCs w:val="34"/>
                <w:color w:val="0000FF"/>
                <w:w w:val="98"/>
                <w:vertAlign w:val="subscript"/>
              </w:rPr>
              <w:t>0</w:t>
            </w:r>
            <w:r>
              <w:rPr>
                <w:rFonts w:ascii="Arial" w:cs="Arial" w:eastAsia="Arial" w:hAnsi="Arial"/>
                <w:sz w:val="11"/>
                <w:szCs w:val="11"/>
                <w:color w:val="008000"/>
                <w:w w:val="98"/>
              </w:rPr>
              <w:t>(3)</w:t>
            </w:r>
          </w:p>
        </w:tc>
        <w:tc>
          <w:tcPr>
            <w:tcW w:w="120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449,260</w:t>
            </w:r>
            <w:r>
              <w:rPr>
                <w:rFonts w:ascii="Arial" w:cs="Arial" w:eastAsia="Arial" w:hAnsi="Arial"/>
                <w:sz w:val="22"/>
                <w:szCs w:val="22"/>
                <w:color w:val="008000"/>
                <w:vertAlign w:val="superscript"/>
              </w:rPr>
              <w:t>(4)</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7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2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52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These securities are restricted stock units ("RSUs"). Each RSU represents a contingent right to receive one share of the issuer's Class A Common Stock. The RSUs shall vest in three equal annual installments on the first three anniversaries of February 13, 2023, provided that the reporting person continues to be employed by the issuer as of each vesting date.</w:t>
      </w: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333,320 shares of Class A Common Stock subject to RSU awards that remain subject to vesting.</w:t>
      </w:r>
    </w:p>
    <w:p>
      <w:pPr>
        <w:spacing w:after="0" w:line="50" w:lineRule="exact"/>
        <w:rPr>
          <w:rFonts w:ascii="Arial" w:cs="Arial" w:eastAsia="Arial" w:hAnsi="Arial"/>
          <w:sz w:val="13"/>
          <w:szCs w:val="13"/>
          <w:color w:val="008000"/>
        </w:rPr>
      </w:pPr>
    </w:p>
    <w:p>
      <w:pPr>
        <w:ind w:left="40" w:right="40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securities are RSUs. Each RSU represents a contingent right to receive one share of the issuer's Class A Common Stock. The RSUs shall vest in two equal annual installments on the first two anniversaries of February 13, 2023, provided that the reporting person continues to be employed by the issuer as of each vesting date.</w:t>
      </w:r>
    </w:p>
    <w:p>
      <w:pPr>
        <w:spacing w:after="0" w:line="15"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383,320 shares of Class A Common Stock subject to RSU awards that remain subject to vesting.</w:t>
      </w:r>
    </w:p>
    <w:p>
      <w:pPr>
        <w:spacing w:after="0" w:line="77"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Marc D'Annunzio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9239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23925" cy="8255"/>
                    </a:xfrm>
                    <a:prstGeom prst="rect">
                      <a:avLst/>
                    </a:prstGeom>
                    <a:noFill/>
                  </pic:spPr>
                </pic:pic>
              </a:graphicData>
            </a:graphic>
          </wp:anchor>
        </w:drawing>
      </w:r>
    </w:p>
    <w:p>
      <w:pPr>
        <w:spacing w:after="0" w:line="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Mark S.</w:t>
      </w:r>
      <w:r>
        <w:rPr>
          <w:sz w:val="20"/>
          <w:szCs w:val="20"/>
          <w:color w:val="auto"/>
        </w:rPr>
        <w:tab/>
      </w:r>
      <w:r>
        <w:rPr>
          <w:rFonts w:ascii="Arial" w:cs="Arial" w:eastAsia="Arial" w:hAnsi="Arial"/>
          <w:sz w:val="15"/>
          <w:szCs w:val="15"/>
          <w:color w:val="0000FF"/>
        </w:rPr>
        <w:t>02/28/2023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Elliot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444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44475" cy="8255"/>
                    </a:xfrm>
                    <a:prstGeom prst="rect">
                      <a:avLst/>
                    </a:prstGeom>
                    <a:noFill/>
                  </pic:spPr>
                </pic:pic>
              </a:graphicData>
            </a:graphic>
          </wp:anchor>
        </w:drawing>
      </w:r>
    </w:p>
    <w:p>
      <w:pPr>
        <w:spacing w:after="0" w:line="52"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943008" TargetMode="External"/><Relationship Id="rId13" Type="http://schemas.openxmlformats.org/officeDocument/2006/relationships/hyperlink" Target="http://www.sec.gov/cgi-bin/browse-edgar?action=getcompany&amp;CIK=00018203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2023-03-01T06:25:06Z</dcterms:created>
  <dcterms:modified xsi:type="dcterms:W3CDTF">2023-03-01T06:25:06Z</dcterms:modified>
</cp:coreProperties>
</file>