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20" w:type="dxa"/>
            <w:vAlign w:val="bottom"/>
            <w:vMerge w:val="restart"/>
          </w:tcPr>
          <w:p>
            <w:pPr>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O'Prey Daniel</w:t>
              </w:r>
            </w:hyperlink>
          </w:p>
        </w:tc>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Bakkt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BKKT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11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Borders>
              <w:top w:val="single" w:sz="8" w:color="0000EE"/>
            </w:tcBorders>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60" w:type="dxa"/>
            <w:vAlign w:val="bottom"/>
            <w:gridSpan w:val="2"/>
            <w:vMerge w:val="restart"/>
          </w:tcPr>
          <w:p>
            <w:pPr>
              <w:spacing w:after="0"/>
              <w:rPr>
                <w:sz w:val="20"/>
                <w:szCs w:val="20"/>
                <w:color w:val="auto"/>
              </w:rPr>
            </w:pPr>
            <w:r>
              <w:rPr>
                <w:rFonts w:ascii="Arial" w:cs="Arial" w:eastAsia="Arial" w:hAnsi="Arial"/>
                <w:sz w:val="17"/>
                <w:szCs w:val="17"/>
                <w:color w:val="0000FF"/>
              </w:rPr>
              <w:t>C/O BAKKT HOLDINGS, INC.</w:t>
            </w:r>
          </w:p>
        </w:tc>
        <w:tc>
          <w:tcPr>
            <w:tcW w:w="1280" w:type="dxa"/>
            <w:vAlign w:val="bottom"/>
          </w:tcPr>
          <w:p>
            <w:pPr>
              <w:spacing w:after="0"/>
              <w:rPr>
                <w:sz w:val="19"/>
                <w:szCs w:val="19"/>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01/21/2022</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60" w:type="dxa"/>
            <w:vAlign w:val="bottom"/>
            <w:gridSpan w:val="2"/>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85"/>
        <w:spacing w:after="0"/>
        <w:rPr>
          <w:sz w:val="20"/>
          <w:szCs w:val="20"/>
          <w:color w:val="auto"/>
        </w:rPr>
      </w:pPr>
      <w:r>
        <w:rPr>
          <w:rFonts w:ascii="Arial" w:cs="Arial" w:eastAsia="Arial" w:hAnsi="Arial"/>
          <w:sz w:val="17"/>
          <w:szCs w:val="17"/>
          <w:color w:val="0000FF"/>
        </w:rPr>
        <w:t>EVP, Digital Assets</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7"/>
                <w:szCs w:val="17"/>
                <w:color w:val="0000FF"/>
              </w:rPr>
              <w:t>01/21/2022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200,000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200,000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("RSUs"). Each RSU represents a contingent right to receive one share of the Issuer's Class A Common Stock. The RSUs shall vest in three equal annual installments on the first three anniversaries of January 21, 2022, provided that the Reporting Person continues to be employed by the Issuer as of each vest date.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200,000 shares of Class A Common Stock subject to RSUs that remain subject to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Daniel</w:t>
      </w:r>
      <w:r>
        <w:rPr>
          <w:sz w:val="20"/>
          <w:szCs w:val="20"/>
          <w:color w:val="auto"/>
        </w:rPr>
        <w:tab/>
      </w:r>
      <w:r>
        <w:rPr>
          <w:rFonts w:ascii="Arial" w:cs="Arial" w:eastAsia="Arial" w:hAnsi="Arial"/>
          <w:sz w:val="15"/>
          <w:szCs w:val="15"/>
          <w:color w:val="0000FF"/>
        </w:rPr>
        <w:t>01/25/2022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O'Prey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54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2022-01-25T16:22:31Z</dcterms:created>
  <dcterms:modified xsi:type="dcterms:W3CDTF">2022-01-25T16:22:31Z</dcterms:modified>
</cp:coreProperties>
</file>