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68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Sponsor,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340"/>
        <w:spacing w:after="0" w:line="294" w:lineRule="auto"/>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12/27/2023</w:t>
            </w:r>
          </w:p>
        </w:tc>
        <w:tc>
          <w:tcPr>
            <w:tcW w:w="19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4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214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12/27/2023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753,001</w:t>
            </w:r>
            <w:r>
              <w:rPr>
                <w:rFonts w:ascii="Times New Roman" w:cs="Times New Roman" w:eastAsia="Times New Roman" w:hAnsi="Times New Roman"/>
                <w:sz w:val="22"/>
                <w:szCs w:val="22"/>
                <w:color w:val="008000"/>
                <w:w w:val="99"/>
                <w:vertAlign w:val="superscript"/>
              </w:rPr>
              <w:t>(1)</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2.2521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2,949,110</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 Sponsor,</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effected multiple same-way open market sale transactions on the same day at the same price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340"/>
        <w:spacing w:after="0" w:line="272" w:lineRule="auto"/>
        <w:rPr>
          <w:sz w:val="20"/>
          <w:szCs w:val="20"/>
          <w:color w:val="auto"/>
        </w:rPr>
      </w:pPr>
      <w:r>
        <w:rPr>
          <w:rFonts w:ascii="Times New Roman" w:cs="Times New Roman" w:eastAsia="Times New Roman" w:hAnsi="Times New Roman"/>
          <w:sz w:val="13"/>
          <w:szCs w:val="13"/>
          <w:color w:val="008000"/>
        </w:rPr>
        <w:t>from $2.00-2.392, inclusive. The reporting person hereby undertakes to provide upon request by the Securities Exchange Commission staff, the issuer, or a shareholder of the issuer, full information regarding the number of shares sold at each separate price.</w:t>
      </w:r>
    </w:p>
    <w:p>
      <w:pPr>
        <w:spacing w:after="0" w:line="8" w:lineRule="exact"/>
        <w:rPr>
          <w:sz w:val="20"/>
          <w:szCs w:val="20"/>
          <w:color w:val="auto"/>
        </w:rPr>
      </w:pPr>
    </w:p>
    <w:p>
      <w:pPr>
        <w:jc w:val="both"/>
        <w:ind w:right="3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The reporting persons both may be deemed a 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0860"/>
          </w:cols>
          <w:pgMar w:left="500" w:top="127" w:right="53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2120"/>
          </w:cols>
          <w:pgMar w:left="500" w:top="127" w:right="5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00" w:top="127" w:right="53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Filer: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of Joint Filer to Issuer:</w:t>
      </w:r>
    </w:p>
    <w:p>
      <w:pPr>
        <w:spacing w:after="0" w:line="200" w:lineRule="exact"/>
        <w:rPr>
          <w:sz w:val="20"/>
          <w:szCs w:val="20"/>
          <w:color w:val="auto"/>
        </w:rPr>
      </w:pPr>
    </w:p>
    <w:p>
      <w:pPr>
        <w:spacing w:after="0" w:line="284" w:lineRule="exact"/>
        <w:rPr>
          <w:sz w:val="20"/>
          <w:szCs w:val="20"/>
          <w:color w:val="auto"/>
        </w:rPr>
      </w:pPr>
    </w:p>
    <w:p>
      <w:pPr>
        <w:ind w:right="860"/>
        <w:spacing w:after="0" w:line="323" w:lineRule="auto"/>
        <w:rPr>
          <w:sz w:val="20"/>
          <w:szCs w:val="20"/>
          <w:color w:val="auto"/>
        </w:rPr>
      </w:pPr>
      <w:r>
        <w:rPr>
          <w:rFonts w:ascii="Times New Roman" w:cs="Times New Roman" w:eastAsia="Times New Roman" w:hAnsi="Times New Roman"/>
          <w:sz w:val="17"/>
          <w:szCs w:val="17"/>
          <w:color w:val="auto"/>
        </w:rPr>
        <w:t>Issuer Name and Ticker or Trading Symbol: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Filer: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of Joint Filer to Issuer:</w:t>
      </w:r>
    </w:p>
    <w:p>
      <w:pPr>
        <w:spacing w:after="0" w:line="200" w:lineRule="exact"/>
        <w:rPr>
          <w:sz w:val="20"/>
          <w:szCs w:val="20"/>
          <w:color w:val="auto"/>
        </w:rPr>
      </w:pPr>
    </w:p>
    <w:p>
      <w:pPr>
        <w:spacing w:after="0" w:line="284" w:lineRule="exact"/>
        <w:rPr>
          <w:sz w:val="20"/>
          <w:szCs w:val="20"/>
          <w:color w:val="auto"/>
        </w:rPr>
      </w:pPr>
    </w:p>
    <w:p>
      <w:pPr>
        <w:ind w:right="860"/>
        <w:spacing w:after="0" w:line="323" w:lineRule="auto"/>
        <w:rPr>
          <w:sz w:val="20"/>
          <w:szCs w:val="20"/>
          <w:color w:val="auto"/>
        </w:rPr>
      </w:pPr>
      <w:r>
        <w:rPr>
          <w:rFonts w:ascii="Times New Roman" w:cs="Times New Roman" w:eastAsia="Times New Roman" w:hAnsi="Times New Roman"/>
          <w:sz w:val="17"/>
          <w:szCs w:val="17"/>
          <w:color w:val="auto"/>
        </w:rPr>
        <w:t>Issuer Name and Ticker or Trading Symbol:</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(Month/Day/Year):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Filer Information</w:t>
      </w:r>
    </w:p>
    <w:p>
      <w:pPr>
        <w:spacing w:after="0" w:line="24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VPC Impact Acquisition Holdings Sponsor, LLC</w:t>
      </w:r>
    </w:p>
    <w:p>
      <w:pPr>
        <w:spacing w:after="0" w:line="200" w:lineRule="exact"/>
        <w:rPr>
          <w:sz w:val="20"/>
          <w:szCs w:val="20"/>
          <w:color w:val="auto"/>
        </w:rPr>
      </w:pPr>
    </w:p>
    <w:p>
      <w:pPr>
        <w:spacing w:after="0" w:line="27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0" w:lineRule="exact"/>
        <w:rPr>
          <w:sz w:val="20"/>
          <w:szCs w:val="20"/>
          <w:color w:val="auto"/>
        </w:rPr>
      </w:pPr>
    </w:p>
    <w:p>
      <w:pPr>
        <w:spacing w:after="0" w:line="26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b w:val="1"/>
          <w:bCs w:val="1"/>
          <w:color w:val="auto"/>
        </w:rPr>
        <w:t>(See Remarks)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Bakkt Holdings, Inc. [BKKT]</w:t>
      </w:r>
    </w:p>
    <w:p>
      <w:pPr>
        <w:spacing w:after="0" w:line="200" w:lineRule="exact"/>
        <w:rPr>
          <w:sz w:val="20"/>
          <w:szCs w:val="20"/>
          <w:color w:val="auto"/>
        </w:rPr>
      </w:pPr>
    </w:p>
    <w:p>
      <w:pPr>
        <w:spacing w:after="0" w:line="27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12/27/2023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Richard N. Levy</w:t>
      </w:r>
    </w:p>
    <w:p>
      <w:pPr>
        <w:spacing w:after="0" w:line="200" w:lineRule="exact"/>
        <w:rPr>
          <w:sz w:val="20"/>
          <w:szCs w:val="20"/>
          <w:color w:val="auto"/>
        </w:rPr>
      </w:pPr>
    </w:p>
    <w:p>
      <w:pPr>
        <w:spacing w:after="0" w:line="27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0" w:lineRule="exact"/>
        <w:rPr>
          <w:sz w:val="20"/>
          <w:szCs w:val="20"/>
          <w:color w:val="auto"/>
        </w:rPr>
      </w:pPr>
    </w:p>
    <w:p>
      <w:pPr>
        <w:spacing w:after="0" w:line="26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b w:val="1"/>
          <w:bCs w:val="1"/>
          <w:color w:val="auto"/>
        </w:rPr>
        <w:t>(See Remarks)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Bakkt Holdings, Inc. [BKKT]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12/27/2023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-1836420</wp:posOffset>
            </wp:positionH>
            <wp:positionV relativeFrom="paragraph">
              <wp:posOffset>214630</wp:posOffset>
            </wp:positionV>
            <wp:extent cx="698944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2">
        <w:col w:w="2560" w:space="300"/>
        <w:col w:w="8080"/>
      </w:cols>
      <w:pgMar w:left="480" w:top="33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2023-12-27T16:51:56Z</dcterms:created>
  <dcterms:modified xsi:type="dcterms:W3CDTF">2023-12-27T16:51:56Z</dcterms:modified>
</cp:coreProperties>
</file>