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March 17,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Bakkt Holdings, Inc. (the “Company”) received notice from Bank of America, N.A. (“Bank of America”) that Bank of America would not renew its commercial agreement with the Company. As a result, such agreement will expire in accordance with its terms on April 22, 2025, subject to the Company’s obligation to maintain services for up to a 12-month transition period. Bank of America represented approximately 16% and 17% of the Company’s loyalty services revenue in in the year ended December 31, 2023 and the nine months ended September 30, 2024,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received notice from Webull Pay LLC (“Webull”) that Webull will not renew its commercial agreement with the Company. As a result, such agreement will expire in accordance with its terms on June 14, 2025. Webull represented approximately 74% of the Company’s crypto services revenue in both the year ended December 31, 2023 and the nine months ended September 30, 2024.</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March 17, 2025</w:t>
      </w:r>
    </w:p>
    <w:p>
      <w:pPr>
        <w:pStyle w:val="TextBody"/>
        <w:bidi w:val="0"/>
        <w:spacing w:before="0" w:after="0"/>
        <w:jc w:val="left"/>
        <w:rPr/>
      </w:pPr>
      <w:r>
        <w:rPr/>
      </w:r>
    </w:p>
    <w:tbl>
      <w:tblPr>
        <w:tblW w:w="4596" w:type="dxa"/>
        <w:jc w:val="left"/>
        <w:tblInd w:w="0" w:type="dxa"/>
        <w:tblLayout w:type="fixed"/>
        <w:tblCellMar>
          <w:top w:w="28" w:type="dxa"/>
          <w:left w:w="28" w:type="dxa"/>
          <w:bottom w:w="28" w:type="dxa"/>
          <w:right w:w="28" w:type="dxa"/>
        </w:tblCellMar>
      </w:tblPr>
      <w:tblGrid>
        <w:gridCol w:w="124"/>
        <w:gridCol w:w="109"/>
        <w:gridCol w:w="109"/>
        <w:gridCol w:w="255"/>
        <w:gridCol w:w="255"/>
        <w:gridCol w:w="255"/>
        <w:gridCol w:w="283"/>
        <w:gridCol w:w="283"/>
        <w:gridCol w:w="283"/>
        <w:gridCol w:w="760"/>
        <w:gridCol w:w="760"/>
        <w:gridCol w:w="1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520</Words>
  <Characters>2807</Characters>
  <CharactersWithSpaces>3284</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