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6992620" cy="4992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992370"/>
                    </a:xfrm>
                    <a:prstGeom prst="rect">
                      <a:avLst/>
                    </a:prstGeom>
                    <a:noFill/>
                  </pic:spPr>
                </pic:pic>
              </a:graphicData>
            </a:graphic>
          </wp:anchor>
        </w:drawing>
      </w:r>
    </w:p>
    <w:p>
      <w:pPr>
        <w:spacing w:after="0" w:line="119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3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D'Annunzio Marc</w:t>
              </w:r>
            </w:hyperlink>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3"/>
          </w:tcPr>
          <w:p>
            <w:pPr>
              <w:ind w:left="60"/>
              <w:spacing w:after="0" w:line="18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Bakkt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BKKT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360" w:type="dxa"/>
            <w:vAlign w:val="bottom"/>
            <w:gridSpan w:val="4"/>
            <w:vMerge w:val="continue"/>
          </w:tcPr>
          <w:p>
            <w:pPr>
              <w:spacing w:after="0"/>
              <w:rPr>
                <w:sz w:val="5"/>
                <w:szCs w:val="5"/>
                <w:color w:val="auto"/>
              </w:rPr>
            </w:pPr>
          </w:p>
        </w:tc>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740" w:type="dxa"/>
            <w:vAlign w:val="bottom"/>
            <w:tcBorders>
              <w:top w:val="single" w:sz="8" w:color="0000EE"/>
            </w:tcBorders>
          </w:tcPr>
          <w:p>
            <w:pPr>
              <w:spacing w:after="0"/>
              <w:rPr>
                <w:sz w:val="5"/>
                <w:szCs w:val="5"/>
                <w:color w:val="auto"/>
              </w:rPr>
            </w:pPr>
          </w:p>
        </w:tc>
        <w:tc>
          <w:tcPr>
            <w:tcW w:w="2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720" w:type="dxa"/>
            <w:vAlign w:val="bottom"/>
            <w:tcBorders>
              <w:top w:val="single" w:sz="8" w:color="EEEEEE"/>
            </w:tcBorders>
          </w:tcPr>
          <w:p>
            <w:pPr>
              <w:spacing w:after="0"/>
              <w:rPr>
                <w:sz w:val="3"/>
                <w:szCs w:val="3"/>
                <w:color w:val="auto"/>
              </w:rPr>
            </w:pPr>
          </w:p>
        </w:tc>
        <w:tc>
          <w:tcPr>
            <w:tcW w:w="840" w:type="dxa"/>
            <w:vAlign w:val="bottom"/>
            <w:tcBorders>
              <w:top w:val="single" w:sz="8" w:color="EEEEEE"/>
            </w:tcBorders>
          </w:tcPr>
          <w:p>
            <w:pPr>
              <w:spacing w:after="0"/>
              <w:rPr>
                <w:sz w:val="3"/>
                <w:szCs w:val="3"/>
                <w:color w:val="auto"/>
              </w:rPr>
            </w:pPr>
          </w:p>
        </w:tc>
        <w:tc>
          <w:tcPr>
            <w:tcW w:w="13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300" w:type="dxa"/>
            <w:vAlign w:val="bottom"/>
          </w:tcPr>
          <w:p>
            <w:pPr>
              <w:ind w:left="1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3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BAKKT HOLDINGS, INC.</w:t>
            </w:r>
          </w:p>
        </w:tc>
        <w:tc>
          <w:tcPr>
            <w:tcW w:w="1300" w:type="dxa"/>
            <w:vAlign w:val="bottom"/>
          </w:tcPr>
          <w:p>
            <w:pPr>
              <w:spacing w:after="0"/>
              <w:rPr>
                <w:sz w:val="19"/>
                <w:szCs w:val="19"/>
                <w:color w:val="auto"/>
              </w:rPr>
            </w:pPr>
          </w:p>
        </w:tc>
        <w:tc>
          <w:tcPr>
            <w:tcW w:w="188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0000FF"/>
              </w:rPr>
              <w:t>05/14/2025</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360" w:type="dxa"/>
            <w:vAlign w:val="bottom"/>
            <w:gridSpan w:val="4"/>
            <w:vMerge w:val="continue"/>
          </w:tcPr>
          <w:p>
            <w:pPr>
              <w:spacing w:after="0"/>
              <w:rPr>
                <w:sz w:val="7"/>
                <w:szCs w:val="7"/>
                <w:color w:val="auto"/>
              </w:rPr>
            </w:pPr>
          </w:p>
        </w:tc>
        <w:tc>
          <w:tcPr>
            <w:tcW w:w="13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740" w:type="dxa"/>
            <w:vAlign w:val="bottom"/>
          </w:tcPr>
          <w:p>
            <w:pPr>
              <w:spacing w:after="0"/>
              <w:rPr>
                <w:sz w:val="7"/>
                <w:szCs w:val="7"/>
                <w:color w:val="auto"/>
              </w:rPr>
            </w:pPr>
          </w:p>
        </w:tc>
        <w:tc>
          <w:tcPr>
            <w:tcW w:w="20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10000 AVALON BOULEVARD, SUITE 1000</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5" w:right="600" w:hanging="5"/>
        <w:spacing w:after="0" w:line="261"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208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0"/>
          <w:szCs w:val="20"/>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0"/>
          <w:szCs w:val="20"/>
          <w:color w:val="auto"/>
        </w:rPr>
      </w:pPr>
    </w:p>
    <w:p>
      <w:pPr>
        <w:ind w:left="585"/>
        <w:spacing w:after="0"/>
        <w:rPr>
          <w:sz w:val="20"/>
          <w:szCs w:val="20"/>
          <w:color w:val="auto"/>
        </w:rPr>
      </w:pPr>
      <w:r>
        <w:rPr>
          <w:rFonts w:ascii="Times New Roman" w:cs="Times New Roman" w:eastAsia="Times New Roman" w:hAnsi="Times New Roman"/>
          <w:sz w:val="17"/>
          <w:szCs w:val="17"/>
          <w:color w:val="0000FF"/>
        </w:rPr>
        <w:t>General Counsel &amp; Secretary</w:t>
      </w:r>
    </w:p>
    <w:p>
      <w:pPr>
        <w:spacing w:after="0" w:line="402" w:lineRule="exact"/>
        <w:rPr>
          <w:sz w:val="20"/>
          <w:szCs w:val="20"/>
          <w:color w:val="auto"/>
        </w:rPr>
      </w:pPr>
    </w:p>
    <w:p>
      <w:pPr>
        <w:sectPr>
          <w:pgSz w:w="11900" w:h="16838" w:orient="portrait"/>
          <w:cols w:equalWidth="0" w:num="2">
            <w:col w:w="7680" w:space="55"/>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540" w:type="dxa"/>
            <w:vAlign w:val="bottom"/>
            <w:gridSpan w:val="6"/>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9"/>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gridSpan w:val="2"/>
          </w:tcPr>
          <w:p>
            <w:pPr>
              <w:ind w:left="440"/>
              <w:spacing w:after="0"/>
              <w:rPr>
                <w:sz w:val="20"/>
                <w:szCs w:val="20"/>
                <w:color w:val="auto"/>
              </w:rPr>
            </w:pPr>
            <w:r>
              <w:rPr>
                <w:rFonts w:ascii="Arial" w:cs="Arial" w:eastAsia="Arial" w:hAnsi="Arial"/>
                <w:sz w:val="13"/>
                <w:szCs w:val="13"/>
                <w:color w:val="auto"/>
              </w:rPr>
              <w:t>Line)</w:t>
            </w: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ALPHARETTA  GA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30009</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940" w:type="dxa"/>
            <w:vAlign w:val="bottom"/>
            <w:tcBorders>
              <w:bottom w:val="single" w:sz="8" w:color="2C2C2C"/>
            </w:tcBorders>
            <w:gridSpan w:val="9"/>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2"/>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2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9"/>
              </w:rPr>
              <w:t>Disposed Of (D) (Instr. 3, 4 and 5)</w:t>
            </w:r>
          </w:p>
        </w:tc>
        <w:tc>
          <w:tcPr>
            <w:tcW w:w="22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3"/>
          </w:tcPr>
          <w:p>
            <w:pPr>
              <w:ind w:left="52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3"/>
          </w:tcPr>
          <w:p>
            <w:pPr>
              <w:ind w:left="620"/>
              <w:spacing w:after="0"/>
              <w:rPr>
                <w:sz w:val="20"/>
                <w:szCs w:val="20"/>
                <w:color w:val="auto"/>
              </w:rPr>
            </w:pPr>
            <w:r>
              <w:rPr>
                <w:rFonts w:ascii="Times New Roman" w:cs="Times New Roman" w:eastAsia="Times New Roman" w:hAnsi="Times New Roman"/>
                <w:sz w:val="17"/>
                <w:szCs w:val="17"/>
                <w:color w:val="0000FF"/>
              </w:rPr>
              <w:t>05/14/2025</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right"/>
              <w:ind w:right="58"/>
              <w:spacing w:after="0"/>
              <w:rPr>
                <w:sz w:val="20"/>
                <w:szCs w:val="20"/>
                <w:color w:val="auto"/>
              </w:rPr>
            </w:pPr>
            <w:r>
              <w:rPr>
                <w:rFonts w:ascii="Times New Roman" w:cs="Times New Roman" w:eastAsia="Times New Roman" w:hAnsi="Times New Roman"/>
                <w:sz w:val="17"/>
                <w:szCs w:val="17"/>
                <w:color w:val="0000FF"/>
              </w:rPr>
              <w:t>10,000</w:t>
            </w:r>
          </w:p>
        </w:tc>
        <w:tc>
          <w:tcPr>
            <w:tcW w:w="5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14.2082</w:t>
            </w:r>
            <w:r>
              <w:rPr>
                <w:rFonts w:ascii="Times New Roman" w:cs="Times New Roman" w:eastAsia="Times New Roman" w:hAnsi="Times New Roman"/>
                <w:sz w:val="21"/>
                <w:szCs w:val="21"/>
                <w:color w:val="008000"/>
                <w:vertAlign w:val="superscript"/>
              </w:rPr>
              <w:t>(1)</w:t>
            </w:r>
          </w:p>
        </w:tc>
        <w:tc>
          <w:tcPr>
            <w:tcW w:w="116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69,807</w:t>
            </w:r>
            <w:r>
              <w:rPr>
                <w:rFonts w:ascii="Times New Roman" w:cs="Times New Roman" w:eastAsia="Times New Roman" w:hAnsi="Times New Roman"/>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2"/>
          </w:tcPr>
          <w:p>
            <w:pPr>
              <w:jc w:val="center"/>
              <w:ind w:left="811"/>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0" w:type="dxa"/>
            <w:vAlign w:val="bottom"/>
            <w:gridSpan w:val="9"/>
          </w:tcPr>
          <w:p>
            <w:pPr>
              <w:jc w:val="center"/>
              <w:ind w:left="55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Bakkt</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vMerge w:val="restart"/>
          </w:tcPr>
          <w:p>
            <w:pPr>
              <w:jc w:val="right"/>
              <w:ind w:right="238"/>
              <w:spacing w:after="0"/>
              <w:rPr>
                <w:sz w:val="20"/>
                <w:szCs w:val="20"/>
                <w:color w:val="auto"/>
              </w:rPr>
            </w:pPr>
            <w:r>
              <w:rPr>
                <w:rFonts w:ascii="Times New Roman" w:cs="Times New Roman" w:eastAsia="Times New Roman" w:hAnsi="Times New Roman"/>
                <w:sz w:val="11"/>
                <w:szCs w:val="11"/>
                <w:color w:val="008000"/>
              </w:rPr>
              <w:t>(4)</w:t>
            </w:r>
          </w:p>
        </w:tc>
        <w:tc>
          <w:tcPr>
            <w:tcW w:w="5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48,188</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Opco</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48,188</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-2111375</wp:posOffset>
            </wp:positionV>
            <wp:extent cx="29210" cy="21164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645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40" w:right="36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weighted-average price. These shares were sold in multiple transactions at prices ranging from $13.34 to $14.50, inclusive. For all transactions reported in this Form 4 utilizing a weighted-average price, the reporting person will provide to the issuer, any security holder of the issuer, or the SEC staff, upon request, information regarding the number of shares sold at each price within the range.</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51,976 shares of Class A Common Stock subject to restricted stock units and performance stock units that remain subject to vesting.</w:t>
      </w:r>
    </w:p>
    <w:p>
      <w:pPr>
        <w:spacing w:after="0" w:line="45" w:lineRule="exact"/>
        <w:rPr>
          <w:rFonts w:ascii="Times New Roman" w:cs="Times New Roman" w:eastAsia="Times New Roman" w:hAnsi="Times New Roman"/>
          <w:sz w:val="13"/>
          <w:szCs w:val="13"/>
          <w:color w:val="008000"/>
        </w:rPr>
      </w:pPr>
    </w:p>
    <w:p>
      <w:pPr>
        <w:ind w:left="40" w:right="16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incentive units of Bakkt Management LLC, which units are, subject to certain limitations, redeemable at the request of the reporting person in exchange for the indicated number of common units of Bakkt Opco Holdings, LLC "(Bakkt Opco Units") and an equal number of shares of the issuer's Class V Common Stock.</w:t>
      </w:r>
    </w:p>
    <w:p>
      <w:pPr>
        <w:spacing w:after="0" w:line="15" w:lineRule="exact"/>
        <w:rPr>
          <w:rFonts w:ascii="Times New Roman" w:cs="Times New Roman" w:eastAsia="Times New Roman" w:hAnsi="Times New Roman"/>
          <w:sz w:val="13"/>
          <w:szCs w:val="13"/>
          <w:color w:val="008000"/>
        </w:rPr>
      </w:pPr>
    </w:p>
    <w:p>
      <w:pPr>
        <w:ind w:left="40" w:right="42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an Amended and Restated Exchange Agreement dated as of May 3, 2022, subject to certain conditions, Bakkt Opco Units together with an equal number of shares of the issuer's Class V Common Stock, are exchangeable by the reporting person for shares of the issuer's Class A Common Stock on a one-for-one basis.</w:t>
      </w:r>
    </w:p>
    <w:p>
      <w:pPr>
        <w:spacing w:after="0" w:line="2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9"/>
              </w:rPr>
              <w:t>/s/ Marc D'Annunzio</w:t>
            </w:r>
          </w:p>
        </w:tc>
        <w:tc>
          <w:tcPr>
            <w:tcW w:w="760" w:type="dxa"/>
            <w:vAlign w:val="bottom"/>
          </w:tcPr>
          <w:p>
            <w:pPr>
              <w:spacing w:after="0"/>
              <w:rPr>
                <w:sz w:val="17"/>
                <w:szCs w:val="17"/>
                <w:color w:val="auto"/>
              </w:rPr>
            </w:pPr>
          </w:p>
        </w:tc>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8"/>
              </w:rPr>
              <w:t>05/15/2025</w:t>
            </w: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71559" TargetMode="External"/><Relationship Id="rId14"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2025-05-15T19:14:18Z</dcterms:created>
  <dcterms:modified xsi:type="dcterms:W3CDTF">2025-05-15T19:14:18Z</dcterms:modified>
</cp:coreProperties>
</file>