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1"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-227330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0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5"/>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-631825</wp:posOffset>
            </wp:positionV>
            <wp:extent cx="58420" cy="645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160"/>
                    </a:xfrm>
                    <a:prstGeom prst="rect">
                      <a:avLst/>
                    </a:prstGeom>
                    <a:noFill/>
                  </pic:spPr>
                </pic:pic>
              </a:graphicData>
            </a:graphic>
          </wp:anchor>
        </w:drawing>
        <w:drawing>
          <wp:anchor simplePos="0" relativeHeight="251657728" behindDoc="1" locked="0" layoutInCell="0" allowOverlap="1">
            <wp:simplePos x="0" y="0"/>
            <wp:positionH relativeFrom="column">
              <wp:posOffset>3992245</wp:posOffset>
            </wp:positionH>
            <wp:positionV relativeFrom="paragraph">
              <wp:posOffset>-631825</wp:posOffset>
            </wp:positionV>
            <wp:extent cx="58420" cy="6451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1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751840</wp:posOffset>
            </wp:positionV>
            <wp:extent cx="6992620" cy="4992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4992370"/>
                    </a:xfrm>
                    <a:prstGeom prst="rect">
                      <a:avLst/>
                    </a:prstGeom>
                    <a:noFill/>
                  </pic:spPr>
                </pic:pic>
              </a:graphicData>
            </a:graphic>
          </wp:anchor>
        </w:drawing>
      </w:r>
    </w:p>
    <w:p>
      <w:pPr>
        <w:spacing w:after="0" w:line="1196"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8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384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3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D'Annunzio Marc</w:t>
              </w:r>
            </w:hyperlink>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40" w:type="dxa"/>
            <w:vAlign w:val="bottom"/>
            <w:gridSpan w:val="3"/>
          </w:tcPr>
          <w:p>
            <w:pPr>
              <w:ind w:left="60"/>
              <w:spacing w:after="0" w:line="183"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Bakkt Holdings,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BKKT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360" w:type="dxa"/>
            <w:vAlign w:val="bottom"/>
            <w:gridSpan w:val="4"/>
            <w:vMerge w:val="continue"/>
          </w:tcPr>
          <w:p>
            <w:pPr>
              <w:spacing w:after="0"/>
              <w:rPr>
                <w:sz w:val="5"/>
                <w:szCs w:val="5"/>
                <w:color w:val="auto"/>
              </w:rPr>
            </w:pPr>
          </w:p>
        </w:tc>
        <w:tc>
          <w:tcPr>
            <w:tcW w:w="13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740" w:type="dxa"/>
            <w:vAlign w:val="bottom"/>
            <w:tcBorders>
              <w:top w:val="single" w:sz="8" w:color="0000EE"/>
            </w:tcBorders>
          </w:tcPr>
          <w:p>
            <w:pPr>
              <w:spacing w:after="0"/>
              <w:rPr>
                <w:sz w:val="5"/>
                <w:szCs w:val="5"/>
                <w:color w:val="auto"/>
              </w:rPr>
            </w:pPr>
          </w:p>
        </w:tc>
        <w:tc>
          <w:tcPr>
            <w:tcW w:w="20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720" w:type="dxa"/>
            <w:vAlign w:val="bottom"/>
            <w:tcBorders>
              <w:top w:val="single" w:sz="8" w:color="0000EE"/>
              <w:bottom w:val="single" w:sz="8" w:color="9A9A9A"/>
            </w:tcBorders>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0" w:type="dxa"/>
            <w:vAlign w:val="bottom"/>
            <w:tcBorders>
              <w:top w:val="single" w:sz="8" w:color="EEEEEE"/>
            </w:tcBorders>
          </w:tcPr>
          <w:p>
            <w:pPr>
              <w:spacing w:after="0"/>
              <w:rPr>
                <w:sz w:val="3"/>
                <w:szCs w:val="3"/>
                <w:color w:val="auto"/>
              </w:rPr>
            </w:pPr>
          </w:p>
        </w:tc>
        <w:tc>
          <w:tcPr>
            <w:tcW w:w="780" w:type="dxa"/>
            <w:vAlign w:val="bottom"/>
            <w:tcBorders>
              <w:top w:val="single" w:sz="8" w:color="EEEEEE"/>
            </w:tcBorders>
          </w:tcPr>
          <w:p>
            <w:pPr>
              <w:spacing w:after="0"/>
              <w:rPr>
                <w:sz w:val="3"/>
                <w:szCs w:val="3"/>
                <w:color w:val="auto"/>
              </w:rPr>
            </w:pPr>
          </w:p>
        </w:tc>
        <w:tc>
          <w:tcPr>
            <w:tcW w:w="720" w:type="dxa"/>
            <w:vAlign w:val="bottom"/>
            <w:tcBorders>
              <w:top w:val="single" w:sz="8" w:color="EEEEEE"/>
            </w:tcBorders>
          </w:tcPr>
          <w:p>
            <w:pPr>
              <w:spacing w:after="0"/>
              <w:rPr>
                <w:sz w:val="3"/>
                <w:szCs w:val="3"/>
                <w:color w:val="auto"/>
              </w:rPr>
            </w:pPr>
          </w:p>
        </w:tc>
        <w:tc>
          <w:tcPr>
            <w:tcW w:w="840" w:type="dxa"/>
            <w:vAlign w:val="bottom"/>
            <w:tcBorders>
              <w:top w:val="single" w:sz="8" w:color="EEEEEE"/>
            </w:tcBorders>
          </w:tcPr>
          <w:p>
            <w:pPr>
              <w:spacing w:after="0"/>
              <w:rPr>
                <w:sz w:val="3"/>
                <w:szCs w:val="3"/>
                <w:color w:val="auto"/>
              </w:rPr>
            </w:pPr>
          </w:p>
        </w:tc>
        <w:tc>
          <w:tcPr>
            <w:tcW w:w="130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20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56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300" w:type="dxa"/>
            <w:vAlign w:val="bottom"/>
          </w:tcPr>
          <w:p>
            <w:pPr>
              <w:ind w:left="1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5"/>
                <w:szCs w:val="15"/>
                <w:color w:val="auto"/>
              </w:rPr>
            </w:pPr>
          </w:p>
        </w:tc>
        <w:tc>
          <w:tcPr>
            <w:tcW w:w="3840" w:type="dxa"/>
            <w:vAlign w:val="bottom"/>
            <w:gridSpan w:val="3"/>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3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C/O BAKKT HOLDINGS, INC.</w:t>
            </w:r>
          </w:p>
        </w:tc>
        <w:tc>
          <w:tcPr>
            <w:tcW w:w="1300" w:type="dxa"/>
            <w:vAlign w:val="bottom"/>
          </w:tcPr>
          <w:p>
            <w:pPr>
              <w:spacing w:after="0"/>
              <w:rPr>
                <w:sz w:val="19"/>
                <w:szCs w:val="19"/>
                <w:color w:val="auto"/>
              </w:rPr>
            </w:pPr>
          </w:p>
        </w:tc>
        <w:tc>
          <w:tcPr>
            <w:tcW w:w="1880" w:type="dxa"/>
            <w:vAlign w:val="bottom"/>
            <w:gridSpan w:val="3"/>
          </w:tcPr>
          <w:p>
            <w:pPr>
              <w:ind w:left="140"/>
              <w:spacing w:after="0"/>
              <w:rPr>
                <w:sz w:val="20"/>
                <w:szCs w:val="20"/>
                <w:color w:val="auto"/>
              </w:rPr>
            </w:pPr>
            <w:r>
              <w:rPr>
                <w:rFonts w:ascii="Times New Roman" w:cs="Times New Roman" w:eastAsia="Times New Roman" w:hAnsi="Times New Roman"/>
                <w:sz w:val="17"/>
                <w:szCs w:val="17"/>
                <w:color w:val="0000FF"/>
              </w:rPr>
              <w:t>02/13/2025</w:t>
            </w: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360" w:type="dxa"/>
            <w:vAlign w:val="bottom"/>
            <w:gridSpan w:val="4"/>
            <w:vMerge w:val="continue"/>
          </w:tcPr>
          <w:p>
            <w:pPr>
              <w:spacing w:after="0"/>
              <w:rPr>
                <w:sz w:val="7"/>
                <w:szCs w:val="7"/>
                <w:color w:val="auto"/>
              </w:rPr>
            </w:pPr>
          </w:p>
        </w:tc>
        <w:tc>
          <w:tcPr>
            <w:tcW w:w="13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1740" w:type="dxa"/>
            <w:vAlign w:val="bottom"/>
          </w:tcPr>
          <w:p>
            <w:pPr>
              <w:spacing w:after="0"/>
              <w:rPr>
                <w:sz w:val="7"/>
                <w:szCs w:val="7"/>
                <w:color w:val="auto"/>
              </w:rPr>
            </w:pPr>
          </w:p>
        </w:tc>
        <w:tc>
          <w:tcPr>
            <w:tcW w:w="20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4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10000 AVALON BOULEVARD, SUITE 1000</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ind w:left="5" w:right="600" w:hanging="5"/>
        <w:spacing w:after="0" w:line="261" w:lineRule="auto"/>
        <w:tabs>
          <w:tab w:leader="none" w:pos="14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208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6" w:lineRule="exact"/>
        <w:rPr>
          <w:sz w:val="20"/>
          <w:szCs w:val="20"/>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6" w:lineRule="exact"/>
        <w:rPr>
          <w:sz w:val="20"/>
          <w:szCs w:val="20"/>
          <w:color w:val="auto"/>
        </w:rPr>
      </w:pPr>
    </w:p>
    <w:p>
      <w:pPr>
        <w:ind w:left="525"/>
        <w:spacing w:after="0"/>
        <w:tabs>
          <w:tab w:leader="none" w:pos="208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0"/>
          <w:szCs w:val="20"/>
          <w:color w:val="auto"/>
        </w:rPr>
      </w:pPr>
    </w:p>
    <w:p>
      <w:pPr>
        <w:ind w:left="585"/>
        <w:spacing w:after="0"/>
        <w:rPr>
          <w:sz w:val="20"/>
          <w:szCs w:val="20"/>
          <w:color w:val="auto"/>
        </w:rPr>
      </w:pPr>
      <w:r>
        <w:rPr>
          <w:rFonts w:ascii="Times New Roman" w:cs="Times New Roman" w:eastAsia="Times New Roman" w:hAnsi="Times New Roman"/>
          <w:sz w:val="17"/>
          <w:szCs w:val="17"/>
          <w:color w:val="0000FF"/>
        </w:rPr>
        <w:t>General Counsel &amp; Secretary</w:t>
      </w:r>
    </w:p>
    <w:p>
      <w:pPr>
        <w:spacing w:after="0" w:line="402" w:lineRule="exact"/>
        <w:rPr>
          <w:sz w:val="20"/>
          <w:szCs w:val="20"/>
          <w:color w:val="auto"/>
        </w:rPr>
      </w:pPr>
    </w:p>
    <w:p>
      <w:pPr>
        <w:sectPr>
          <w:pgSz w:w="11900" w:h="16838" w:orient="portrait"/>
          <w:cols w:equalWidth="0" w:num="2">
            <w:col w:w="7680" w:space="55"/>
            <w:col w:w="3345"/>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78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3640" w:type="dxa"/>
            <w:vAlign w:val="bottom"/>
            <w:gridSpan w:val="9"/>
          </w:tcPr>
          <w:p>
            <w:pPr>
              <w:jc w:val="center"/>
              <w:spacing w:after="0"/>
              <w:rPr>
                <w:sz w:val="20"/>
                <w:szCs w:val="20"/>
                <w:color w:val="auto"/>
              </w:rPr>
            </w:pPr>
            <w:r>
              <w:rPr>
                <w:rFonts w:ascii="Arial" w:cs="Arial" w:eastAsia="Arial" w:hAnsi="Arial"/>
                <w:sz w:val="13"/>
                <w:szCs w:val="13"/>
                <w:color w:val="auto"/>
                <w:w w:val="99"/>
              </w:rPr>
              <w:t>4. If Amendment, Date of Original Filed (Month/Day/Year)</w:t>
            </w:r>
          </w:p>
        </w:tc>
        <w:tc>
          <w:tcPr>
            <w:tcW w:w="3680" w:type="dxa"/>
            <w:vAlign w:val="bottom"/>
            <w:gridSpan w:val="10"/>
          </w:tcPr>
          <w:p>
            <w:pPr>
              <w:ind w:left="3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00" w:type="dxa"/>
            <w:vAlign w:val="bottom"/>
            <w:gridSpan w:val="4"/>
          </w:tcPr>
          <w:p>
            <w:pPr>
              <w:ind w:left="34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4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ALPHARETTA  GA</w:t>
            </w: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30009</w:t>
            </w: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40" w:type="dxa"/>
            <w:vAlign w:val="bottom"/>
            <w:gridSpan w:val="3"/>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296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vMerge w:val="restart"/>
          </w:tcPr>
          <w:p>
            <w:pPr>
              <w:spacing w:after="0"/>
              <w:rPr>
                <w:sz w:val="6"/>
                <w:szCs w:val="6"/>
                <w:color w:val="auto"/>
              </w:rPr>
            </w:pPr>
          </w:p>
        </w:tc>
        <w:tc>
          <w:tcPr>
            <w:tcW w:w="58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2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82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1640" w:type="dxa"/>
            <w:vAlign w:val="bottom"/>
            <w:tcBorders>
              <w:bottom w:val="single" w:sz="8" w:color="2C2C2C"/>
            </w:tcBorders>
            <w:gridSpan w:val="4"/>
          </w:tcPr>
          <w:p>
            <w:pPr>
              <w:spacing w:after="0"/>
              <w:rPr>
                <w:sz w:val="10"/>
                <w:szCs w:val="10"/>
                <w:color w:val="auto"/>
              </w:rPr>
            </w:pPr>
          </w:p>
        </w:tc>
        <w:tc>
          <w:tcPr>
            <w:tcW w:w="2540" w:type="dxa"/>
            <w:vAlign w:val="bottom"/>
            <w:tcBorders>
              <w:bottom w:val="single" w:sz="8" w:color="2C2C2C"/>
            </w:tcBorders>
            <w:gridSpan w:val="6"/>
          </w:tcPr>
          <w:p>
            <w:pPr>
              <w:spacing w:after="0"/>
              <w:rPr>
                <w:sz w:val="10"/>
                <w:szCs w:val="10"/>
                <w:color w:val="auto"/>
              </w:rPr>
            </w:pPr>
          </w:p>
        </w:tc>
        <w:tc>
          <w:tcPr>
            <w:tcW w:w="180" w:type="dxa"/>
            <w:vAlign w:val="bottom"/>
            <w:tcBorders>
              <w:bottom w:val="single" w:sz="8" w:color="2C2C2C"/>
            </w:tcBorders>
            <w:gridSpan w:val="2"/>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16"/>
          </w:tcPr>
          <w:p>
            <w:pPr>
              <w:ind w:left="7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4"/>
          </w:tcPr>
          <w:p>
            <w:pPr>
              <w:spacing w:after="0"/>
              <w:rPr>
                <w:sz w:val="3"/>
                <w:szCs w:val="3"/>
                <w:color w:val="auto"/>
              </w:rPr>
            </w:pPr>
          </w:p>
        </w:tc>
        <w:tc>
          <w:tcPr>
            <w:tcW w:w="17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4"/>
                <w:szCs w:val="14"/>
                <w:color w:val="auto"/>
              </w:rPr>
            </w:pPr>
          </w:p>
        </w:tc>
        <w:tc>
          <w:tcPr>
            <w:tcW w:w="174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4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w w:val="96"/>
              </w:rPr>
              <w:t>Disposed Of (D) (Instr. 3, 4 and</w:t>
            </w: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80" w:type="dxa"/>
            <w:vAlign w:val="bottom"/>
            <w:gridSpan w:val="3"/>
          </w:tcPr>
          <w:p>
            <w:pPr>
              <w:ind w:left="740"/>
              <w:spacing w:after="0" w:line="130" w:lineRule="exact"/>
              <w:rPr>
                <w:sz w:val="20"/>
                <w:szCs w:val="20"/>
                <w:color w:val="auto"/>
              </w:rPr>
            </w:pPr>
            <w:r>
              <w:rPr>
                <w:rFonts w:ascii="Arial" w:cs="Arial" w:eastAsia="Arial" w:hAnsi="Arial"/>
                <w:sz w:val="12"/>
                <w:szCs w:val="12"/>
                <w:b w:val="1"/>
                <w:bCs w:val="1"/>
                <w:color w:val="auto"/>
              </w:rPr>
              <w:t>(Month/Day/Year)</w:t>
            </w:r>
          </w:p>
        </w:tc>
        <w:tc>
          <w:tcPr>
            <w:tcW w:w="9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40" w:type="dxa"/>
            <w:vAlign w:val="bottom"/>
          </w:tcPr>
          <w:p>
            <w:pPr>
              <w:jc w:val="right"/>
              <w:spacing w:after="0" w:line="130"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vMerge w:val="restart"/>
          </w:tcPr>
          <w:p>
            <w:pPr>
              <w:jc w:val="right"/>
              <w:ind w:right="93"/>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520" w:type="dxa"/>
            <w:vAlign w:val="bottom"/>
            <w:tcBorders>
              <w:bottom w:val="single" w:sz="8" w:color="2C2C2C"/>
            </w:tcBorders>
            <w:gridSpan w:val="4"/>
          </w:tcPr>
          <w:p>
            <w:pPr>
              <w:spacing w:after="0"/>
              <w:rPr>
                <w:sz w:val="3"/>
                <w:szCs w:val="3"/>
                <w:color w:val="auto"/>
              </w:rPr>
            </w:pPr>
          </w:p>
        </w:tc>
        <w:tc>
          <w:tcPr>
            <w:tcW w:w="1780" w:type="dxa"/>
            <w:vAlign w:val="bottom"/>
            <w:tcBorders>
              <w:bottom w:val="single" w:sz="8" w:color="2C2C2C"/>
            </w:tcBorders>
            <w:gridSpan w:val="3"/>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252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80" w:type="dxa"/>
            <w:vAlign w:val="bottom"/>
            <w:tcBorders>
              <w:bottom w:val="single" w:sz="8" w:color="2C2C2C"/>
            </w:tcBorders>
            <w:gridSpan w:val="3"/>
          </w:tcPr>
          <w:p>
            <w:pPr>
              <w:ind w:left="840"/>
              <w:spacing w:after="0"/>
              <w:rPr>
                <w:sz w:val="20"/>
                <w:szCs w:val="20"/>
                <w:color w:val="auto"/>
              </w:rPr>
            </w:pPr>
            <w:r>
              <w:rPr>
                <w:rFonts w:ascii="Times New Roman" w:cs="Times New Roman" w:eastAsia="Times New Roman" w:hAnsi="Times New Roman"/>
                <w:sz w:val="17"/>
                <w:szCs w:val="17"/>
                <w:color w:val="0000FF"/>
              </w:rPr>
              <w:t>02/13/2025</w:t>
            </w:r>
          </w:p>
        </w:tc>
        <w:tc>
          <w:tcPr>
            <w:tcW w:w="1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right"/>
              <w:ind w:right="300"/>
              <w:spacing w:after="0"/>
              <w:rPr>
                <w:sz w:val="20"/>
                <w:szCs w:val="20"/>
                <w:color w:val="auto"/>
              </w:rPr>
            </w:pPr>
            <w:r>
              <w:rPr>
                <w:rFonts w:ascii="Times New Roman" w:cs="Times New Roman" w:eastAsia="Times New Roman" w:hAnsi="Times New Roman"/>
                <w:sz w:val="13"/>
                <w:szCs w:val="13"/>
                <w:color w:val="0000FF"/>
              </w:rPr>
              <w:t>A</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2"/>
          </w:tcPr>
          <w:p>
            <w:pPr>
              <w:ind w:left="100"/>
              <w:spacing w:after="0"/>
              <w:rPr>
                <w:sz w:val="20"/>
                <w:szCs w:val="20"/>
                <w:color w:val="auto"/>
              </w:rPr>
            </w:pPr>
            <w:r>
              <w:rPr>
                <w:rFonts w:ascii="Times New Roman" w:cs="Times New Roman" w:eastAsia="Times New Roman" w:hAnsi="Times New Roman"/>
                <w:sz w:val="17"/>
                <w:szCs w:val="17"/>
                <w:color w:val="0000FF"/>
                <w:w w:val="91"/>
              </w:rPr>
              <w:t>3,495</w:t>
            </w:r>
            <w:r>
              <w:rPr>
                <w:rFonts w:ascii="Times New Roman" w:cs="Times New Roman" w:eastAsia="Times New Roman" w:hAnsi="Times New Roman"/>
                <w:sz w:val="21"/>
                <w:szCs w:val="21"/>
                <w:color w:val="008000"/>
                <w:w w:val="91"/>
                <w:vertAlign w:val="superscript"/>
              </w:rPr>
              <w:t>(1)</w:t>
            </w:r>
          </w:p>
        </w:tc>
        <w:tc>
          <w:tcPr>
            <w:tcW w:w="540" w:type="dxa"/>
            <w:vAlign w:val="bottom"/>
            <w:tcBorders>
              <w:bottom w:val="single" w:sz="8" w:color="2C2C2C"/>
            </w:tcBorders>
          </w:tcPr>
          <w:p>
            <w:pPr>
              <w:jc w:val="right"/>
              <w:ind w:right="13"/>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tcBorders>
              <w:bottom w:val="single" w:sz="8" w:color="2C2C2C"/>
            </w:tcBorders>
            <w:gridSpan w:val="2"/>
          </w:tcPr>
          <w:p>
            <w:pPr>
              <w:ind w:left="260"/>
              <w:spacing w:after="0" w:line="312" w:lineRule="exact"/>
              <w:rPr>
                <w:sz w:val="20"/>
                <w:szCs w:val="20"/>
                <w:color w:val="auto"/>
              </w:rPr>
            </w:pPr>
            <w:r>
              <w:rPr>
                <w:rFonts w:ascii="Arial" w:cs="Arial" w:eastAsia="Arial" w:hAnsi="Arial"/>
                <w:sz w:val="33"/>
                <w:szCs w:val="33"/>
                <w:color w:val="000000"/>
                <w:w w:val="83"/>
                <w:vertAlign w:val="subscript"/>
              </w:rPr>
              <w:t>$</w:t>
            </w:r>
            <w:r>
              <w:rPr>
                <w:rFonts w:ascii="Times New Roman" w:cs="Times New Roman" w:eastAsia="Times New Roman" w:hAnsi="Times New Roman"/>
                <w:sz w:val="33"/>
                <w:szCs w:val="33"/>
                <w:color w:val="0000FF"/>
                <w:w w:val="83"/>
                <w:vertAlign w:val="subscript"/>
              </w:rPr>
              <w:t>0</w:t>
            </w:r>
            <w:r>
              <w:rPr>
                <w:rFonts w:ascii="Times New Roman" w:cs="Times New Roman" w:eastAsia="Times New Roman" w:hAnsi="Times New Roman"/>
                <w:sz w:val="11"/>
                <w:szCs w:val="11"/>
                <w:color w:val="008000"/>
                <w:w w:val="83"/>
              </w:rPr>
              <w:t>(1)</w:t>
            </w:r>
          </w:p>
        </w:tc>
        <w:tc>
          <w:tcPr>
            <w:tcW w:w="1320" w:type="dxa"/>
            <w:vAlign w:val="bottom"/>
            <w:tcBorders>
              <w:bottom w:val="single" w:sz="8" w:color="2C2C2C"/>
            </w:tcBorders>
            <w:gridSpan w:val="3"/>
          </w:tcPr>
          <w:p>
            <w:pPr>
              <w:ind w:left="400"/>
              <w:spacing w:after="0"/>
              <w:rPr>
                <w:sz w:val="20"/>
                <w:szCs w:val="20"/>
                <w:color w:val="auto"/>
              </w:rPr>
            </w:pPr>
            <w:r>
              <w:rPr>
                <w:rFonts w:ascii="Times New Roman" w:cs="Times New Roman" w:eastAsia="Times New Roman" w:hAnsi="Times New Roman"/>
                <w:sz w:val="17"/>
                <w:szCs w:val="17"/>
                <w:color w:val="0000FF"/>
              </w:rPr>
              <w:t>50,124</w:t>
            </w:r>
            <w:r>
              <w:rPr>
                <w:rFonts w:ascii="Times New Roman" w:cs="Times New Roman" w:eastAsia="Times New Roman" w:hAnsi="Times New Roman"/>
                <w:sz w:val="21"/>
                <w:szCs w:val="21"/>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6"/>
          </w:tcPr>
          <w:p>
            <w:pPr>
              <w:jc w:val="center"/>
              <w:ind w:left="811"/>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40" w:type="dxa"/>
            <w:vAlign w:val="bottom"/>
            <w:gridSpan w:val="13"/>
          </w:tcPr>
          <w:p>
            <w:pPr>
              <w:jc w:val="center"/>
              <w:ind w:left="514"/>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4"/>
          </w:tcPr>
          <w:p>
            <w:pPr>
              <w:spacing w:after="0"/>
              <w:rPr>
                <w:sz w:val="3"/>
                <w:szCs w:val="3"/>
                <w:color w:val="auto"/>
              </w:rPr>
            </w:pPr>
          </w:p>
        </w:tc>
        <w:tc>
          <w:tcPr>
            <w:tcW w:w="120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124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00" w:type="dxa"/>
            <w:vAlign w:val="bottom"/>
          </w:tcPr>
          <w:p>
            <w:pPr>
              <w:spacing w:after="0"/>
              <w:rPr>
                <w:sz w:val="11"/>
                <w:szCs w:val="11"/>
                <w:color w:val="auto"/>
              </w:rPr>
            </w:pPr>
          </w:p>
        </w:tc>
        <w:tc>
          <w:tcPr>
            <w:tcW w:w="6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4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4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Date</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Bakkt</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(3)</w:t>
            </w: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1"/>
                <w:szCs w:val="11"/>
                <w:color w:val="008000"/>
              </w:rPr>
              <w:t>(4)</w:t>
            </w:r>
          </w:p>
        </w:tc>
        <w:tc>
          <w:tcPr>
            <w:tcW w:w="200" w:type="dxa"/>
            <w:vAlign w:val="bottom"/>
          </w:tcPr>
          <w:p>
            <w:pPr>
              <w:spacing w:after="0"/>
              <w:rPr>
                <w:sz w:val="15"/>
                <w:szCs w:val="15"/>
                <w:color w:val="auto"/>
              </w:rPr>
            </w:pP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(4)</w:t>
            </w:r>
          </w:p>
        </w:tc>
        <w:tc>
          <w:tcPr>
            <w:tcW w:w="660" w:type="dxa"/>
            <w:vAlign w:val="bottom"/>
            <w:gridSpan w:val="2"/>
          </w:tcPr>
          <w:p>
            <w:pPr>
              <w:jc w:val="right"/>
              <w:ind w:right="93"/>
              <w:spacing w:after="0"/>
              <w:rPr>
                <w:sz w:val="20"/>
                <w:szCs w:val="20"/>
                <w:color w:val="auto"/>
              </w:rPr>
            </w:pPr>
            <w:r>
              <w:rPr>
                <w:rFonts w:ascii="Times New Roman" w:cs="Times New Roman" w:eastAsia="Times New Roman" w:hAnsi="Times New Roman"/>
                <w:sz w:val="13"/>
                <w:szCs w:val="13"/>
                <w:color w:val="0000FF"/>
              </w:rPr>
              <w:t>Class A</w:t>
            </w: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48,188</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Opco</w:t>
            </w:r>
          </w:p>
        </w:tc>
        <w:tc>
          <w:tcPr>
            <w:tcW w:w="780" w:type="dxa"/>
            <w:vAlign w:val="bottom"/>
            <w:vMerge w:val="continue"/>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66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ind w:left="240"/>
              <w:spacing w:after="0" w:line="143" w:lineRule="exact"/>
              <w:rPr>
                <w:sz w:val="20"/>
                <w:szCs w:val="20"/>
                <w:color w:val="auto"/>
              </w:rPr>
            </w:pPr>
            <w:r>
              <w:rPr>
                <w:rFonts w:ascii="Times New Roman" w:cs="Times New Roman" w:eastAsia="Times New Roman" w:hAnsi="Times New Roman"/>
                <w:sz w:val="13"/>
                <w:szCs w:val="13"/>
                <w:color w:val="0000FF"/>
                <w:w w:val="94"/>
              </w:rPr>
              <w:t>48,188</w:t>
            </w:r>
          </w:p>
        </w:tc>
        <w:tc>
          <w:tcPr>
            <w:tcW w:w="280" w:type="dxa"/>
            <w:vAlign w:val="bottom"/>
          </w:tcPr>
          <w:p>
            <w:pPr>
              <w:spacing w:after="0"/>
              <w:rPr>
                <w:sz w:val="12"/>
                <w:szCs w:val="12"/>
                <w:color w:val="auto"/>
              </w:rPr>
            </w:pPr>
          </w:p>
        </w:tc>
        <w:tc>
          <w:tcPr>
            <w:tcW w:w="68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ind w:right="153"/>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-2111375</wp:posOffset>
            </wp:positionV>
            <wp:extent cx="29210" cy="21164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1645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0"/>
          <w:szCs w:val="20"/>
          <w:color w:val="auto"/>
        </w:rPr>
      </w:pPr>
    </w:p>
    <w:p>
      <w:pPr>
        <w:ind w:left="40" w:right="34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performance stock units ("PSUs") resulting from attainment of performance goals. Each PSU represents a contingent right to receive one share of the issuer's Class A Common Stock. The PSUs shall vest in two equal annual installments on July 12, 2025 and July 12, 2026, provided that the reporting person continues to be employed by the issuer as of each vesting date.</w:t>
      </w:r>
    </w:p>
    <w:p>
      <w:pPr>
        <w:spacing w:after="0" w:line="1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32,983 shares of Class A Common Stock subject to restricted stock units and PSU awards that remain subject to vesting.</w:t>
      </w:r>
    </w:p>
    <w:p>
      <w:pPr>
        <w:spacing w:after="0" w:line="45" w:lineRule="exact"/>
        <w:rPr>
          <w:rFonts w:ascii="Times New Roman" w:cs="Times New Roman" w:eastAsia="Times New Roman" w:hAnsi="Times New Roman"/>
          <w:sz w:val="13"/>
          <w:szCs w:val="13"/>
          <w:color w:val="008000"/>
        </w:rPr>
      </w:pPr>
    </w:p>
    <w:p>
      <w:pPr>
        <w:ind w:left="40" w:right="16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incentive units of Bakkt Management LLC, which units are, subject to certain limitations, redeemable at the request of the reporting person in exchange for the indicated number of common units of Bakkt Opco Holdings, LLC "(Bakkt Opco Units") and an equal number of shares of the issuer's Class V Common Stock.</w:t>
      </w:r>
    </w:p>
    <w:p>
      <w:pPr>
        <w:spacing w:after="0" w:line="15" w:lineRule="exact"/>
        <w:rPr>
          <w:rFonts w:ascii="Times New Roman" w:cs="Times New Roman" w:eastAsia="Times New Roman" w:hAnsi="Times New Roman"/>
          <w:sz w:val="13"/>
          <w:szCs w:val="13"/>
          <w:color w:val="008000"/>
        </w:rPr>
      </w:pPr>
    </w:p>
    <w:p>
      <w:pPr>
        <w:ind w:left="40" w:right="42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terms of an Amended and Restated Exchange Agreement dated as of May 3, 2022, subject to certain conditions, Bakkt Opco Units together with an equal number of shares of the issuer's Class V Common Stock, are exchangeable by the reporting person for shares of the issuer's Class A Common Stock on a one-for-one basis.</w:t>
      </w:r>
    </w:p>
    <w:p>
      <w:pPr>
        <w:spacing w:after="0" w:line="28"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9"/>
              </w:rPr>
              <w:t>/s/ Marc D'Annunzio</w:t>
            </w:r>
          </w:p>
        </w:tc>
        <w:tc>
          <w:tcPr>
            <w:tcW w:w="760" w:type="dxa"/>
            <w:vAlign w:val="bottom"/>
          </w:tcPr>
          <w:p>
            <w:pPr>
              <w:spacing w:after="0"/>
              <w:rPr>
                <w:sz w:val="17"/>
                <w:szCs w:val="17"/>
                <w:color w:val="auto"/>
              </w:rPr>
            </w:pPr>
          </w:p>
        </w:tc>
        <w:tc>
          <w:tcPr>
            <w:tcW w:w="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8"/>
              </w:rPr>
              <w:t>02/18/2025</w:t>
            </w:r>
          </w:p>
        </w:tc>
      </w:tr>
      <w:tr>
        <w:trPr>
          <w:trHeight w:val="230"/>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20" w:firstLine="3"/>
        <w:spacing w:after="0" w:line="313" w:lineRule="auto"/>
        <w:tabs>
          <w:tab w:leader="none" w:pos="177"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71559" TargetMode="External"/><Relationship Id="rId14" Type="http://schemas.openxmlformats.org/officeDocument/2006/relationships/hyperlink" Target="http://www.sec.gov/cgi-bin/browse-edgar?action=getcompany&amp;CIK=00018203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2025-02-18T17:04:25Z</dcterms:created>
  <dcterms:modified xsi:type="dcterms:W3CDTF">2025-02-18T17:04:25Z</dcterms:modified>
</cp:coreProperties>
</file>