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333-261034</w:t>
      </w:r>
    </w:p>
    <w:p>
      <w:pPr>
        <w:spacing w:after="0" w:line="9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1</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April 12, 2022)</w:t>
      </w:r>
    </w:p>
    <w:p>
      <w:pPr>
        <w:spacing w:after="0" w:line="196" w:lineRule="exact"/>
        <w:rPr>
          <w:sz w:val="24"/>
          <w:szCs w:val="24"/>
          <w:color w:val="auto"/>
        </w:rPr>
      </w:pPr>
    </w:p>
    <w:p>
      <w:pPr>
        <w:jc w:val="center"/>
        <w:ind w:left="500" w:right="260"/>
        <w:spacing w:after="0" w:line="258" w:lineRule="auto"/>
        <w:rPr>
          <w:sz w:val="20"/>
          <w:szCs w:val="20"/>
          <w:color w:val="auto"/>
        </w:rPr>
      </w:pPr>
      <w:r>
        <w:rPr>
          <w:rFonts w:ascii="Times New Roman" w:cs="Times New Roman" w:eastAsia="Times New Roman" w:hAnsi="Times New Roman"/>
          <w:sz w:val="25"/>
          <w:szCs w:val="25"/>
          <w:b w:val="1"/>
          <w:bCs w:val="1"/>
          <w:color w:val="auto"/>
        </w:rPr>
        <w:t>190,726,638 Shares of Class A Common Stock Issuable Upon the Exchange of Paired Interests 32,500,000 Shares of Class A Common Stock issued in the PIPE Financing 5,184,300 Shares of Class A Common Stock Issued in Respect of Founder Shares 3,151,890 shares of Class A Common Stock Issued Upon the Exchange of a Portion of the Private Placement 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939165</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2980690</wp:posOffset>
            </wp:positionH>
            <wp:positionV relativeFrom="paragraph">
              <wp:posOffset>330835</wp:posOffset>
            </wp:positionV>
            <wp:extent cx="1036955" cy="386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36955"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is being filed to update and supplement the information contained in the prospectus dated April 12, 2022 (as amended and supplemented from time to time, the “Prospectus”) with the information contained in our Current Report on Form 8-K, filed with the Securities and Exchange Commission on April 22, 2022 (the “Form 8-K”). Accordingly, we have attached the Form 8-K to this prospectus supplement. Capitalized terms used in this prospectus supplement and not otherwise defined herein have the meanings specified in the Prospectus.</w:t>
      </w:r>
    </w:p>
    <w:p>
      <w:pPr>
        <w:spacing w:after="0" w:line="180" w:lineRule="exact"/>
        <w:rPr>
          <w:sz w:val="24"/>
          <w:szCs w:val="24"/>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spacing w:after="0" w:line="180" w:lineRule="exact"/>
        <w:rPr>
          <w:sz w:val="24"/>
          <w:szCs w:val="24"/>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Our Class A Common Stock is listed on The New York Stock Exchange (“NYSE”) under the symbol “BKKT” and our warrants to purchase Class A Common Stock (the “Warrants”) are listed on NYSE under the symbol “BKKT WS.” On April 20, 2022, the last quoted sale price for our Class A Common Stock as reported on NYSE was $4.60 per share and the last quoted sale price for our Warrants as reported on NYSE was $1.58 per warrant.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219710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ind w:right="240" w:firstLine="440"/>
        <w:spacing w:after="0" w:line="262" w:lineRule="auto"/>
        <w:rPr>
          <w:sz w:val="20"/>
          <w:szCs w:val="20"/>
          <w:color w:val="auto"/>
        </w:rPr>
      </w:pPr>
      <w:r>
        <w:rPr>
          <w:rFonts w:ascii="Times New Roman" w:cs="Times New Roman" w:eastAsia="Times New Roman" w:hAnsi="Times New Roman"/>
          <w:sz w:val="22"/>
          <w:szCs w:val="22"/>
          <w:b w:val="1"/>
          <w:bCs w:val="1"/>
          <w:color w:val="auto"/>
        </w:rPr>
        <w:t>Investing in our securities involves a high degree of risk. Before buying any securities, you should carefully read the discussion of the risks of investing in our securities in “</w:t>
      </w:r>
      <w:r>
        <w:rPr>
          <w:rFonts w:ascii="Times New Roman" w:cs="Times New Roman" w:eastAsia="Times New Roman" w:hAnsi="Times New Roman"/>
          <w:sz w:val="22"/>
          <w:szCs w:val="22"/>
          <w:b w:val="1"/>
          <w:bCs w:val="1"/>
          <w:i w:val="1"/>
          <w:iCs w:val="1"/>
          <w:color w:val="auto"/>
        </w:rPr>
        <w:t>Risk Factors</w:t>
      </w:r>
      <w:r>
        <w:rPr>
          <w:rFonts w:ascii="Times New Roman" w:cs="Times New Roman" w:eastAsia="Times New Roman" w:hAnsi="Times New Roman"/>
          <w:sz w:val="22"/>
          <w:szCs w:val="22"/>
          <w:b w:val="1"/>
          <w:bCs w:val="1"/>
          <w:color w:val="auto"/>
        </w:rPr>
        <w:t>” of the Prospectus.</w:t>
      </w:r>
    </w:p>
    <w:p>
      <w:pPr>
        <w:spacing w:after="0" w:line="159" w:lineRule="exact"/>
        <w:rPr>
          <w:sz w:val="24"/>
          <w:szCs w:val="24"/>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the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198120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April 22,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165735</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208280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225" w:right="499" w:bottom="1440" w:gutter="0" w:footer="0" w:header="0"/>
        </w:sectPr>
      </w:pPr>
    </w:p>
    <w:bookmarkStart w:id="1" w:name="page2"/>
    <w:bookmarkEnd w:id="1"/>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21,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16" w:right="43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9" w:lineRule="exact"/>
        <w:rPr>
          <w:sz w:val="20"/>
          <w:szCs w:val="20"/>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001-39544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98-1550750</w:t>
      </w:r>
    </w:p>
    <w:p>
      <w:pPr>
        <w:spacing w:after="0" w:line="24" w:lineRule="exact"/>
        <w:rPr>
          <w:sz w:val="20"/>
          <w:szCs w:val="20"/>
          <w:color w:val="auto"/>
        </w:rPr>
      </w:pPr>
    </w:p>
    <w:p>
      <w:pPr>
        <w:sectPr>
          <w:pgSz w:w="11900" w:h="16838" w:orient="portrait"/>
          <w:cols w:equalWidth="0" w:num="3">
            <w:col w:w="4504" w:space="720"/>
            <w:col w:w="2880" w:space="720"/>
            <w:col w:w="2200"/>
          </w:cols>
          <w:pgMar w:left="436" w:top="41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0"/>
          <w:szCs w:val="20"/>
          <w:color w:val="auto"/>
        </w:rPr>
      </w:pPr>
      <w:r>
        <w:rPr>
          <w:sz w:val="20"/>
          <w:szCs w:val="20"/>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0"/>
          <w:szCs w:val="20"/>
          <w:color w:val="auto"/>
        </w:rPr>
      </w:pPr>
    </w:p>
    <w:p>
      <w:pPr>
        <w:sectPr>
          <w:pgSz w:w="11900" w:h="16838" w:orient="portrait"/>
          <w:cols w:equalWidth="0" w:num="3">
            <w:col w:w="4484" w:space="720"/>
            <w:col w:w="2760" w:space="720"/>
            <w:col w:w="2340"/>
          </w:cols>
          <w:pgMar w:left="436" w:top="416" w:right="439" w:bottom="1440" w:gutter="0" w:footer="0" w:header="0"/>
          <w:type w:val="continuous"/>
        </w:sectPr>
      </w:pPr>
    </w:p>
    <w:p>
      <w:pPr>
        <w:spacing w:after="0" w:line="1" w:lineRule="exact"/>
        <w:rPr>
          <w:sz w:val="20"/>
          <w:szCs w:val="20"/>
          <w:color w:val="auto"/>
        </w:rPr>
      </w:pPr>
    </w:p>
    <w:p>
      <w:pPr>
        <w:ind w:left="584"/>
        <w:spacing w:after="0"/>
        <w:rPr>
          <w:sz w:val="20"/>
          <w:szCs w:val="20"/>
          <w:color w:val="auto"/>
        </w:rPr>
      </w:pPr>
      <w:r>
        <w:rPr>
          <w:rFonts w:ascii="Times New Roman" w:cs="Times New Roman" w:eastAsia="Times New Roman" w:hAnsi="Times New Roman"/>
          <w:sz w:val="17"/>
          <w:szCs w:val="17"/>
          <w:b w:val="1"/>
          <w:bCs w:val="1"/>
          <w:color w:val="auto"/>
        </w:rPr>
        <w:t>10000 Avalon Boulevard, Suite 1000, Alpharetta, Georgia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30009</w:t>
      </w:r>
    </w:p>
    <w:p>
      <w:pPr>
        <w:spacing w:after="0" w:line="43" w:lineRule="exact"/>
        <w:rPr>
          <w:sz w:val="20"/>
          <w:szCs w:val="20"/>
          <w:color w:val="auto"/>
        </w:rPr>
      </w:pPr>
    </w:p>
    <w:p>
      <w:pPr>
        <w:sectPr>
          <w:pgSz w:w="11900" w:h="16838" w:orient="portrait"/>
          <w:cols w:equalWidth="0" w:num="2">
            <w:col w:w="7404" w:space="720"/>
            <w:col w:w="2900"/>
          </w:cols>
          <w:pgMar w:left="436" w:top="41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0"/>
          <w:szCs w:val="20"/>
          <w:color w:val="auto"/>
        </w:rPr>
      </w:pPr>
    </w:p>
    <w:p>
      <w:pPr>
        <w:sectPr>
          <w:pgSz w:w="11900" w:h="16838" w:orient="portrait"/>
          <w:cols w:equalWidth="0" w:num="2">
            <w:col w:w="7284" w:space="720"/>
            <w:col w:w="3020"/>
          </w:cols>
          <w:pgMar w:left="436" w:top="41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(678) 534-5849</w:t>
      </w:r>
    </w:p>
    <w:p>
      <w:pPr>
        <w:spacing w:after="0" w:line="19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213360</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0"/>
          <w:szCs w:val="20"/>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Class A Common Stock, par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BKKT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Warrants to purchase Class A Common Stock</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BKKT WS</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0"/>
          <w:szCs w:val="20"/>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7" w:lineRule="exact"/>
        <w:rPr>
          <w:sz w:val="20"/>
          <w:szCs w:val="20"/>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16" w:right="439" w:bottom="1440" w:gutter="0" w:footer="0" w:header="0"/>
          <w:type w:val="continuous"/>
        </w:sectPr>
      </w:pPr>
    </w:p>
    <w:bookmarkStart w:id="2" w:name="page3"/>
    <w:bookmarkEnd w:id="2"/>
    <w:p>
      <w:pPr>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On April 21, 2022, Bakkt Holdings, Inc. (the “Company”) announced that its board of directors (the “Board”), upon the recommendation of its Nominating and Corporate Governance Committee, appointed Jill Simeone and De’Ana Dow (the “New Directors”) to the Board, as a Class I director and a Class III director, respectively. Biographical information for each of the New Directors is below. The Board determined that each of the New Directors meets the independence requirements under the rules of the New York Stock Exchange and the Company’s independence standards, and that there are no transactions between the Company and either New Director that would require disclosure under Item 404(a) of Regulation S-K. There are no understandings or arrangements between either New Director and any other person pursuant to which such New Director was selected to serve as a director of the Board.</w:t>
      </w:r>
    </w:p>
    <w:p>
      <w:pPr>
        <w:spacing w:after="0" w:line="189" w:lineRule="exact"/>
        <w:rPr>
          <w:sz w:val="20"/>
          <w:szCs w:val="20"/>
          <w:color w:val="auto"/>
        </w:rPr>
      </w:pPr>
    </w:p>
    <w:p>
      <w:pPr>
        <w:ind w:right="120" w:firstLine="440"/>
        <w:spacing w:after="0" w:line="270" w:lineRule="auto"/>
        <w:rPr>
          <w:sz w:val="20"/>
          <w:szCs w:val="20"/>
          <w:color w:val="auto"/>
        </w:rPr>
      </w:pPr>
      <w:r>
        <w:rPr>
          <w:rFonts w:ascii="Times New Roman" w:cs="Times New Roman" w:eastAsia="Times New Roman" w:hAnsi="Times New Roman"/>
          <w:sz w:val="17"/>
          <w:szCs w:val="17"/>
          <w:color w:val="auto"/>
        </w:rPr>
        <w:t>Ms. Dow, age 66, is partner and general counsel with Capitol Counsel LLC, a full-service government relations firm, where she has served since August 2012. Her primary focus has been derivatives markets, with many years of senior level experience in both technical and policy areas. Prior to Ms. Dow’s position with Capitol Counsel, from July 2010 to August 2012, Ms. Dow served as the Senior Vice President of Ogilvy Government Relations, Washington, D.C., which specializes in futures and derivatives markets. Before joining Ogilvy, from August 2008 through July 2010,</w:t>
      </w:r>
    </w:p>
    <w:p>
      <w:pPr>
        <w:spacing w:after="0" w:line="3"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Ms. Dow was the Managing Director for Government Affairs at CME Group, the world’s largest derivatives exchange. In that role, Ms. Dow managed the organization’s efforts related to the Dodd-Frank financial market regulatory reform bill as it progressed through the House and the Senate, as well as the regulatory actions at the CFTC, Securities and Exchange Commission, Treasury Department and the Federal Reserve. From April 2005 through August 2008, Ms. Dow served as the Senior Vice President and Chief Legislative Counsel for the New York Mercantile Exchange (“NYMEX”), before NYMEX merged with CME. As the head of office and regulatory counsel for NYMEX, she successfully guided the company through a complex legislative agenda aimed at eliminating critical liquidity providers from the markets, and monitored numerous CFTC regulatory filings for accuracy and sufficient analytical content. Ms. Dow received an undergraduate degree from Bowie State College and a Juris Doctorate from Georgetown University Law Center.</w:t>
      </w:r>
    </w:p>
    <w:p>
      <w:pPr>
        <w:spacing w:after="0" w:line="194" w:lineRule="exact"/>
        <w:rPr>
          <w:sz w:val="20"/>
          <w:szCs w:val="20"/>
          <w:color w:val="auto"/>
        </w:rPr>
      </w:pPr>
    </w:p>
    <w:p>
      <w:pPr>
        <w:ind w:right="160" w:firstLine="440"/>
        <w:spacing w:after="0" w:line="255" w:lineRule="auto"/>
        <w:rPr>
          <w:sz w:val="20"/>
          <w:szCs w:val="20"/>
          <w:color w:val="auto"/>
        </w:rPr>
      </w:pPr>
      <w:r>
        <w:rPr>
          <w:rFonts w:ascii="Times New Roman" w:cs="Times New Roman" w:eastAsia="Times New Roman" w:hAnsi="Times New Roman"/>
          <w:sz w:val="18"/>
          <w:szCs w:val="18"/>
          <w:color w:val="auto"/>
        </w:rPr>
        <w:t>Ms. Simeone, age 55, currently serves as Etsy’s Chief Legal Officer and Corporate Secretary. Prior to becoming Etsy’s Chief Legal Officer and Corporate Secretary, Ms. Simeone served as Etsy’s General Counsel and Corporate Secretary. Ms. Simeone served as Etsy’s General Counsel from January 2017 to August 2020. From January 2016 to January 2017, Ms. Simeone was the Vice President, Senior Counsel, and Assistant Secretary at American Express Global Business Travel. From July 2013 to January 2016, Ms. Simeone was the General Counsel of KCAP Financial, Inc. an investment company. From 2001 to 2011, Ms. Simeon was the General Counsel of CMEX S.A.B. de C.V., a Mexican multinational building materials company. Ms. Simeone received an undergraduate degree in American History and Literature from Harvard University and a Juris Doctorate from University of California, Hastings.</w:t>
      </w:r>
    </w:p>
    <w:p>
      <w:pPr>
        <w:spacing w:after="0" w:line="189"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Each of the New Directors will receive the standard non-employee director compensation for serving on the Board and, if applicable, committees of the Board. The specific terms of such compensation were described in the Company’s registration statement on Form S-1 (File No. 333-261034) and will be described in the proxy statement for the Company’s 2022 Annual Meeting of Stockholders that the Company will file with the Securities and Exchange Commission.</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appointment of the New Directors as members of the Board, the Company entered into an Indemnification Agreement with each New Director pursuant to which the Company agreed to indemnify such New Director to the fullest extent permitted under Delaware law against liability that may arise by reason of her service to the Company and to advance her expenses incurred as a result of any proceeding against her to which she could be indemnified.</w:t>
      </w:r>
    </w:p>
    <w:p>
      <w:pPr>
        <w:spacing w:after="0" w:line="180"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is qualified in its entirety by reference to the full text of such Indemnification Agreement, the form of which is filed as Exhibit 10.7 to the Company’s Current Report on Form 8-K filed on October 21, 2021 and incorporated in this Item 5.02 by reference.</w:t>
      </w:r>
    </w:p>
    <w:p>
      <w:pPr>
        <w:sectPr>
          <w:pgSz w:w="11900" w:h="16838" w:orient="portrait"/>
          <w:cols w:equalWidth="0" w:num="1">
            <w:col w:w="10960"/>
          </w:cols>
          <w:pgMar w:left="440" w:top="266" w:right="499"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22, 2022</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Marc D’Annunzio</w:t>
      </w:r>
    </w:p>
    <w:p>
      <w:pPr>
        <w:spacing w:after="0" w:line="27"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General Counsel and Secretary</w:t>
      </w:r>
    </w:p>
    <w:sectPr>
      <w:pgSz w:w="11900" w:h="16838" w:orient="portrait"/>
      <w:cols w:equalWidth="0" w:num="1">
        <w:col w:w="10700"/>
      </w:cols>
      <w:pgMar w:left="440" w:top="266"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2022-04-22T07:38:39Z</dcterms:created>
  <dcterms:modified xsi:type="dcterms:W3CDTF">2022-04-22T07:38:39Z</dcterms:modified>
</cp:coreProperties>
</file>