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1,319,162.00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1,319,162.00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1,319,162.00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15,119,894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comprised of (i) 14,373,519 Shares outstanding as of July 30, 2025 (according to the issuer's prospectus as filed with the Securities and Exchange Commission on July 30, 2025), and (ii) 746,375 Shares issuable upon conversion of certain warrants held by affiliates of the reporting persons. Except as described in the preceding sentence, all Shares for the holdings of the reporting persons reported in this Schedule 13G are as of the opening of the market on August 6,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1,319,162.00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1,319,162.00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11" w:right="379" w:bottom="0" w:gutter="0" w:footer="0" w:header="0"/>
          <w:type w:val="continuous"/>
        </w:sectPr>
      </w:pPr>
    </w:p>
    <w:bookmarkStart w:id="2" w:name="page3"/>
    <w:bookmarkEnd w:id="2"/>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1,319,162.00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1,319,162.00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1,319,162.00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1,319,162.00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ectPr>
          <w:pgSz w:w="11900" w:h="16889"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89"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198.00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198.00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5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112" w:right="1440" w:bottom="154" w:gutter="0" w:footer="0" w:header="0"/>
          <w:type w:val="continuous"/>
        </w:sectPr>
      </w:pPr>
    </w:p>
    <w:bookmarkStart w:id="5" w:name="page6"/>
    <w:bookmarkEnd w:id="5"/>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6" w:orient="portrait"/>
          <w:cols w:equalWidth="0" w:num="1">
            <w:col w:w="10980"/>
          </w:cols>
          <w:pgMar w:left="360" w:top="110" w:right="5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1,319,360.00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1,319,360.00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1,319,360.00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6" w:orient="portrait"/>
          <w:cols w:equalWidth="0" w:num="2">
            <w:col w:w="1060" w:space="60"/>
            <w:col w:w="9860"/>
          </w:cols>
          <w:pgMar w:left="360" w:top="110"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10000 Avalon Boulevard, Suite 1000 Alpharetta, GA, 30009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 Citadel Advisors is the portfolio manager for CM. CAH is the sole member of Citadel Advisors. CGP is the general</w:t>
      </w:r>
    </w:p>
    <w:p>
      <w:pPr>
        <w:sectPr>
          <w:pgSz w:w="11900" w:h="16896" w:orient="portrait"/>
          <w:cols w:equalWidth="0" w:num="1">
            <w:col w:w="10980"/>
          </w:cols>
          <w:pgMar w:left="360" w:top="110" w:right="559" w:bottom="0" w:gutter="0" w:footer="0" w:header="0"/>
          <w:type w:val="continuous"/>
        </w:sectPr>
      </w:pPr>
    </w:p>
    <w:bookmarkStart w:id="6" w:name="page7"/>
    <w:bookmarkEnd w:id="6"/>
    <w:p>
      <w:pPr>
        <w:jc w:val="both"/>
        <w:ind w:left="920" w:right="120"/>
        <w:spacing w:after="0" w:line="255" w:lineRule="auto"/>
        <w:rPr>
          <w:sz w:val="20"/>
          <w:szCs w:val="20"/>
          <w:color w:val="auto"/>
        </w:rPr>
      </w:pPr>
      <w:r>
        <w:rPr>
          <w:rFonts w:ascii="Times New Roman" w:cs="Times New Roman" w:eastAsia="Times New Roman" w:hAnsi="Times New Roman"/>
          <w:sz w:val="21"/>
          <w:szCs w:val="21"/>
          <w:color w:val="auto"/>
        </w:rPr>
        <w:t>partner of CAH. CALC4 is the non-member manager of Citadel Securities.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2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1,319,162 Shares. 2. Citadel Securities LLC may be deemed to beneficially own 198 Shares. 3. Each of Citadel Securities Group LP and Citadel Securities GP LLC may be deemed to beneficially own 198 Shares. 4. Mr. Griffin may be deemed to beneficially own 1,319,360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0" w:right="18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8.7% of the Shares outstanding. 2. The number of Shares that Citadel Securities LLC may be deemed to beneficially own constitutes 0.0% of the Shares outstanding. 3. The number of Shares that each of Citadel Securities Group LP and Citadel Securities GP LLC may be deemed to beneficially own constitutes 0.0% of the Shares outstanding. 4. The number of Shares that Mr. Griffin may be deemed to beneficially own constitutes 8.7%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firstLine="6"/>
        <w:spacing w:after="0" w:line="282" w:lineRule="auto"/>
        <w:tabs>
          <w:tab w:leader="none" w:pos="113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1,319,162 2. Citadel Securities LLC: 198 3. Each of Citadel Securities Group LP and Citadel Securities GP LLC: 198 4. Mr. Griffin: 1,319,360</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20"/>
          </w:cols>
          <w:pgMar w:left="360" w:top="111" w:right="41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20" w:hanging="214"/>
        <w:spacing w:after="0"/>
        <w:tabs>
          <w:tab w:leader="none" w:pos="2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6"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0" w:firstLine="6"/>
        <w:spacing w:after="0" w:line="282" w:lineRule="auto"/>
        <w:tabs>
          <w:tab w:leader="none" w:pos="21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1,319,162 2. Citadel Securities LLC: 198 3. Each of Citadel Securities Group LP and Citadel Securities GP LLC: 198 4. Mr. Griffin: 1,319,360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ectPr>
          <w:pgSz w:w="11900" w:h="16860" w:orient="portrait"/>
          <w:cols w:equalWidth="0" w:num="1">
            <w:col w:w="11140"/>
          </w:cols>
          <w:pgMar w:left="360" w:top="111" w:right="399" w:bottom="0" w:gutter="0" w:footer="0" w:header="0"/>
          <w:type w:val="continuous"/>
        </w:sectPr>
      </w:pPr>
    </w:p>
    <w:bookmarkStart w:id="8" w:name="page9"/>
    <w:bookmarkEnd w:id="8"/>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020"/>
          </w:cols>
          <w:pgMar w:left="320" w:top="234"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August 6, 2025.</w:t>
            </w: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0" w:type="dxa"/>
            <w:vAlign w:val="bottom"/>
          </w:tcPr>
          <w:p>
            <w:pPr>
              <w:spacing w:after="0"/>
              <w:rPr>
                <w:sz w:val="1"/>
                <w:szCs w:val="1"/>
                <w:color w:val="auto"/>
              </w:rPr>
            </w:pPr>
          </w:p>
        </w:tc>
      </w:tr>
      <w:tr>
        <w:trPr>
          <w:trHeight w:val="45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600" w:type="dxa"/>
            <w:vAlign w:val="bottom"/>
          </w:tcPr>
          <w:p>
            <w:pPr>
              <w:spacing w:after="0"/>
              <w:rPr>
                <w:sz w:val="19"/>
                <w:szCs w:val="19"/>
                <w:color w:val="auto"/>
              </w:rPr>
            </w:pPr>
          </w:p>
        </w:tc>
        <w:tc>
          <w:tcPr>
            <w:tcW w:w="5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45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0" w:type="dxa"/>
            <w:vAlign w:val="bottom"/>
          </w:tcPr>
          <w:p>
            <w:pPr>
              <w:spacing w:after="0"/>
              <w:rPr>
                <w:sz w:val="1"/>
                <w:szCs w:val="1"/>
                <w:color w:val="auto"/>
              </w:rPr>
            </w:pPr>
          </w:p>
        </w:tc>
      </w:tr>
      <w:tr>
        <w:trPr>
          <w:trHeight w:val="45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600" w:type="dxa"/>
            <w:vAlign w:val="bottom"/>
          </w:tcPr>
          <w:p>
            <w:pPr>
              <w:spacing w:after="0"/>
              <w:rPr>
                <w:sz w:val="19"/>
                <w:szCs w:val="19"/>
                <w:color w:val="auto"/>
              </w:rPr>
            </w:pPr>
          </w:p>
        </w:tc>
        <w:tc>
          <w:tcPr>
            <w:tcW w:w="5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45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0" w:type="dxa"/>
            <w:vAlign w:val="bottom"/>
          </w:tcPr>
          <w:p>
            <w:pPr>
              <w:spacing w:after="0"/>
              <w:rPr>
                <w:sz w:val="1"/>
                <w:szCs w:val="1"/>
                <w:color w:val="auto"/>
              </w:rPr>
            </w:pPr>
          </w:p>
        </w:tc>
      </w:tr>
      <w:tr>
        <w:trPr>
          <w:trHeight w:val="45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600" w:type="dxa"/>
            <w:vAlign w:val="bottom"/>
          </w:tcPr>
          <w:p>
            <w:pPr>
              <w:spacing w:after="0"/>
              <w:rPr>
                <w:sz w:val="19"/>
                <w:szCs w:val="19"/>
                <w:color w:val="auto"/>
              </w:rPr>
            </w:pPr>
          </w:p>
        </w:tc>
        <w:tc>
          <w:tcPr>
            <w:tcW w:w="5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454"/>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7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Seth Levy, attorney-in-fact</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3100" w:type="dxa"/>
            <w:vAlign w:val="bottom"/>
            <w:tcBorders>
              <w:top w:val="single" w:sz="8" w:color="auto"/>
              <w:bottom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5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40" w:hanging="332"/>
        <w:spacing w:after="0" w:line="210" w:lineRule="auto"/>
        <w:tabs>
          <w:tab w:leader="none" w:pos="340" w:val="left"/>
        </w:tabs>
        <w:numPr>
          <w:ilvl w:val="0"/>
          <w:numId w:val="20"/>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9"/>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1"/>
    </w:lvl>
  </w:abstractNum>
  <w:abstractNum w:abstractNumId="13">
    <w:nsid w:val="25E45D32"/>
    <w:multiLevelType w:val="hybridMultilevel"/>
    <w:lvl w:ilvl="0">
      <w:lvlJc w:val="left"/>
      <w:lvlText w:val="(%1)"/>
      <w:numFmt w:val="lowerLetter"/>
      <w:start w:val="1"/>
    </w:lvl>
    <w:lvl w:ilvl="1">
      <w:lvlJc w:val="left"/>
      <w:lvlText w:val="%2."/>
      <w:numFmt w:val="decimal"/>
      <w:start w:val="1"/>
    </w:lvl>
  </w:abstractNum>
  <w:abstractNum w:abstractNumId="14">
    <w:nsid w:val="519B500D"/>
    <w:multiLevelType w:val="hybridMultilevel"/>
    <w:lvl w:ilvl="0">
      <w:lvlJc w:val="left"/>
      <w:lvlText w:val="%1"/>
      <w:numFmt w:val="lowerLetter"/>
      <w:start w:val="1"/>
    </w:lvl>
    <w:lvl w:ilvl="1">
      <w:lvlJc w:val="left"/>
      <w:lvlText w:val="%2."/>
      <w:numFmt w:val="decimal"/>
      <w:start w:val="3"/>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2025-08-06T17:54:55Z</dcterms:created>
  <dcterms:modified xsi:type="dcterms:W3CDTF">2025-08-06T17:54:55Z</dcterms:modified>
</cp:coreProperties>
</file>