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August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14, 2024, Bakkt Holdings, Inc. (the “Company”) issued a press release regarding the Company’s results for the quarter ended June 30, 2024. A copy of the press release is attached hereto as Exhibit 99.1 and incorporated herein by reference.</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1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2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00" w:type="dxa"/>
            <w:vAlign w:val="bottom"/>
            <w:tcBorders>
              <w:bottom w:val="single" w:sz="8" w:color="auto"/>
            </w:tcBorders>
            <w:gridSpan w:val="2"/>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183"/>
        </w:trPr>
        <w:tc>
          <w:tcPr>
            <w:tcW w:w="2220" w:type="dxa"/>
            <w:vAlign w:val="bottom"/>
            <w:gridSpan w:val="2"/>
          </w:tcPr>
          <w:p>
            <w:pPr>
              <w:jc w:val="right"/>
              <w:ind w:right="77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90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issued by Bakkt Holdings, Inc. on August 14, 2024</w:t>
            </w:r>
          </w:p>
        </w:tc>
        <w:tc>
          <w:tcPr>
            <w:tcW w:w="20" w:type="dxa"/>
            <w:vAlign w:val="bottom"/>
          </w:tcPr>
          <w:p>
            <w:pPr>
              <w:spacing w:after="0"/>
              <w:rPr>
                <w:sz w:val="15"/>
                <w:szCs w:val="15"/>
                <w:color w:val="auto"/>
              </w:rPr>
            </w:pPr>
          </w:p>
        </w:tc>
      </w:tr>
      <w:tr>
        <w:trPr>
          <w:trHeight w:val="20"/>
        </w:trPr>
        <w:tc>
          <w:tcPr>
            <w:tcW w:w="2220" w:type="dxa"/>
            <w:vAlign w:val="bottom"/>
            <w:gridSpan w:val="2"/>
          </w:tcPr>
          <w:p>
            <w:pPr>
              <w:spacing w:after="0" w:line="20" w:lineRule="exact"/>
              <w:rPr>
                <w:sz w:val="1"/>
                <w:szCs w:val="1"/>
                <w:color w:val="auto"/>
              </w:rPr>
            </w:pPr>
          </w:p>
        </w:tc>
        <w:tc>
          <w:tcPr>
            <w:tcW w:w="4660" w:type="dxa"/>
            <w:vAlign w:val="bottom"/>
            <w:shd w:val="clear" w:color="auto" w:fill="0000FF"/>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r>
      <w:tr>
        <w:trPr>
          <w:trHeight w:val="277"/>
        </w:trPr>
        <w:tc>
          <w:tcPr>
            <w:tcW w:w="2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104</w:t>
            </w: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92"/>
        </w:trPr>
        <w:tc>
          <w:tcPr>
            <w:tcW w:w="1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p>
      <w:pPr>
        <w:ind w:left="580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D’Annunzio</w:t>
      </w:r>
    </w:p>
    <w:p>
      <w:pPr>
        <w:spacing w:after="0" w:line="27"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 and Secretary</w:t>
      </w:r>
    </w:p>
    <w:p>
      <w:pPr>
        <w:sectPr>
          <w:pgSz w:w="11900" w:h="16838" w:orient="portrait"/>
          <w:cols w:equalWidth="0" w:num="1">
            <w:col w:w="11240"/>
          </w:cols>
          <w:pgMar w:left="320" w:top="140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3216910</wp:posOffset>
            </wp:positionH>
            <wp:positionV relativeFrom="page">
              <wp:posOffset>697865</wp:posOffset>
            </wp:positionV>
            <wp:extent cx="112331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23315" cy="411480"/>
                    </a:xfrm>
                    <a:prstGeom prst="rect">
                      <a:avLst/>
                    </a:prstGeom>
                    <a:noFill/>
                  </pic:spPr>
                </pic:pic>
              </a:graphicData>
            </a:graphic>
          </wp:anchor>
        </w:drawing>
      </w:r>
    </w:p>
    <w:p>
      <w:pPr>
        <w:spacing w:after="0" w:line="389"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Bakkt Reports Second Quarter 2024 Results</w:t>
      </w:r>
    </w:p>
    <w:p>
      <w:pPr>
        <w:spacing w:after="0" w:line="247" w:lineRule="exact"/>
        <w:rPr>
          <w:sz w:val="20"/>
          <w:szCs w:val="20"/>
          <w:color w:val="auto"/>
        </w:rPr>
      </w:pPr>
    </w:p>
    <w:p>
      <w:pPr>
        <w:ind w:left="2100"/>
        <w:spacing w:after="0"/>
        <w:rPr>
          <w:sz w:val="20"/>
          <w:szCs w:val="20"/>
          <w:color w:val="auto"/>
        </w:rPr>
      </w:pPr>
      <w:r>
        <w:rPr>
          <w:rFonts w:ascii="Calibri" w:cs="Calibri" w:eastAsia="Calibri" w:hAnsi="Calibri"/>
          <w:sz w:val="20"/>
          <w:szCs w:val="20"/>
          <w:i w:val="1"/>
          <w:iCs w:val="1"/>
          <w:color w:val="auto"/>
        </w:rPr>
        <w:t>$509.9 million total revenues including gross crypto revenues and net loyalty revenues</w:t>
      </w:r>
    </w:p>
    <w:p>
      <w:pPr>
        <w:ind w:left="280"/>
        <w:spacing w:after="0" w:line="238" w:lineRule="auto"/>
        <w:rPr>
          <w:sz w:val="20"/>
          <w:szCs w:val="20"/>
          <w:color w:val="auto"/>
        </w:rPr>
      </w:pPr>
      <w:r>
        <w:rPr>
          <w:rFonts w:ascii="Calibri" w:cs="Calibri" w:eastAsia="Calibri" w:hAnsi="Calibri"/>
          <w:sz w:val="20"/>
          <w:szCs w:val="20"/>
          <w:i w:val="1"/>
          <w:iCs w:val="1"/>
          <w:color w:val="auto"/>
        </w:rPr>
        <w:t>$36.8 million operatng expenses excluding crypto costs, executon, clearing and brokerage fees, down 43.1% year-over-year, 24.6%</w:t>
      </w:r>
    </w:p>
    <w:p>
      <w:pPr>
        <w:jc w:val="center"/>
        <w:ind w:right="-19"/>
        <w:spacing w:after="0" w:line="226" w:lineRule="auto"/>
        <w:rPr>
          <w:sz w:val="20"/>
          <w:szCs w:val="20"/>
          <w:color w:val="auto"/>
        </w:rPr>
      </w:pPr>
      <w:r>
        <w:rPr>
          <w:rFonts w:ascii="Calibri" w:cs="Calibri" w:eastAsia="Calibri" w:hAnsi="Calibri"/>
          <w:sz w:val="20"/>
          <w:szCs w:val="20"/>
          <w:i w:val="1"/>
          <w:iCs w:val="1"/>
          <w:color w:val="auto"/>
        </w:rPr>
        <w:t>sequentally</w:t>
      </w:r>
    </w:p>
    <w:p>
      <w:pPr>
        <w:spacing w:after="0" w:line="252" w:lineRule="exact"/>
        <w:rPr>
          <w:sz w:val="20"/>
          <w:szCs w:val="20"/>
          <w:color w:val="auto"/>
        </w:rPr>
      </w:pPr>
    </w:p>
    <w:p>
      <w:pPr>
        <w:ind w:right="680"/>
        <w:spacing w:after="0" w:line="228" w:lineRule="auto"/>
        <w:rPr>
          <w:sz w:val="20"/>
          <w:szCs w:val="20"/>
          <w:color w:val="auto"/>
        </w:rPr>
      </w:pPr>
      <w:r>
        <w:rPr>
          <w:rFonts w:ascii="Calibri" w:cs="Calibri" w:eastAsia="Calibri" w:hAnsi="Calibri"/>
          <w:sz w:val="20"/>
          <w:szCs w:val="20"/>
          <w:b w:val="1"/>
          <w:bCs w:val="1"/>
          <w:color w:val="auto"/>
        </w:rPr>
        <w:t xml:space="preserve">ALPHARETTA, GA – August 14, 2024 </w:t>
      </w:r>
      <w:r>
        <w:rPr>
          <w:rFonts w:ascii="Calibri" w:cs="Calibri" w:eastAsia="Calibri" w:hAnsi="Calibri"/>
          <w:sz w:val="20"/>
          <w:szCs w:val="20"/>
          <w:color w:val="auto"/>
        </w:rPr>
        <w:t>– Bakkt Holdings, Inc. (“Bakkt” or the “Company”) (NYSE: BKKT) announced its fnancial and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operatonal results for the quarter ended June 30, 2024.</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CEO Comments:</w:t>
      </w:r>
    </w:p>
    <w:p>
      <w:pPr>
        <w:ind w:right="120"/>
        <w:spacing w:after="0" w:line="232" w:lineRule="auto"/>
        <w:rPr>
          <w:sz w:val="20"/>
          <w:szCs w:val="20"/>
          <w:color w:val="auto"/>
        </w:rPr>
      </w:pPr>
      <w:r>
        <w:rPr>
          <w:rFonts w:ascii="Calibri" w:cs="Calibri" w:eastAsia="Calibri" w:hAnsi="Calibri"/>
          <w:sz w:val="20"/>
          <w:szCs w:val="20"/>
          <w:color w:val="auto"/>
        </w:rPr>
        <w:t>“We contnue to make solid progress against our three key strategic priorites,” commented Andy Main, President and CEO of Bakkt. “Since last quarter, we have made signifcant strides in partnerships across traditonal and digital assets to enable Bakkt’s solutons, which ofer deep liquidity and strong analytcs, risk management, pricing, and trade matching engines. Recently, we signed a leter of intent to work with Hidden Road to provide risk management and back-ofce functonality, which we believe will enhance our ability to manage and minimize counterparty and credit risk for insttutonal clients using BakktX. We expect this strategic partnership to strengthen our compettve advantage, positoning us to beter serve our client base and drive future growth.”</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Key Performance Indicators:</w:t>
      </w:r>
    </w:p>
    <w:p>
      <w:pPr>
        <w:spacing w:after="0" w:line="12"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Crypto enabled accounts grew to 6.4 million, up 6.7% YoY.</w:t>
      </w:r>
    </w:p>
    <w:p>
      <w:pPr>
        <w:spacing w:after="0" w:line="11" w:lineRule="exact"/>
        <w:rPr>
          <w:rFonts w:ascii="Times New Roman" w:cs="Times New Roman" w:eastAsia="Times New Roman" w:hAnsi="Times New Roman"/>
          <w:sz w:val="20"/>
          <w:szCs w:val="20"/>
          <w:color w:val="auto"/>
        </w:rPr>
      </w:pPr>
    </w:p>
    <w:p>
      <w:pPr>
        <w:ind w:left="660" w:right="360" w:hanging="328"/>
        <w:spacing w:after="0" w:line="232" w:lineRule="auto"/>
        <w:tabs>
          <w:tab w:leader="none" w:pos="648"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Transactng accounts decreased 39.1% year-over-year to approximately 719,281, primarily due to a large customer’s reduced actvity in internatonal markets.</w:t>
      </w:r>
    </w:p>
    <w:p>
      <w:pPr>
        <w:spacing w:after="0" w:line="2"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Notonal traded volume increased 26.6% year-over-year to $672 million, primarily due to higher trading prices for crypto assets.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Assets under custody increased 47.7% year-over-year to $975 million, primarily due to higher trading prices for crypto assets.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Second Quarter 2024 Financial Highlights (unaudited):</w:t>
      </w:r>
    </w:p>
    <w:p>
      <w:pPr>
        <w:spacing w:after="0" w:line="9" w:lineRule="exact"/>
        <w:rPr>
          <w:sz w:val="20"/>
          <w:szCs w:val="20"/>
          <w:color w:val="auto"/>
        </w:rPr>
      </w:pPr>
    </w:p>
    <w:p>
      <w:pPr>
        <w:ind w:left="660" w:right="760" w:hanging="328"/>
        <w:spacing w:after="0" w:line="234"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Total revenues of $509.9 million refect an increase in gross crypto services revenues driven by Bakkt Crypto. Net loyalty revenues of $12.8 million increased 4% year-over-year driven by higher subscripton and services revenue.</w:t>
      </w:r>
    </w:p>
    <w:p>
      <w:pPr>
        <w:spacing w:after="0" w:line="9" w:lineRule="exact"/>
        <w:rPr>
          <w:rFonts w:ascii="Times New Roman" w:cs="Times New Roman" w:eastAsia="Times New Roman" w:hAnsi="Times New Roman"/>
          <w:sz w:val="20"/>
          <w:szCs w:val="20"/>
          <w:color w:val="auto"/>
        </w:rPr>
      </w:pPr>
    </w:p>
    <w:p>
      <w:pPr>
        <w:ind w:left="660" w:hanging="328"/>
        <w:spacing w:after="0" w:line="234"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Total operatng expenses of $531.9 million refect a signifcant increase in crypto costs and executon, clearing and brokerage fees driven by Bakkt Crypto.</w:t>
      </w:r>
    </w:p>
    <w:p>
      <w:pPr>
        <w:spacing w:after="0" w:line="23" w:lineRule="exact"/>
        <w:rPr>
          <w:rFonts w:ascii="Times New Roman" w:cs="Times New Roman" w:eastAsia="Times New Roman" w:hAnsi="Times New Roman"/>
          <w:sz w:val="20"/>
          <w:szCs w:val="20"/>
          <w:color w:val="auto"/>
        </w:rPr>
      </w:pPr>
    </w:p>
    <w:p>
      <w:pPr>
        <w:ind w:left="660" w:right="20" w:hanging="328"/>
        <w:spacing w:after="0" w:line="228"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Total operatng expenses excluding crypto costs and executon, clearing and brokerage fees decreased 43.1% YoY to $36.8 million driven by cost restructuring and reducton in headcount in the frst quarter of 2024.</w:t>
      </w:r>
    </w:p>
    <w:p>
      <w:pPr>
        <w:spacing w:after="0" w:line="22" w:lineRule="exact"/>
        <w:rPr>
          <w:rFonts w:ascii="Times New Roman" w:cs="Times New Roman" w:eastAsia="Times New Roman" w:hAnsi="Times New Roman"/>
          <w:sz w:val="20"/>
          <w:szCs w:val="20"/>
          <w:color w:val="auto"/>
        </w:rPr>
      </w:pPr>
    </w:p>
    <w:p>
      <w:pPr>
        <w:ind w:left="660" w:right="620" w:hanging="328"/>
        <w:spacing w:after="0" w:line="228"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Operatng loss of $22.0 million improved 56.9% year-over-year primarily due to higher crypto services revenue, and lower compensaton, SG&amp;A and acquisiton related costs.</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Net loss improved 29.7% year-over-year to $35.5 million.</w:t>
      </w:r>
    </w:p>
    <w:p>
      <w:pPr>
        <w:spacing w:after="0" w:line="22" w:lineRule="exact"/>
        <w:rPr>
          <w:rFonts w:ascii="Times New Roman" w:cs="Times New Roman" w:eastAsia="Times New Roman" w:hAnsi="Times New Roman"/>
          <w:sz w:val="20"/>
          <w:szCs w:val="20"/>
          <w:color w:val="auto"/>
        </w:rPr>
      </w:pPr>
    </w:p>
    <w:p>
      <w:pPr>
        <w:ind w:left="660" w:right="80" w:hanging="328"/>
        <w:spacing w:after="0" w:line="228"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Adjusted EBITDA loss (non-GAAP) improved 26.9% year-over-year to $17.9 million, primarily due to a reducton in compensaton and benefts and selling, general and administratve costs.</w:t>
      </w:r>
    </w:p>
    <w:p>
      <w:pPr>
        <w:sectPr>
          <w:pgSz w:w="11900" w:h="16838" w:orient="portrait"/>
          <w:cols w:equalWidth="0" w:num="1">
            <w:col w:w="11220"/>
          </w:cols>
          <w:pgMar w:left="320" w:top="1440" w:right="359" w:bottom="1440" w:gutter="0" w:footer="0" w:header="0"/>
        </w:sectPr>
      </w:pPr>
    </w:p>
    <w:bookmarkStart w:id="4" w:name="page5"/>
    <w:bookmarkEnd w:id="4"/>
    <w:tbl>
      <w:tblPr>
        <w:tblLayout w:type="fixed"/>
        <w:tblInd w:w="160" w:type="dxa"/>
        <w:tblCellMar>
          <w:top w:w="0" w:type="dxa"/>
          <w:left w:w="0" w:type="dxa"/>
          <w:bottom w:w="0" w:type="dxa"/>
          <w:right w:w="0" w:type="dxa"/>
        </w:tblCellMar>
      </w:tblPr>
      <w:tr>
        <w:trPr>
          <w:trHeight w:val="234"/>
        </w:trPr>
        <w:tc>
          <w:tcPr>
            <w:tcW w:w="6160" w:type="dxa"/>
            <w:vAlign w:val="bottom"/>
            <w:vMerge w:val="restart"/>
            <w:shd w:val="clear" w:color="auto" w:fill="000000"/>
          </w:tcPr>
          <w:p>
            <w:pPr>
              <w:ind w:left="100"/>
              <w:spacing w:after="0"/>
              <w:rPr>
                <w:sz w:val="20"/>
                <w:szCs w:val="20"/>
                <w:color w:val="auto"/>
              </w:rPr>
            </w:pPr>
            <w:r>
              <w:rPr>
                <w:rFonts w:ascii="Calibri" w:cs="Calibri" w:eastAsia="Calibri" w:hAnsi="Calibri"/>
                <w:sz w:val="18"/>
                <w:szCs w:val="18"/>
                <w:b w:val="1"/>
                <w:bCs w:val="1"/>
                <w:color w:val="FFFFFF"/>
              </w:rPr>
              <w:t>$ in millions</w:t>
            </w:r>
          </w:p>
        </w:tc>
        <w:tc>
          <w:tcPr>
            <w:tcW w:w="1360" w:type="dxa"/>
            <w:vAlign w:val="bottom"/>
            <w:vMerge w:val="restart"/>
            <w:shd w:val="clear" w:color="auto" w:fill="000000"/>
          </w:tcPr>
          <w:p>
            <w:pPr>
              <w:ind w:left="540"/>
              <w:spacing w:after="0"/>
              <w:rPr>
                <w:sz w:val="20"/>
                <w:szCs w:val="20"/>
                <w:color w:val="auto"/>
              </w:rPr>
            </w:pPr>
            <w:r>
              <w:rPr>
                <w:rFonts w:ascii="Calibri" w:cs="Calibri" w:eastAsia="Calibri" w:hAnsi="Calibri"/>
                <w:sz w:val="18"/>
                <w:szCs w:val="18"/>
                <w:b w:val="1"/>
                <w:bCs w:val="1"/>
                <w:color w:val="FFFFFF"/>
              </w:rPr>
              <w:t>2Q24</w:t>
            </w:r>
          </w:p>
        </w:tc>
        <w:tc>
          <w:tcPr>
            <w:tcW w:w="1400" w:type="dxa"/>
            <w:vAlign w:val="bottom"/>
            <w:vMerge w:val="restart"/>
            <w:shd w:val="clear" w:color="auto" w:fill="000000"/>
          </w:tcPr>
          <w:p>
            <w:pPr>
              <w:ind w:left="580"/>
              <w:spacing w:after="0"/>
              <w:rPr>
                <w:sz w:val="20"/>
                <w:szCs w:val="20"/>
                <w:color w:val="auto"/>
              </w:rPr>
            </w:pPr>
            <w:r>
              <w:rPr>
                <w:rFonts w:ascii="Calibri" w:cs="Calibri" w:eastAsia="Calibri" w:hAnsi="Calibri"/>
                <w:sz w:val="18"/>
                <w:szCs w:val="18"/>
                <w:b w:val="1"/>
                <w:bCs w:val="1"/>
                <w:color w:val="FFFFFF"/>
              </w:rPr>
              <w:t>2Q23</w:t>
            </w:r>
          </w:p>
        </w:tc>
        <w:tc>
          <w:tcPr>
            <w:tcW w:w="1500" w:type="dxa"/>
            <w:vAlign w:val="bottom"/>
            <w:gridSpan w:val="2"/>
            <w:shd w:val="clear" w:color="auto" w:fill="000000"/>
          </w:tcPr>
          <w:p>
            <w:pPr>
              <w:jc w:val="center"/>
              <w:spacing w:after="0"/>
              <w:rPr>
                <w:sz w:val="20"/>
                <w:szCs w:val="20"/>
                <w:color w:val="auto"/>
              </w:rPr>
            </w:pPr>
            <w:r>
              <w:rPr>
                <w:rFonts w:ascii="Calibri" w:cs="Calibri" w:eastAsia="Calibri" w:hAnsi="Calibri"/>
                <w:sz w:val="18"/>
                <w:szCs w:val="18"/>
                <w:b w:val="1"/>
                <w:bCs w:val="1"/>
                <w:color w:val="FFFFFF"/>
                <w:w w:val="99"/>
              </w:rPr>
              <w:t>Increase/</w:t>
            </w:r>
          </w:p>
        </w:tc>
        <w:tc>
          <w:tcPr>
            <w:tcW w:w="0" w:type="dxa"/>
            <w:vAlign w:val="bottom"/>
          </w:tcPr>
          <w:p>
            <w:pPr>
              <w:spacing w:after="0"/>
              <w:rPr>
                <w:sz w:val="1"/>
                <w:szCs w:val="1"/>
                <w:color w:val="auto"/>
              </w:rPr>
            </w:pPr>
          </w:p>
        </w:tc>
      </w:tr>
      <w:tr>
        <w:trPr>
          <w:trHeight w:val="107"/>
        </w:trPr>
        <w:tc>
          <w:tcPr>
            <w:tcW w:w="6160" w:type="dxa"/>
            <w:vAlign w:val="bottom"/>
            <w:vMerge w:val="continue"/>
            <w:shd w:val="clear" w:color="auto" w:fill="000000"/>
          </w:tcPr>
          <w:p>
            <w:pPr>
              <w:spacing w:after="0"/>
              <w:rPr>
                <w:sz w:val="9"/>
                <w:szCs w:val="9"/>
                <w:color w:val="auto"/>
              </w:rPr>
            </w:pPr>
          </w:p>
        </w:tc>
        <w:tc>
          <w:tcPr>
            <w:tcW w:w="1360" w:type="dxa"/>
            <w:vAlign w:val="bottom"/>
            <w:vMerge w:val="continue"/>
            <w:shd w:val="clear" w:color="auto" w:fill="000000"/>
          </w:tcPr>
          <w:p>
            <w:pPr>
              <w:spacing w:after="0"/>
              <w:rPr>
                <w:sz w:val="9"/>
                <w:szCs w:val="9"/>
                <w:color w:val="auto"/>
              </w:rPr>
            </w:pPr>
          </w:p>
        </w:tc>
        <w:tc>
          <w:tcPr>
            <w:tcW w:w="1400" w:type="dxa"/>
            <w:vAlign w:val="bottom"/>
            <w:vMerge w:val="continue"/>
            <w:shd w:val="clear" w:color="auto" w:fill="000000"/>
          </w:tcPr>
          <w:p>
            <w:pPr>
              <w:spacing w:after="0"/>
              <w:rPr>
                <w:sz w:val="9"/>
                <w:szCs w:val="9"/>
                <w:color w:val="auto"/>
              </w:rPr>
            </w:pPr>
          </w:p>
        </w:tc>
        <w:tc>
          <w:tcPr>
            <w:tcW w:w="1500" w:type="dxa"/>
            <w:vAlign w:val="bottom"/>
            <w:gridSpan w:val="2"/>
            <w:vMerge w:val="restart"/>
            <w:shd w:val="clear" w:color="auto" w:fill="000000"/>
          </w:tcPr>
          <w:p>
            <w:pPr>
              <w:jc w:val="center"/>
              <w:spacing w:after="0" w:line="215" w:lineRule="exact"/>
              <w:rPr>
                <w:sz w:val="20"/>
                <w:szCs w:val="20"/>
                <w:color w:val="auto"/>
              </w:rPr>
            </w:pPr>
            <w:r>
              <w:rPr>
                <w:rFonts w:ascii="Calibri" w:cs="Calibri" w:eastAsia="Calibri" w:hAnsi="Calibri"/>
                <w:sz w:val="18"/>
                <w:szCs w:val="18"/>
                <w:b w:val="1"/>
                <w:bCs w:val="1"/>
                <w:color w:val="FFFFFF"/>
                <w:w w:val="97"/>
              </w:rPr>
              <w:t>(decrease)</w:t>
            </w:r>
          </w:p>
        </w:tc>
        <w:tc>
          <w:tcPr>
            <w:tcW w:w="0" w:type="dxa"/>
            <w:vAlign w:val="bottom"/>
          </w:tcPr>
          <w:p>
            <w:pPr>
              <w:spacing w:after="0"/>
              <w:rPr>
                <w:sz w:val="1"/>
                <w:szCs w:val="1"/>
                <w:color w:val="auto"/>
              </w:rPr>
            </w:pPr>
          </w:p>
        </w:tc>
      </w:tr>
      <w:tr>
        <w:trPr>
          <w:trHeight w:val="138"/>
        </w:trPr>
        <w:tc>
          <w:tcPr>
            <w:tcW w:w="6160" w:type="dxa"/>
            <w:vAlign w:val="bottom"/>
            <w:tcBorders>
              <w:bottom w:val="single" w:sz="8" w:color="auto"/>
            </w:tcBorders>
            <w:shd w:val="clear" w:color="auto" w:fill="000000"/>
          </w:tcPr>
          <w:p>
            <w:pPr>
              <w:spacing w:after="0"/>
              <w:rPr>
                <w:sz w:val="12"/>
                <w:szCs w:val="12"/>
                <w:color w:val="auto"/>
              </w:rPr>
            </w:pPr>
          </w:p>
        </w:tc>
        <w:tc>
          <w:tcPr>
            <w:tcW w:w="1360" w:type="dxa"/>
            <w:vAlign w:val="bottom"/>
            <w:tcBorders>
              <w:bottom w:val="single" w:sz="8" w:color="auto"/>
            </w:tcBorders>
            <w:shd w:val="clear" w:color="auto" w:fill="000000"/>
          </w:tcPr>
          <w:p>
            <w:pPr>
              <w:spacing w:after="0"/>
              <w:rPr>
                <w:sz w:val="12"/>
                <w:szCs w:val="12"/>
                <w:color w:val="auto"/>
              </w:rPr>
            </w:pPr>
          </w:p>
        </w:tc>
        <w:tc>
          <w:tcPr>
            <w:tcW w:w="1400" w:type="dxa"/>
            <w:vAlign w:val="bottom"/>
            <w:tcBorders>
              <w:bottom w:val="single" w:sz="8" w:color="auto"/>
            </w:tcBorders>
            <w:shd w:val="clear" w:color="auto" w:fill="000000"/>
          </w:tcPr>
          <w:p>
            <w:pPr>
              <w:spacing w:after="0"/>
              <w:rPr>
                <w:sz w:val="12"/>
                <w:szCs w:val="12"/>
                <w:color w:val="auto"/>
              </w:rPr>
            </w:pPr>
          </w:p>
        </w:tc>
        <w:tc>
          <w:tcPr>
            <w:tcW w:w="1500" w:type="dxa"/>
            <w:vAlign w:val="bottom"/>
            <w:tcBorders>
              <w:bottom w:val="single" w:sz="8" w:color="auto"/>
            </w:tcBorders>
            <w:gridSpan w:val="2"/>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160" w:type="dxa"/>
            <w:vAlign w:val="bottom"/>
          </w:tcPr>
          <w:p>
            <w:pPr>
              <w:ind w:left="80"/>
              <w:spacing w:after="0"/>
              <w:rPr>
                <w:sz w:val="20"/>
                <w:szCs w:val="20"/>
                <w:color w:val="auto"/>
              </w:rPr>
            </w:pPr>
            <w:r>
              <w:rPr>
                <w:rFonts w:ascii="Calibri" w:cs="Calibri" w:eastAsia="Calibri" w:hAnsi="Calibri"/>
                <w:sz w:val="18"/>
                <w:szCs w:val="18"/>
                <w:color w:val="auto"/>
              </w:rPr>
              <w:t>Total revenues</w:t>
            </w:r>
            <w:r>
              <w:rPr>
                <w:rFonts w:ascii="Calibri" w:cs="Calibri" w:eastAsia="Calibri" w:hAnsi="Calibri"/>
                <w:sz w:val="23"/>
                <w:szCs w:val="23"/>
                <w:color w:val="auto"/>
                <w:vertAlign w:val="superscript"/>
              </w:rPr>
              <w:t>1</w:t>
            </w:r>
          </w:p>
        </w:tc>
        <w:tc>
          <w:tcPr>
            <w:tcW w:w="1360" w:type="dxa"/>
            <w:vAlign w:val="bottom"/>
          </w:tcPr>
          <w:p>
            <w:pPr>
              <w:jc w:val="center"/>
              <w:spacing w:after="0"/>
              <w:rPr>
                <w:sz w:val="20"/>
                <w:szCs w:val="20"/>
                <w:color w:val="auto"/>
              </w:rPr>
            </w:pPr>
            <w:r>
              <w:rPr>
                <w:rFonts w:ascii="Calibri" w:cs="Calibri" w:eastAsia="Calibri" w:hAnsi="Calibri"/>
                <w:sz w:val="18"/>
                <w:szCs w:val="18"/>
                <w:color w:val="auto"/>
                <w:w w:val="95"/>
              </w:rPr>
              <w:t>$509.9</w:t>
            </w:r>
          </w:p>
        </w:tc>
        <w:tc>
          <w:tcPr>
            <w:tcW w:w="1400" w:type="dxa"/>
            <w:vAlign w:val="bottom"/>
          </w:tcPr>
          <w:p>
            <w:pPr>
              <w:jc w:val="center"/>
              <w:spacing w:after="0"/>
              <w:rPr>
                <w:sz w:val="20"/>
                <w:szCs w:val="20"/>
                <w:color w:val="auto"/>
              </w:rPr>
            </w:pPr>
            <w:r>
              <w:rPr>
                <w:rFonts w:ascii="Calibri" w:cs="Calibri" w:eastAsia="Calibri" w:hAnsi="Calibri"/>
                <w:sz w:val="18"/>
                <w:szCs w:val="18"/>
                <w:color w:val="auto"/>
                <w:w w:val="99"/>
              </w:rPr>
              <w:t>$347.6</w:t>
            </w:r>
          </w:p>
        </w:tc>
        <w:tc>
          <w:tcPr>
            <w:tcW w:w="1400" w:type="dxa"/>
            <w:vAlign w:val="bottom"/>
          </w:tcPr>
          <w:p>
            <w:pPr>
              <w:jc w:val="right"/>
              <w:ind w:right="390"/>
              <w:spacing w:after="0"/>
              <w:rPr>
                <w:sz w:val="20"/>
                <w:szCs w:val="20"/>
                <w:color w:val="auto"/>
              </w:rPr>
            </w:pPr>
            <w:r>
              <w:rPr>
                <w:rFonts w:ascii="Calibri" w:cs="Calibri" w:eastAsia="Calibri" w:hAnsi="Calibri"/>
                <w:sz w:val="18"/>
                <w:szCs w:val="18"/>
                <w:color w:val="auto"/>
              </w:rPr>
              <w:t>46.7%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160" w:type="dxa"/>
            <w:vAlign w:val="bottom"/>
          </w:tcPr>
          <w:p>
            <w:pPr>
              <w:ind w:left="200"/>
              <w:spacing w:after="0"/>
              <w:rPr>
                <w:sz w:val="20"/>
                <w:szCs w:val="20"/>
                <w:color w:val="auto"/>
              </w:rPr>
            </w:pPr>
            <w:r>
              <w:rPr>
                <w:rFonts w:ascii="Calibri" w:cs="Calibri" w:eastAsia="Calibri" w:hAnsi="Calibri"/>
                <w:sz w:val="18"/>
                <w:szCs w:val="18"/>
                <w:color w:val="auto"/>
              </w:rPr>
              <w:t>Crypto costs and executon, clearing and brokerage fees</w:t>
            </w:r>
          </w:p>
        </w:tc>
        <w:tc>
          <w:tcPr>
            <w:tcW w:w="1360" w:type="dxa"/>
            <w:vAlign w:val="bottom"/>
          </w:tcPr>
          <w:p>
            <w:pPr>
              <w:jc w:val="center"/>
              <w:spacing w:after="0"/>
              <w:rPr>
                <w:sz w:val="20"/>
                <w:szCs w:val="20"/>
                <w:color w:val="auto"/>
              </w:rPr>
            </w:pPr>
            <w:r>
              <w:rPr>
                <w:rFonts w:ascii="Calibri" w:cs="Calibri" w:eastAsia="Calibri" w:hAnsi="Calibri"/>
                <w:sz w:val="18"/>
                <w:szCs w:val="18"/>
                <w:color w:val="auto"/>
                <w:w w:val="97"/>
              </w:rPr>
              <w:t>495.1</w:t>
            </w:r>
          </w:p>
        </w:tc>
        <w:tc>
          <w:tcPr>
            <w:tcW w:w="1400" w:type="dxa"/>
            <w:vAlign w:val="bottom"/>
          </w:tcPr>
          <w:p>
            <w:pPr>
              <w:jc w:val="center"/>
              <w:spacing w:after="0"/>
              <w:rPr>
                <w:sz w:val="20"/>
                <w:szCs w:val="20"/>
                <w:color w:val="auto"/>
              </w:rPr>
            </w:pPr>
            <w:r>
              <w:rPr>
                <w:rFonts w:ascii="Calibri" w:cs="Calibri" w:eastAsia="Calibri" w:hAnsi="Calibri"/>
                <w:sz w:val="18"/>
                <w:szCs w:val="18"/>
                <w:color w:val="auto"/>
              </w:rPr>
              <w:t>334.0</w:t>
            </w:r>
          </w:p>
        </w:tc>
        <w:tc>
          <w:tcPr>
            <w:tcW w:w="1400" w:type="dxa"/>
            <w:vAlign w:val="bottom"/>
          </w:tcPr>
          <w:p>
            <w:pPr>
              <w:jc w:val="right"/>
              <w:ind w:right="390"/>
              <w:spacing w:after="0"/>
              <w:rPr>
                <w:sz w:val="20"/>
                <w:szCs w:val="20"/>
                <w:color w:val="auto"/>
              </w:rPr>
            </w:pPr>
            <w:r>
              <w:rPr>
                <w:rFonts w:ascii="Calibri" w:cs="Calibri" w:eastAsia="Calibri" w:hAnsi="Calibri"/>
                <w:sz w:val="18"/>
                <w:szCs w:val="18"/>
                <w:color w:val="auto"/>
              </w:rPr>
              <w:t>48.2%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160" w:type="dxa"/>
            <w:vAlign w:val="bottom"/>
          </w:tcPr>
          <w:p>
            <w:pPr>
              <w:ind w:left="200"/>
              <w:spacing w:after="0"/>
              <w:rPr>
                <w:sz w:val="20"/>
                <w:szCs w:val="20"/>
                <w:color w:val="auto"/>
              </w:rPr>
            </w:pPr>
            <w:r>
              <w:rPr>
                <w:rFonts w:ascii="Calibri" w:cs="Calibri" w:eastAsia="Calibri" w:hAnsi="Calibri"/>
                <w:sz w:val="18"/>
                <w:szCs w:val="18"/>
                <w:color w:val="auto"/>
              </w:rPr>
              <w:t>Operatng expenses, excluding crypto costs and executon, clearing and brokerage</w:t>
            </w:r>
          </w:p>
        </w:tc>
        <w:tc>
          <w:tcPr>
            <w:tcW w:w="1360" w:type="dxa"/>
            <w:vAlign w:val="bottom"/>
            <w:vMerge w:val="restart"/>
          </w:tcPr>
          <w:p>
            <w:pPr>
              <w:jc w:val="center"/>
              <w:spacing w:after="0"/>
              <w:rPr>
                <w:sz w:val="20"/>
                <w:szCs w:val="20"/>
                <w:color w:val="auto"/>
              </w:rPr>
            </w:pPr>
            <w:r>
              <w:rPr>
                <w:rFonts w:ascii="Calibri" w:cs="Calibri" w:eastAsia="Calibri" w:hAnsi="Calibri"/>
                <w:sz w:val="18"/>
                <w:szCs w:val="18"/>
                <w:color w:val="auto"/>
              </w:rPr>
              <w:t>36.8</w:t>
            </w:r>
          </w:p>
        </w:tc>
        <w:tc>
          <w:tcPr>
            <w:tcW w:w="1400" w:type="dxa"/>
            <w:vAlign w:val="bottom"/>
            <w:vMerge w:val="restart"/>
          </w:tcPr>
          <w:p>
            <w:pPr>
              <w:jc w:val="center"/>
              <w:spacing w:after="0"/>
              <w:rPr>
                <w:sz w:val="20"/>
                <w:szCs w:val="20"/>
                <w:color w:val="auto"/>
              </w:rPr>
            </w:pPr>
            <w:r>
              <w:rPr>
                <w:rFonts w:ascii="Calibri" w:cs="Calibri" w:eastAsia="Calibri" w:hAnsi="Calibri"/>
                <w:sz w:val="18"/>
                <w:szCs w:val="18"/>
                <w:color w:val="auto"/>
                <w:w w:val="93"/>
              </w:rPr>
              <w:t>64.7</w:t>
            </w:r>
          </w:p>
        </w:tc>
        <w:tc>
          <w:tcPr>
            <w:tcW w:w="1400" w:type="dxa"/>
            <w:vAlign w:val="bottom"/>
            <w:vMerge w:val="restart"/>
          </w:tcPr>
          <w:p>
            <w:pPr>
              <w:jc w:val="right"/>
              <w:ind w:right="350"/>
              <w:spacing w:after="0"/>
              <w:rPr>
                <w:sz w:val="20"/>
                <w:szCs w:val="20"/>
                <w:color w:val="auto"/>
              </w:rPr>
            </w:pPr>
            <w:r>
              <w:rPr>
                <w:rFonts w:ascii="Calibri" w:cs="Calibri" w:eastAsia="Calibri" w:hAnsi="Calibri"/>
                <w:sz w:val="18"/>
                <w:szCs w:val="18"/>
                <w:color w:val="auto"/>
              </w:rPr>
              <w:t>(43.1%)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220"/>
              <w:spacing w:after="0" w:line="216" w:lineRule="exact"/>
              <w:rPr>
                <w:sz w:val="20"/>
                <w:szCs w:val="20"/>
                <w:color w:val="auto"/>
              </w:rPr>
            </w:pPr>
            <w:r>
              <w:rPr>
                <w:rFonts w:ascii="Calibri" w:cs="Calibri" w:eastAsia="Calibri" w:hAnsi="Calibri"/>
                <w:sz w:val="18"/>
                <w:szCs w:val="18"/>
                <w:color w:val="auto"/>
              </w:rPr>
              <w:t>fees</w:t>
            </w:r>
          </w:p>
        </w:tc>
        <w:tc>
          <w:tcPr>
            <w:tcW w:w="136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616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160" w:type="dxa"/>
            <w:vAlign w:val="bottom"/>
          </w:tcPr>
          <w:p>
            <w:pPr>
              <w:ind w:left="80"/>
              <w:spacing w:after="0"/>
              <w:rPr>
                <w:sz w:val="20"/>
                <w:szCs w:val="20"/>
                <w:color w:val="auto"/>
              </w:rPr>
            </w:pPr>
            <w:r>
              <w:rPr>
                <w:rFonts w:ascii="Calibri" w:cs="Calibri" w:eastAsia="Calibri" w:hAnsi="Calibri"/>
                <w:sz w:val="18"/>
                <w:szCs w:val="18"/>
                <w:color w:val="auto"/>
              </w:rPr>
              <w:t>Total operatng expenses</w:t>
            </w:r>
          </w:p>
        </w:tc>
        <w:tc>
          <w:tcPr>
            <w:tcW w:w="1360" w:type="dxa"/>
            <w:vAlign w:val="bottom"/>
          </w:tcPr>
          <w:p>
            <w:pPr>
              <w:jc w:val="center"/>
              <w:spacing w:after="0"/>
              <w:rPr>
                <w:sz w:val="20"/>
                <w:szCs w:val="20"/>
                <w:color w:val="auto"/>
              </w:rPr>
            </w:pPr>
            <w:r>
              <w:rPr>
                <w:rFonts w:ascii="Calibri" w:cs="Calibri" w:eastAsia="Calibri" w:hAnsi="Calibri"/>
                <w:sz w:val="18"/>
                <w:szCs w:val="18"/>
                <w:color w:val="auto"/>
                <w:w w:val="97"/>
              </w:rPr>
              <w:t>531.9</w:t>
            </w:r>
          </w:p>
        </w:tc>
        <w:tc>
          <w:tcPr>
            <w:tcW w:w="1400" w:type="dxa"/>
            <w:vAlign w:val="bottom"/>
          </w:tcPr>
          <w:p>
            <w:pPr>
              <w:jc w:val="center"/>
              <w:spacing w:after="0"/>
              <w:rPr>
                <w:sz w:val="20"/>
                <w:szCs w:val="20"/>
                <w:color w:val="auto"/>
              </w:rPr>
            </w:pPr>
            <w:r>
              <w:rPr>
                <w:rFonts w:ascii="Calibri" w:cs="Calibri" w:eastAsia="Calibri" w:hAnsi="Calibri"/>
                <w:sz w:val="18"/>
                <w:szCs w:val="18"/>
                <w:color w:val="auto"/>
              </w:rPr>
              <w:t>398.7</w:t>
            </w:r>
          </w:p>
        </w:tc>
        <w:tc>
          <w:tcPr>
            <w:tcW w:w="1400" w:type="dxa"/>
            <w:vAlign w:val="bottom"/>
          </w:tcPr>
          <w:p>
            <w:pPr>
              <w:jc w:val="right"/>
              <w:ind w:right="390"/>
              <w:spacing w:after="0"/>
              <w:rPr>
                <w:sz w:val="20"/>
                <w:szCs w:val="20"/>
                <w:color w:val="auto"/>
              </w:rPr>
            </w:pPr>
            <w:r>
              <w:rPr>
                <w:rFonts w:ascii="Calibri" w:cs="Calibri" w:eastAsia="Calibri" w:hAnsi="Calibri"/>
                <w:sz w:val="18"/>
                <w:szCs w:val="18"/>
                <w:color w:val="auto"/>
              </w:rPr>
              <w:t>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6160" w:type="dxa"/>
            <w:vAlign w:val="bottom"/>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6160" w:type="dxa"/>
            <w:vAlign w:val="bottom"/>
          </w:tcPr>
          <w:p>
            <w:pPr>
              <w:ind w:left="80"/>
              <w:spacing w:after="0"/>
              <w:rPr>
                <w:sz w:val="20"/>
                <w:szCs w:val="20"/>
                <w:color w:val="auto"/>
              </w:rPr>
            </w:pPr>
            <w:r>
              <w:rPr>
                <w:rFonts w:ascii="Calibri" w:cs="Calibri" w:eastAsia="Calibri" w:hAnsi="Calibri"/>
                <w:sz w:val="18"/>
                <w:szCs w:val="18"/>
                <w:color w:val="auto"/>
              </w:rPr>
              <w:t>Operatng loss</w:t>
            </w:r>
          </w:p>
        </w:tc>
        <w:tc>
          <w:tcPr>
            <w:tcW w:w="1360" w:type="dxa"/>
            <w:vAlign w:val="bottom"/>
          </w:tcPr>
          <w:p>
            <w:pPr>
              <w:jc w:val="center"/>
              <w:spacing w:after="0"/>
              <w:rPr>
                <w:sz w:val="20"/>
                <w:szCs w:val="20"/>
                <w:color w:val="auto"/>
              </w:rPr>
            </w:pPr>
            <w:r>
              <w:rPr>
                <w:rFonts w:ascii="Calibri" w:cs="Calibri" w:eastAsia="Calibri" w:hAnsi="Calibri"/>
                <w:sz w:val="18"/>
                <w:szCs w:val="18"/>
                <w:color w:val="auto"/>
                <w:w w:val="97"/>
              </w:rPr>
              <w:t>(22.0)</w:t>
            </w:r>
          </w:p>
        </w:tc>
        <w:tc>
          <w:tcPr>
            <w:tcW w:w="1400" w:type="dxa"/>
            <w:vAlign w:val="bottom"/>
          </w:tcPr>
          <w:p>
            <w:pPr>
              <w:jc w:val="center"/>
              <w:spacing w:after="0"/>
              <w:rPr>
                <w:sz w:val="20"/>
                <w:szCs w:val="20"/>
                <w:color w:val="auto"/>
              </w:rPr>
            </w:pPr>
            <w:r>
              <w:rPr>
                <w:rFonts w:ascii="Calibri" w:cs="Calibri" w:eastAsia="Calibri" w:hAnsi="Calibri"/>
                <w:sz w:val="18"/>
                <w:szCs w:val="18"/>
                <w:color w:val="auto"/>
                <w:w w:val="97"/>
              </w:rPr>
              <w:t>(51.1)</w:t>
            </w:r>
          </w:p>
        </w:tc>
        <w:tc>
          <w:tcPr>
            <w:tcW w:w="1400" w:type="dxa"/>
            <w:vAlign w:val="bottom"/>
          </w:tcPr>
          <w:p>
            <w:pPr>
              <w:jc w:val="right"/>
              <w:ind w:right="350"/>
              <w:spacing w:after="0"/>
              <w:rPr>
                <w:sz w:val="20"/>
                <w:szCs w:val="20"/>
                <w:color w:val="auto"/>
              </w:rPr>
            </w:pPr>
            <w:r>
              <w:rPr>
                <w:rFonts w:ascii="Calibri" w:cs="Calibri" w:eastAsia="Calibri" w:hAnsi="Calibri"/>
                <w:sz w:val="18"/>
                <w:szCs w:val="18"/>
                <w:color w:val="auto"/>
              </w:rPr>
              <w:t>(56.9%)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160" w:type="dxa"/>
            <w:vAlign w:val="bottom"/>
          </w:tcPr>
          <w:p>
            <w:pPr>
              <w:ind w:left="80"/>
              <w:spacing w:after="0"/>
              <w:rPr>
                <w:sz w:val="20"/>
                <w:szCs w:val="20"/>
                <w:color w:val="auto"/>
              </w:rPr>
            </w:pPr>
            <w:r>
              <w:rPr>
                <w:rFonts w:ascii="Calibri" w:cs="Calibri" w:eastAsia="Calibri" w:hAnsi="Calibri"/>
                <w:sz w:val="18"/>
                <w:szCs w:val="18"/>
                <w:color w:val="auto"/>
              </w:rPr>
              <w:t>Net loss</w:t>
            </w:r>
          </w:p>
        </w:tc>
        <w:tc>
          <w:tcPr>
            <w:tcW w:w="1360" w:type="dxa"/>
            <w:vAlign w:val="bottom"/>
          </w:tcPr>
          <w:p>
            <w:pPr>
              <w:jc w:val="center"/>
              <w:spacing w:after="0"/>
              <w:rPr>
                <w:sz w:val="20"/>
                <w:szCs w:val="20"/>
                <w:color w:val="auto"/>
              </w:rPr>
            </w:pPr>
            <w:r>
              <w:rPr>
                <w:rFonts w:ascii="Calibri" w:cs="Calibri" w:eastAsia="Calibri" w:hAnsi="Calibri"/>
                <w:sz w:val="18"/>
                <w:szCs w:val="18"/>
                <w:color w:val="auto"/>
                <w:w w:val="97"/>
              </w:rPr>
              <w:t>(35.5)</w:t>
            </w:r>
          </w:p>
        </w:tc>
        <w:tc>
          <w:tcPr>
            <w:tcW w:w="1400" w:type="dxa"/>
            <w:vAlign w:val="bottom"/>
          </w:tcPr>
          <w:p>
            <w:pPr>
              <w:jc w:val="center"/>
              <w:spacing w:after="0"/>
              <w:rPr>
                <w:sz w:val="20"/>
                <w:szCs w:val="20"/>
                <w:color w:val="auto"/>
              </w:rPr>
            </w:pPr>
            <w:r>
              <w:rPr>
                <w:rFonts w:ascii="Calibri" w:cs="Calibri" w:eastAsia="Calibri" w:hAnsi="Calibri"/>
                <w:sz w:val="18"/>
                <w:szCs w:val="18"/>
                <w:color w:val="auto"/>
                <w:w w:val="97"/>
              </w:rPr>
              <w:t>(50.5)</w:t>
            </w:r>
          </w:p>
        </w:tc>
        <w:tc>
          <w:tcPr>
            <w:tcW w:w="1400" w:type="dxa"/>
            <w:vAlign w:val="bottom"/>
          </w:tcPr>
          <w:p>
            <w:pPr>
              <w:jc w:val="right"/>
              <w:ind w:right="350"/>
              <w:spacing w:after="0"/>
              <w:rPr>
                <w:sz w:val="20"/>
                <w:szCs w:val="20"/>
                <w:color w:val="auto"/>
              </w:rPr>
            </w:pPr>
            <w:r>
              <w:rPr>
                <w:rFonts w:ascii="Calibri" w:cs="Calibri" w:eastAsia="Calibri" w:hAnsi="Calibri"/>
                <w:sz w:val="18"/>
                <w:szCs w:val="18"/>
                <w:color w:val="auto"/>
              </w:rPr>
              <w:t>(29.7%)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60" w:type="dxa"/>
            <w:vAlign w:val="bottom"/>
          </w:tcPr>
          <w:p>
            <w:pPr>
              <w:ind w:left="80"/>
              <w:spacing w:after="0"/>
              <w:rPr>
                <w:sz w:val="20"/>
                <w:szCs w:val="20"/>
                <w:color w:val="auto"/>
              </w:rPr>
            </w:pPr>
            <w:r>
              <w:rPr>
                <w:rFonts w:ascii="Calibri" w:cs="Calibri" w:eastAsia="Calibri" w:hAnsi="Calibri"/>
                <w:sz w:val="18"/>
                <w:szCs w:val="18"/>
                <w:color w:val="auto"/>
              </w:rPr>
              <w:t>Adjusted EBITDA loss (non-GAAP)</w:t>
            </w:r>
          </w:p>
        </w:tc>
        <w:tc>
          <w:tcPr>
            <w:tcW w:w="1360" w:type="dxa"/>
            <w:vAlign w:val="bottom"/>
          </w:tcPr>
          <w:p>
            <w:pPr>
              <w:jc w:val="center"/>
              <w:spacing w:after="0"/>
              <w:rPr>
                <w:sz w:val="20"/>
                <w:szCs w:val="20"/>
                <w:color w:val="auto"/>
              </w:rPr>
            </w:pPr>
            <w:r>
              <w:rPr>
                <w:rFonts w:ascii="Calibri" w:cs="Calibri" w:eastAsia="Calibri" w:hAnsi="Calibri"/>
                <w:sz w:val="18"/>
                <w:szCs w:val="18"/>
                <w:color w:val="auto"/>
              </w:rPr>
              <w:t>($17.9)</w:t>
            </w:r>
          </w:p>
        </w:tc>
        <w:tc>
          <w:tcPr>
            <w:tcW w:w="1400" w:type="dxa"/>
            <w:vAlign w:val="bottom"/>
          </w:tcPr>
          <w:p>
            <w:pPr>
              <w:jc w:val="center"/>
              <w:spacing w:after="0"/>
              <w:rPr>
                <w:sz w:val="20"/>
                <w:szCs w:val="20"/>
                <w:color w:val="auto"/>
              </w:rPr>
            </w:pPr>
            <w:r>
              <w:rPr>
                <w:rFonts w:ascii="Calibri" w:cs="Calibri" w:eastAsia="Calibri" w:hAnsi="Calibri"/>
                <w:sz w:val="18"/>
                <w:szCs w:val="18"/>
                <w:color w:val="auto"/>
                <w:w w:val="96"/>
              </w:rPr>
              <w:t>($24.5)</w:t>
            </w:r>
          </w:p>
        </w:tc>
        <w:tc>
          <w:tcPr>
            <w:tcW w:w="1400" w:type="dxa"/>
            <w:vAlign w:val="bottom"/>
          </w:tcPr>
          <w:p>
            <w:pPr>
              <w:jc w:val="right"/>
              <w:ind w:right="350"/>
              <w:spacing w:after="0"/>
              <w:rPr>
                <w:sz w:val="20"/>
                <w:szCs w:val="20"/>
                <w:color w:val="auto"/>
              </w:rPr>
            </w:pPr>
            <w:r>
              <w:rPr>
                <w:rFonts w:ascii="Calibri" w:cs="Calibri" w:eastAsia="Calibri" w:hAnsi="Calibri"/>
                <w:sz w:val="18"/>
                <w:szCs w:val="18"/>
                <w:color w:val="auto"/>
              </w:rPr>
              <w:t>(26.9%)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6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Calibri" w:cs="Calibri" w:eastAsia="Calibri" w:hAnsi="Calibri"/>
          <w:sz w:val="14"/>
          <w:szCs w:val="14"/>
          <w:color w:val="auto"/>
        </w:rPr>
        <w:t>Note: “N.M” denotes Not Meaningful</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Operatonal Highlights:</w:t>
      </w:r>
    </w:p>
    <w:p>
      <w:pPr>
        <w:spacing w:after="0" w:line="9" w:lineRule="exact"/>
        <w:rPr>
          <w:sz w:val="20"/>
          <w:szCs w:val="20"/>
          <w:color w:val="auto"/>
        </w:rPr>
      </w:pPr>
    </w:p>
    <w:p>
      <w:pPr>
        <w:ind w:left="660" w:right="140" w:hanging="328"/>
        <w:spacing w:after="0" w:line="234" w:lineRule="auto"/>
        <w:tabs>
          <w:tab w:leader="none" w:pos="648"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u w:val="single" w:color="auto"/>
          <w:color w:val="auto"/>
        </w:rPr>
        <w:t>Key executve hire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Appointed Ray Kamrath as COO to lead the company’s sales across Bakkt’s crypto business including trade,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custody and insttutonal oferings.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u w:val="single" w:color="auto"/>
          <w:color w:val="auto"/>
        </w:rPr>
        <w:t>Partnerships Update</w:t>
      </w:r>
    </w:p>
    <w:p>
      <w:pPr>
        <w:spacing w:after="0" w:line="12" w:lineRule="exact"/>
        <w:rPr>
          <w:sz w:val="20"/>
          <w:szCs w:val="20"/>
          <w:color w:val="auto"/>
        </w:rPr>
      </w:pPr>
    </w:p>
    <w:p>
      <w:pPr>
        <w:ind w:left="1300" w:right="180" w:hanging="320"/>
        <w:spacing w:after="0" w:line="223" w:lineRule="auto"/>
        <w:tabs>
          <w:tab w:leader="none" w:pos="1300" w:val="left"/>
        </w:tabs>
        <w:numPr>
          <w:ilvl w:val="0"/>
          <w:numId w:val="5"/>
        </w:numPr>
        <w:rPr>
          <w:rFonts w:ascii="Courier New" w:cs="Courier New" w:eastAsia="Courier New" w:hAnsi="Courier New"/>
          <w:sz w:val="20"/>
          <w:szCs w:val="20"/>
          <w:color w:val="auto"/>
        </w:rPr>
      </w:pPr>
      <w:r>
        <w:rPr>
          <w:rFonts w:ascii="Calibri" w:cs="Calibri" w:eastAsia="Calibri" w:hAnsi="Calibri"/>
          <w:sz w:val="20"/>
          <w:szCs w:val="20"/>
          <w:b w:val="1"/>
          <w:bCs w:val="1"/>
          <w:u w:val="single" w:color="auto"/>
          <w:color w:val="auto"/>
        </w:rPr>
        <w:t>Crossover Market</w:t>
      </w:r>
      <w:r>
        <w:rPr>
          <w:rFonts w:ascii="Calibri" w:cs="Calibri" w:eastAsia="Calibri" w:hAnsi="Calibri"/>
          <w:sz w:val="20"/>
          <w:szCs w:val="20"/>
          <w:color w:val="auto"/>
        </w:rPr>
        <w:t>: Announced licensing agreement with Crossover Markets, which is expected to signifcantly enhance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BakktX ECN’s insttutonal capabilites with faster executon and lower trading costs.</w:t>
      </w:r>
    </w:p>
    <w:p>
      <w:pPr>
        <w:ind w:left="1300" w:right="80" w:hanging="320"/>
        <w:spacing w:after="0" w:line="230" w:lineRule="auto"/>
        <w:tabs>
          <w:tab w:leader="none" w:pos="1300" w:val="left"/>
        </w:tabs>
        <w:numPr>
          <w:ilvl w:val="0"/>
          <w:numId w:val="5"/>
        </w:numPr>
        <w:rPr>
          <w:rFonts w:ascii="Courier New" w:cs="Courier New" w:eastAsia="Courier New" w:hAnsi="Courier New"/>
          <w:sz w:val="20"/>
          <w:szCs w:val="20"/>
          <w:color w:val="auto"/>
        </w:rPr>
      </w:pPr>
      <w:r>
        <w:rPr>
          <w:rFonts w:ascii="Calibri" w:cs="Calibri" w:eastAsia="Calibri" w:hAnsi="Calibri"/>
          <w:sz w:val="20"/>
          <w:szCs w:val="20"/>
          <w:b w:val="1"/>
          <w:bCs w:val="1"/>
          <w:u w:val="single" w:color="auto"/>
          <w:color w:val="auto"/>
        </w:rPr>
        <w:t>Hidden Road</w:t>
      </w:r>
      <w:r>
        <w:rPr>
          <w:rFonts w:ascii="Calibri" w:cs="Calibri" w:eastAsia="Calibri" w:hAnsi="Calibri"/>
          <w:sz w:val="20"/>
          <w:szCs w:val="20"/>
          <w:color w:val="auto"/>
        </w:rPr>
        <w:t>: Signed a leter of intent to work with Hidden Road to provide platorm services including real-tme risk</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management and back-ofce functonality. Once fnalized, this partnership is expected to enhance our ability to manage risk and minimize counterparty and credit risk for insttutonal clients using BakktX through Hidden Road’s real-tme risk management.</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Updated 2024 Guidance:</w:t>
      </w:r>
      <w:r>
        <w:rPr>
          <w:rFonts w:ascii="Calibri" w:cs="Calibri" w:eastAsia="Calibri" w:hAnsi="Calibri"/>
          <w:sz w:val="25"/>
          <w:szCs w:val="25"/>
          <w:b w:val="1"/>
          <w:bCs w:val="1"/>
          <w:color w:val="auto"/>
          <w:vertAlign w:val="superscript"/>
        </w:rPr>
        <w:t>2</w:t>
      </w:r>
    </w:p>
    <w:p>
      <w:pPr>
        <w:ind w:left="660" w:right="20" w:hanging="328"/>
        <w:spacing w:after="0" w:line="229" w:lineRule="auto"/>
        <w:tabs>
          <w:tab w:leader="none" w:pos="648" w:val="left"/>
        </w:tabs>
        <w:numPr>
          <w:ilvl w:val="1"/>
          <w:numId w:val="6"/>
        </w:numPr>
        <w:rPr>
          <w:rFonts w:ascii="Times New Roman" w:cs="Times New Roman" w:eastAsia="Times New Roman" w:hAnsi="Times New Roman"/>
          <w:sz w:val="20"/>
          <w:szCs w:val="20"/>
          <w:color w:val="auto"/>
        </w:rPr>
      </w:pPr>
      <w:r>
        <w:rPr>
          <w:rFonts w:ascii="Calibri" w:cs="Calibri" w:eastAsia="Calibri" w:hAnsi="Calibri"/>
          <w:sz w:val="20"/>
          <w:szCs w:val="20"/>
          <w:color w:val="auto"/>
        </w:rPr>
        <w:t>Full year 2024 revenues expected to be $2,568 million – $2,827 million; includes gross crypto revenues of $2,515 million - $2,770 million and net loyalty revenues of $53 million – $57 million.</w:t>
      </w:r>
    </w:p>
    <w:p>
      <w:pPr>
        <w:spacing w:after="0" w:line="1"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1"/>
          <w:numId w:val="6"/>
        </w:numPr>
        <w:rPr>
          <w:rFonts w:ascii="Times New Roman" w:cs="Times New Roman" w:eastAsia="Times New Roman" w:hAnsi="Times New Roman"/>
          <w:sz w:val="20"/>
          <w:szCs w:val="20"/>
          <w:color w:val="auto"/>
        </w:rPr>
      </w:pPr>
      <w:r>
        <w:rPr>
          <w:rFonts w:ascii="Calibri" w:cs="Calibri" w:eastAsia="Calibri" w:hAnsi="Calibri"/>
          <w:sz w:val="20"/>
          <w:szCs w:val="20"/>
          <w:color w:val="auto"/>
        </w:rPr>
        <w:t>Full year 2024 crypto costs expected to be $2,505 million – $2,755 million, in line with gross crypto revenues.</w:t>
      </w:r>
    </w:p>
    <w:p>
      <w:pPr>
        <w:spacing w:after="0" w:line="22" w:lineRule="exact"/>
        <w:rPr>
          <w:rFonts w:ascii="Times New Roman" w:cs="Times New Roman" w:eastAsia="Times New Roman" w:hAnsi="Times New Roman"/>
          <w:sz w:val="20"/>
          <w:szCs w:val="20"/>
          <w:color w:val="auto"/>
        </w:rPr>
      </w:pPr>
    </w:p>
    <w:p>
      <w:pPr>
        <w:ind w:left="660" w:right="240" w:hanging="328"/>
        <w:spacing w:after="0" w:line="234" w:lineRule="auto"/>
        <w:tabs>
          <w:tab w:leader="none" w:pos="648" w:val="left"/>
        </w:tabs>
        <w:numPr>
          <w:ilvl w:val="1"/>
          <w:numId w:val="6"/>
        </w:numPr>
        <w:rPr>
          <w:rFonts w:ascii="Times New Roman" w:cs="Times New Roman" w:eastAsia="Times New Roman" w:hAnsi="Times New Roman"/>
          <w:sz w:val="20"/>
          <w:szCs w:val="20"/>
          <w:color w:val="auto"/>
        </w:rPr>
      </w:pPr>
      <w:r>
        <w:rPr>
          <w:rFonts w:ascii="Calibri" w:cs="Calibri" w:eastAsia="Calibri" w:hAnsi="Calibri"/>
          <w:sz w:val="20"/>
          <w:szCs w:val="20"/>
          <w:color w:val="auto"/>
        </w:rPr>
        <w:t>Full year 2024 total operatng expenses excluding crypto costs, executon, clearing and brokerage fees and goodwill, intangible and long-lived assets impairments expected to be $157 million – $162 million.</w:t>
      </w:r>
    </w:p>
    <w:p>
      <w:pPr>
        <w:spacing w:after="0" w:line="1" w:lineRule="exact"/>
        <w:rPr>
          <w:rFonts w:ascii="Times New Roman" w:cs="Times New Roman" w:eastAsia="Times New Roman" w:hAnsi="Times New Roman"/>
          <w:sz w:val="20"/>
          <w:szCs w:val="20"/>
          <w:color w:val="auto"/>
        </w:rPr>
      </w:pPr>
    </w:p>
    <w:p>
      <w:pPr>
        <w:ind w:left="640" w:hanging="308"/>
        <w:spacing w:after="0" w:line="238" w:lineRule="auto"/>
        <w:tabs>
          <w:tab w:leader="none" w:pos="640" w:val="left"/>
        </w:tabs>
        <w:numPr>
          <w:ilvl w:val="1"/>
          <w:numId w:val="6"/>
        </w:numPr>
        <w:rPr>
          <w:rFonts w:ascii="Times New Roman" w:cs="Times New Roman" w:eastAsia="Times New Roman" w:hAnsi="Times New Roman"/>
          <w:sz w:val="20"/>
          <w:szCs w:val="20"/>
          <w:color w:val="auto"/>
        </w:rPr>
      </w:pPr>
      <w:r>
        <w:rPr>
          <w:rFonts w:ascii="Calibri" w:cs="Calibri" w:eastAsia="Calibri" w:hAnsi="Calibri"/>
          <w:sz w:val="20"/>
          <w:szCs w:val="20"/>
          <w:color w:val="auto"/>
        </w:rPr>
        <w:t>Full year 2024 net cash used in operatng actvites expected to be ($72 million) – ($79 million).</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Calibri" w:cs="Calibri" w:eastAsia="Calibri" w:hAnsi="Calibri"/>
          <w:sz w:val="20"/>
          <w:szCs w:val="20"/>
          <w:color w:val="auto"/>
        </w:rPr>
        <w:t>Full year 2024 free cash fow usage (non-GAAP) expected to be ($79 million) – ($86 million).</w:t>
      </w:r>
    </w:p>
    <w:p>
      <w:pPr>
        <w:spacing w:after="0" w:line="12" w:lineRule="exact"/>
        <w:rPr>
          <w:rFonts w:ascii="Times New Roman" w:cs="Times New Roman" w:eastAsia="Times New Roman" w:hAnsi="Times New Roman"/>
          <w:sz w:val="20"/>
          <w:szCs w:val="20"/>
          <w:color w:val="auto"/>
        </w:rPr>
      </w:pPr>
    </w:p>
    <w:p>
      <w:pPr>
        <w:ind w:left="640" w:hanging="308"/>
        <w:spacing w:after="0" w:line="227" w:lineRule="auto"/>
        <w:tabs>
          <w:tab w:leader="none" w:pos="640" w:val="left"/>
        </w:tabs>
        <w:numPr>
          <w:ilvl w:val="1"/>
          <w:numId w:val="6"/>
        </w:numPr>
        <w:rPr>
          <w:rFonts w:ascii="Times New Roman" w:cs="Times New Roman" w:eastAsia="Times New Roman" w:hAnsi="Times New Roman"/>
          <w:sz w:val="20"/>
          <w:szCs w:val="20"/>
          <w:color w:val="auto"/>
        </w:rPr>
      </w:pPr>
      <w:r>
        <w:rPr>
          <w:rFonts w:ascii="Calibri" w:cs="Calibri" w:eastAsia="Calibri" w:hAnsi="Calibri"/>
          <w:sz w:val="20"/>
          <w:szCs w:val="20"/>
          <w:color w:val="auto"/>
        </w:rPr>
        <w:t>End of year available cash, cash equivalents and available-for-sale securites of $35 million – $42 million.</w:t>
      </w:r>
    </w:p>
    <w:p>
      <w:pPr>
        <w:spacing w:after="0" w:line="256" w:lineRule="exact"/>
        <w:rPr>
          <w:rFonts w:ascii="Times New Roman" w:cs="Times New Roman" w:eastAsia="Times New Roman" w:hAnsi="Times New Roman"/>
          <w:sz w:val="20"/>
          <w:szCs w:val="20"/>
          <w:color w:val="auto"/>
        </w:rPr>
      </w:pPr>
    </w:p>
    <w:p>
      <w:pPr>
        <w:ind w:left="140" w:hanging="132"/>
        <w:spacing w:after="0"/>
        <w:tabs>
          <w:tab w:leader="none" w:pos="14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In accordance with GAAP, crypto services revenue and crypto costs and executon, clearing and brokerage fees are presented on a gross basis as the Company is a principal in those transactons.</w:t>
      </w:r>
    </w:p>
    <w:p>
      <w:pPr>
        <w:spacing w:after="0" w:line="246" w:lineRule="exact"/>
        <w:rPr>
          <w:rFonts w:ascii="Calibri" w:cs="Calibri" w:eastAsia="Calibri" w:hAnsi="Calibri"/>
          <w:sz w:val="13"/>
          <w:szCs w:val="13"/>
          <w:color w:val="auto"/>
        </w:rPr>
      </w:pPr>
    </w:p>
    <w:p>
      <w:pPr>
        <w:ind w:left="140" w:hanging="132"/>
        <w:spacing w:after="0"/>
        <w:tabs>
          <w:tab w:leader="none" w:pos="14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Given under the following updated key assumptons: Gross Crypto Revenue, Crypto Costs and ECB - revenue contributon from existng clients/accounts based on Q2’24 retail trading engagement metrics,</w:t>
      </w:r>
    </w:p>
    <w:p>
      <w:pPr>
        <w:spacing w:after="0" w:line="16" w:lineRule="exact"/>
        <w:rPr>
          <w:rFonts w:ascii="Calibri" w:cs="Calibri" w:eastAsia="Calibri" w:hAnsi="Calibri"/>
          <w:sz w:val="13"/>
          <w:szCs w:val="13"/>
          <w:color w:val="auto"/>
        </w:rPr>
      </w:pPr>
    </w:p>
    <w:p>
      <w:pPr>
        <w:jc w:val="both"/>
        <w:ind w:right="120"/>
        <w:spacing w:after="0" w:line="255" w:lineRule="auto"/>
        <w:rPr>
          <w:rFonts w:ascii="Calibri" w:cs="Calibri" w:eastAsia="Calibri" w:hAnsi="Calibri"/>
          <w:sz w:val="13"/>
          <w:szCs w:val="13"/>
          <w:color w:val="auto"/>
        </w:rPr>
      </w:pPr>
      <w:r>
        <w:rPr>
          <w:rFonts w:ascii="Calibri" w:cs="Calibri" w:eastAsia="Calibri" w:hAnsi="Calibri"/>
          <w:sz w:val="13"/>
          <w:szCs w:val="13"/>
          <w:color w:val="auto"/>
        </w:rPr>
        <w:t xml:space="preserve">decrease in new crypto trading accounts driven by re-alignment of internatonal strategy, additon of insttutonal clients with steady ramp-up in assets under custody in 2H’24 and Crypto Costs and ECB in line with gross crypto revenue. </w:t>
      </w:r>
      <w:r>
        <w:rPr>
          <w:rFonts w:ascii="Calibri" w:cs="Calibri" w:eastAsia="Calibri" w:hAnsi="Calibri"/>
          <w:sz w:val="13"/>
          <w:szCs w:val="13"/>
          <w:i w:val="1"/>
          <w:iCs w:val="1"/>
          <w:color w:val="auto"/>
        </w:rPr>
        <w:t>End of year cash, cash equivalents and AFS securites</w:t>
      </w:r>
      <w:r>
        <w:rPr>
          <w:rFonts w:ascii="Calibri" w:cs="Calibri" w:eastAsia="Calibri" w:hAnsi="Calibri"/>
          <w:sz w:val="13"/>
          <w:szCs w:val="13"/>
          <w:color w:val="auto"/>
        </w:rPr>
        <w:t xml:space="preserve"> – Reducton in upper end of expected end of year balance driven by $10mm reducton in net contributon from crypto trading, range further adjusted for cash expense utlizaton in 2Q.</w:t>
      </w:r>
    </w:p>
    <w:p>
      <w:pPr>
        <w:sectPr>
          <w:pgSz w:w="11900" w:h="16838" w:orient="portrait"/>
          <w:cols w:equalWidth="0" w:num="1">
            <w:col w:w="11220"/>
          </w:cols>
          <w:pgMar w:left="320" w:top="1125" w:right="35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color w:val="auto"/>
        </w:rPr>
        <w:t>Webcast and Conference Call Informaton</w:t>
      </w:r>
    </w:p>
    <w:p>
      <w:pPr>
        <w:spacing w:after="0" w:line="157"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 xml:space="preserve">Bakkt will host a conference call at 8:30 AM ET, August 14, 2024. The earnings conference call will be webcast live </w:t>
      </w:r>
      <w:r>
        <w:rPr>
          <w:rFonts w:ascii="Calibri" w:cs="Calibri" w:eastAsia="Calibri" w:hAnsi="Calibri"/>
          <w:sz w:val="20"/>
          <w:szCs w:val="20"/>
          <w:u w:val="single" w:color="auto"/>
          <w:color w:val="467886"/>
        </w:rPr>
        <w:t>here</w:t>
      </w:r>
      <w:r>
        <w:rPr>
          <w:rFonts w:ascii="Calibri" w:cs="Calibri" w:eastAsia="Calibri" w:hAnsi="Calibri"/>
          <w:sz w:val="20"/>
          <w:szCs w:val="20"/>
          <w:color w:val="auto"/>
        </w:rPr>
        <w:t xml:space="preserve"> and archived on the investor relatons secton of Bakkt’s corporate website under the ‘Events &amp; Presentatons’ secton, along with any related earnings materials.</w:t>
      </w:r>
    </w:p>
    <w:p>
      <w:pPr>
        <w:spacing w:after="0" w:line="254" w:lineRule="exact"/>
        <w:rPr>
          <w:sz w:val="20"/>
          <w:szCs w:val="20"/>
          <w:color w:val="auto"/>
        </w:rPr>
      </w:pPr>
    </w:p>
    <w:p>
      <w:pPr>
        <w:ind w:right="700"/>
        <w:spacing w:after="0" w:line="228" w:lineRule="auto"/>
        <w:rPr>
          <w:sz w:val="20"/>
          <w:szCs w:val="20"/>
          <w:color w:val="auto"/>
        </w:rPr>
      </w:pPr>
      <w:r>
        <w:rPr>
          <w:rFonts w:ascii="Calibri" w:cs="Calibri" w:eastAsia="Calibri" w:hAnsi="Calibri"/>
          <w:sz w:val="20"/>
          <w:szCs w:val="20"/>
          <w:color w:val="auto"/>
        </w:rPr>
        <w:t>Investors and analysts interested in partcipatng in the call are invited to dial (833) 470-1428 or (404) 975-4839, and reference partcipant access code 865830 approximately ten minutes prior to the start of the call.</w:t>
      </w:r>
    </w:p>
    <w:p>
      <w:pPr>
        <w:jc w:val="center"/>
        <w:ind w:right="-179"/>
        <w:spacing w:after="0" w:line="238" w:lineRule="auto"/>
        <w:rPr>
          <w:sz w:val="20"/>
          <w:szCs w:val="20"/>
          <w:color w:val="auto"/>
        </w:rPr>
      </w:pPr>
      <w:r>
        <w:rPr>
          <w:rFonts w:ascii="Calibri" w:cs="Calibri" w:eastAsia="Calibri" w:hAnsi="Calibri"/>
          <w:sz w:val="20"/>
          <w:szCs w:val="20"/>
          <w:color w:val="auto"/>
        </w:rPr>
        <w:t>###</w:t>
      </w:r>
    </w:p>
    <w:p>
      <w:pPr>
        <w:spacing w:after="0"/>
        <w:rPr>
          <w:sz w:val="20"/>
          <w:szCs w:val="20"/>
          <w:color w:val="auto"/>
        </w:rPr>
      </w:pPr>
      <w:r>
        <w:rPr>
          <w:rFonts w:ascii="Calibri" w:cs="Calibri" w:eastAsia="Calibri" w:hAnsi="Calibri"/>
          <w:sz w:val="20"/>
          <w:szCs w:val="20"/>
          <w:b w:val="1"/>
          <w:bCs w:val="1"/>
          <w:color w:val="auto"/>
        </w:rPr>
        <w:t>About Bakkt</w:t>
      </w:r>
    </w:p>
    <w:p>
      <w:pPr>
        <w:ind w:right="60"/>
        <w:spacing w:after="0" w:line="232" w:lineRule="auto"/>
        <w:rPr>
          <w:sz w:val="20"/>
          <w:szCs w:val="20"/>
          <w:color w:val="auto"/>
        </w:rPr>
      </w:pPr>
      <w:r>
        <w:rPr>
          <w:rFonts w:ascii="Calibri" w:cs="Calibri" w:eastAsia="Calibri" w:hAnsi="Calibri"/>
          <w:sz w:val="20"/>
          <w:szCs w:val="20"/>
          <w:color w:val="auto"/>
        </w:rPr>
        <w:t>Founded in 2018, Bakkt builds solutons that enable our clients to grow with the crypto economy. Through insttutonal-grade custody, trading, and onramp capabilites, our clients leverage technology that’s built for sustainable, long-term involvement in crypto.</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color w:val="auto"/>
        </w:rPr>
        <w:t xml:space="preserve">Bakkt is headquartered in Alphareta, GA. For more informaton, visit: </w:t>
      </w:r>
      <w:r>
        <w:rPr>
          <w:rFonts w:ascii="Calibri" w:cs="Calibri" w:eastAsia="Calibri" w:hAnsi="Calibri"/>
          <w:sz w:val="20"/>
          <w:szCs w:val="20"/>
          <w:u w:val="single" w:color="auto"/>
          <w:color w:val="467886"/>
        </w:rPr>
        <w:t>htps://www.bakkt.com/</w:t>
      </w:r>
      <w:r>
        <w:rPr>
          <w:rFonts w:ascii="Calibri" w:cs="Calibri" w:eastAsia="Calibri" w:hAnsi="Calibri"/>
          <w:sz w:val="20"/>
          <w:szCs w:val="20"/>
          <w:color w:val="auto"/>
        </w:rPr>
        <w:t xml:space="preserve"> |</w:t>
      </w:r>
    </w:p>
    <w:p>
      <w:pPr>
        <w:spacing w:after="0" w:line="238" w:lineRule="auto"/>
        <w:rPr>
          <w:sz w:val="20"/>
          <w:szCs w:val="20"/>
          <w:color w:val="auto"/>
        </w:rPr>
      </w:pPr>
      <w:r>
        <w:rPr>
          <w:rFonts w:ascii="Calibri" w:cs="Calibri" w:eastAsia="Calibri" w:hAnsi="Calibri"/>
          <w:sz w:val="20"/>
          <w:szCs w:val="20"/>
          <w:color w:val="auto"/>
        </w:rPr>
        <w:t xml:space="preserve">X (Formerly Twiter) </w:t>
      </w:r>
      <w:r>
        <w:rPr>
          <w:rFonts w:ascii="Calibri" w:cs="Calibri" w:eastAsia="Calibri" w:hAnsi="Calibri"/>
          <w:sz w:val="20"/>
          <w:szCs w:val="20"/>
          <w:u w:val="single" w:color="auto"/>
          <w:color w:val="467886"/>
        </w:rPr>
        <w:t>@Bakkt</w:t>
      </w:r>
      <w:r>
        <w:rPr>
          <w:rFonts w:ascii="Calibri" w:cs="Calibri" w:eastAsia="Calibri" w:hAnsi="Calibri"/>
          <w:sz w:val="20"/>
          <w:szCs w:val="20"/>
          <w:color w:val="auto"/>
        </w:rPr>
        <w:t xml:space="preserve"> | LinkedIn </w:t>
      </w:r>
      <w:r>
        <w:rPr>
          <w:rFonts w:ascii="Calibri" w:cs="Calibri" w:eastAsia="Calibri" w:hAnsi="Calibri"/>
          <w:sz w:val="20"/>
          <w:szCs w:val="20"/>
          <w:u w:val="single" w:color="auto"/>
          <w:color w:val="467886"/>
        </w:rPr>
        <w:t>htps://www.linkedin.com/company/bakkt/</w:t>
      </w:r>
      <w:r>
        <w:rPr>
          <w:rFonts w:ascii="Calibri" w:cs="Calibri" w:eastAsia="Calibri" w:hAnsi="Calibri"/>
          <w:sz w:val="20"/>
          <w:szCs w:val="20"/>
          <w:color w:val="auto"/>
        </w:rPr>
        <w:t>.</w:t>
      </w:r>
    </w:p>
    <w:p>
      <w:pPr>
        <w:spacing w:after="0" w:line="243" w:lineRule="exact"/>
        <w:rPr>
          <w:sz w:val="20"/>
          <w:szCs w:val="20"/>
          <w:color w:val="auto"/>
        </w:rPr>
      </w:pPr>
    </w:p>
    <w:p>
      <w:pPr>
        <w:spacing w:after="0"/>
        <w:rPr>
          <w:sz w:val="20"/>
          <w:szCs w:val="20"/>
          <w:color w:val="auto"/>
        </w:rPr>
      </w:pPr>
      <w:r>
        <w:rPr>
          <w:rFonts w:ascii="Calibri" w:cs="Calibri" w:eastAsia="Calibri" w:hAnsi="Calibri"/>
          <w:sz w:val="16"/>
          <w:szCs w:val="16"/>
          <w:color w:val="auto"/>
        </w:rPr>
        <w:t>Bakkt-E</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Source: Bakkt Holdings, Inc.</w:t>
      </w: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Contacts</w:t>
      </w:r>
    </w:p>
    <w:p>
      <w:pPr>
        <w:spacing w:after="0" w:line="238" w:lineRule="auto"/>
        <w:rPr>
          <w:sz w:val="20"/>
          <w:szCs w:val="20"/>
          <w:color w:val="auto"/>
        </w:rPr>
      </w:pPr>
      <w:r>
        <w:rPr>
          <w:rFonts w:ascii="Calibri" w:cs="Calibri" w:eastAsia="Calibri" w:hAnsi="Calibri"/>
          <w:sz w:val="20"/>
          <w:szCs w:val="20"/>
          <w:b w:val="1"/>
          <w:bCs w:val="1"/>
          <w:color w:val="auto"/>
        </w:rPr>
        <w:t>Investor Relatons</w:t>
      </w:r>
    </w:p>
    <w:p>
      <w:pPr>
        <w:spacing w:after="0" w:line="226" w:lineRule="auto"/>
        <w:rPr>
          <w:sz w:val="20"/>
          <w:szCs w:val="20"/>
          <w:color w:val="auto"/>
        </w:rPr>
      </w:pPr>
      <w:r>
        <w:rPr>
          <w:rFonts w:ascii="Calibri" w:cs="Calibri" w:eastAsia="Calibri" w:hAnsi="Calibri"/>
          <w:sz w:val="20"/>
          <w:szCs w:val="20"/>
          <w:u w:val="single" w:color="auto"/>
          <w:color w:val="467886"/>
        </w:rPr>
        <w:t>IR@bakkt.com</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w:t>
      </w:r>
    </w:p>
    <w:p>
      <w:pPr>
        <w:spacing w:after="0" w:line="238" w:lineRule="auto"/>
        <w:rPr>
          <w:sz w:val="20"/>
          <w:szCs w:val="20"/>
          <w:color w:val="auto"/>
        </w:rPr>
      </w:pPr>
      <w:r>
        <w:rPr>
          <w:rFonts w:ascii="Calibri" w:cs="Calibri" w:eastAsia="Calibri" w:hAnsi="Calibri"/>
          <w:sz w:val="20"/>
          <w:szCs w:val="20"/>
          <w:u w:val="single" w:color="auto"/>
          <w:color w:val="467886"/>
        </w:rPr>
        <w:t>press@bakkt.com</w:t>
      </w:r>
    </w:p>
    <w:p>
      <w:pPr>
        <w:sectPr>
          <w:pgSz w:w="11900" w:h="16838" w:orient="portrait"/>
          <w:cols w:equalWidth="0" w:num="1">
            <w:col w:w="11060"/>
          </w:cols>
          <w:pgMar w:left="320" w:top="1077" w:right="51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color w:val="auto"/>
        </w:rPr>
        <w:t>Note on Forward-Looking Statements</w:t>
      </w:r>
    </w:p>
    <w:p>
      <w:pPr>
        <w:spacing w:after="0" w:line="233" w:lineRule="auto"/>
        <w:rPr>
          <w:sz w:val="20"/>
          <w:szCs w:val="20"/>
          <w:color w:val="auto"/>
        </w:rPr>
      </w:pPr>
      <w:r>
        <w:rPr>
          <w:rFonts w:ascii="Calibri" w:cs="Calibri" w:eastAsia="Calibri" w:hAnsi="Calibri"/>
          <w:sz w:val="20"/>
          <w:szCs w:val="20"/>
          <w:color w:val="auto"/>
        </w:rPr>
        <w:t>This press release contains “forward-looking statements” within the meaning of Secton 27A of the Securites Act of 1933, as amended, and Secton 21E of the Securites Exchange Act of 1934, as amended. Such statements include, but are not limited to, Bakkt’s guidance and outlook, including for the full fscal year 2024, and the trends and assumptons underlying such guidance and outlook, Bakkt’s cost reducton strategy and expectatons regarding cost savings, Bakkt’s plans and expectatons, including statements about new products and features, partnerships, joint ventures and growth, Bakkt’s expectatons regarding crypto market growth, and Bakkt’s beliefs regarding its future goals, among others. Forward-looking statements can be identfed by words such as “will,” “likely,” “expect,” “contnue,” “antcipate,” “estmate,” “believe,” “intend,” “plan,” “projecton,” “outlook,” “grow,” “progress,” “potental” or words of similar meaning. Such forward-looking statements are based upon the current beliefs and expectatons of Bakkt’s management and are inherently subject to signifcant business, economic and compettve uncertaintes and contngencies, many of which are difcult to predict and beyond Bakkt’s control. Actual results and the tming of events may difer materially from the results antcipated in such forward-looking statements as a result of the following factors, among others: the Company’s ability to contnue as a going concern; the Company’s ability to grow and manage growth proftably; changes in the Company’s business strategy; the Company’s future capital requirements and sources and uses of cash, including funds to satsfy its liquidity needs; changes in the market in which the Company competes, including with respect to its compettve landscape, technology evoluton or changes in applicable laws or regulatons; changes in the markets that the Company targets; disruptons in the crypto market that subject the Company to additonal risks, including the risk that banks may not provide banking services to the Company; the possibility that the Company may be adversely afected by other economic, business, and/or compettve factors; the inability to launch new services and products or to proftably expand into new markets and services; the inability to execute the Company’s growth strategies, including identfying and executng acquisitons and the Company’s initatves to add new clients; the Company’s failure to comply with extensive government regulaton, oversight, licensure and appraisals; uncertain regulatory regime governing blockchain technologies and crypto; the inability to develop and maintain efectve internal controls and procedures; the exposure to any liability, protracted and costly litgaton or reputatonal damage relatng to the Company’s data security; the impact of any goodwill or other intangible assets impairments on the Company’s operatng results; and other risks and uncertaintes indicated in the Company’s flings with the Securites and Exchange Commission. You are cautoned not to place undue reliance on such forward-looking statements. Such forward-looking statements relate only to events as of the date on which such statements are made and are based on informaton available to us as of the date of this press release. Unless otherwise required by law, we undertake no obligaton to update any forward-looking statements made in this press release to refect events or circumstances afer the date of this press release or to refect new informaton or the occurrence of unantcipated events.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Defnitons</w:t>
      </w:r>
    </w:p>
    <w:p>
      <w:pPr>
        <w:spacing w:after="0" w:line="12" w:lineRule="exact"/>
        <w:rPr>
          <w:sz w:val="20"/>
          <w:szCs w:val="20"/>
          <w:color w:val="auto"/>
        </w:rPr>
      </w:pPr>
    </w:p>
    <w:p>
      <w:pPr>
        <w:ind w:left="320" w:hanging="231"/>
        <w:spacing w:after="0"/>
        <w:tabs>
          <w:tab w:leader="none" w:pos="320" w:val="left"/>
        </w:tabs>
        <w:numPr>
          <w:ilvl w:val="0"/>
          <w:numId w:val="7"/>
        </w:numPr>
        <w:rPr>
          <w:rFonts w:ascii="Times New Roman" w:cs="Times New Roman" w:eastAsia="Times New Roman" w:hAnsi="Times New Roman"/>
          <w:sz w:val="20"/>
          <w:szCs w:val="20"/>
          <w:color w:val="auto"/>
        </w:rPr>
      </w:pPr>
      <w:r>
        <w:rPr>
          <w:rFonts w:ascii="Calibri" w:cs="Calibri" w:eastAsia="Calibri" w:hAnsi="Calibri"/>
          <w:sz w:val="20"/>
          <w:szCs w:val="20"/>
          <w:u w:val="single" w:color="auto"/>
          <w:color w:val="auto"/>
        </w:rPr>
        <w:t>Crypto-enabled accounts</w:t>
      </w:r>
      <w:r>
        <w:rPr>
          <w:rFonts w:ascii="Calibri" w:cs="Calibri" w:eastAsia="Calibri" w:hAnsi="Calibri"/>
          <w:sz w:val="20"/>
          <w:szCs w:val="20"/>
          <w:color w:val="auto"/>
        </w:rPr>
        <w:t>: total crypto accounts open.</w:t>
      </w:r>
    </w:p>
    <w:p>
      <w:pPr>
        <w:spacing w:after="0" w:line="12" w:lineRule="exact"/>
        <w:rPr>
          <w:rFonts w:ascii="Times New Roman" w:cs="Times New Roman" w:eastAsia="Times New Roman" w:hAnsi="Times New Roman"/>
          <w:sz w:val="20"/>
          <w:szCs w:val="20"/>
          <w:color w:val="auto"/>
        </w:rPr>
      </w:pPr>
    </w:p>
    <w:p>
      <w:pPr>
        <w:ind w:left="340" w:right="420" w:hanging="251"/>
        <w:spacing w:after="0" w:line="232" w:lineRule="auto"/>
        <w:tabs>
          <w:tab w:leader="none" w:pos="328" w:val="left"/>
        </w:tabs>
        <w:numPr>
          <w:ilvl w:val="0"/>
          <w:numId w:val="7"/>
        </w:numPr>
        <w:rPr>
          <w:rFonts w:ascii="Times New Roman" w:cs="Times New Roman" w:eastAsia="Times New Roman" w:hAnsi="Times New Roman"/>
          <w:sz w:val="20"/>
          <w:szCs w:val="20"/>
          <w:color w:val="auto"/>
        </w:rPr>
      </w:pPr>
      <w:r>
        <w:rPr>
          <w:rFonts w:ascii="Calibri" w:cs="Calibri" w:eastAsia="Calibri" w:hAnsi="Calibri"/>
          <w:sz w:val="20"/>
          <w:szCs w:val="20"/>
          <w:u w:val="single" w:color="auto"/>
          <w:color w:val="auto"/>
        </w:rPr>
        <w:t>Transactng accounts</w:t>
      </w:r>
      <w:r>
        <w:rPr>
          <w:rFonts w:ascii="Calibri" w:cs="Calibri" w:eastAsia="Calibri" w:hAnsi="Calibri"/>
          <w:sz w:val="20"/>
          <w:szCs w:val="20"/>
          <w:color w:val="auto"/>
        </w:rPr>
        <w:t>: unique accounts that perform at least one transacton across crypto buy/sell and loyalty redempton each month. Monthly fgures are de-duped for the month. Quarterly fgure represents sum of all months in the quarter.</w:t>
      </w:r>
    </w:p>
    <w:p>
      <w:pPr>
        <w:spacing w:after="0" w:line="24" w:lineRule="exact"/>
        <w:rPr>
          <w:rFonts w:ascii="Times New Roman" w:cs="Times New Roman" w:eastAsia="Times New Roman" w:hAnsi="Times New Roman"/>
          <w:sz w:val="20"/>
          <w:szCs w:val="20"/>
          <w:color w:val="auto"/>
        </w:rPr>
      </w:pPr>
    </w:p>
    <w:p>
      <w:pPr>
        <w:ind w:left="340" w:hanging="251"/>
        <w:spacing w:after="0" w:line="228" w:lineRule="auto"/>
        <w:tabs>
          <w:tab w:leader="none" w:pos="328" w:val="left"/>
        </w:tabs>
        <w:numPr>
          <w:ilvl w:val="0"/>
          <w:numId w:val="7"/>
        </w:numPr>
        <w:rPr>
          <w:rFonts w:ascii="Times New Roman" w:cs="Times New Roman" w:eastAsia="Times New Roman" w:hAnsi="Times New Roman"/>
          <w:sz w:val="20"/>
          <w:szCs w:val="20"/>
          <w:color w:val="auto"/>
        </w:rPr>
      </w:pPr>
      <w:r>
        <w:rPr>
          <w:rFonts w:ascii="Calibri" w:cs="Calibri" w:eastAsia="Calibri" w:hAnsi="Calibri"/>
          <w:sz w:val="20"/>
          <w:szCs w:val="20"/>
          <w:u w:val="single" w:color="auto"/>
          <w:color w:val="auto"/>
        </w:rPr>
        <w:t>Notonal traded volume</w:t>
      </w:r>
      <w:r>
        <w:rPr>
          <w:rFonts w:ascii="Calibri" w:cs="Calibri" w:eastAsia="Calibri" w:hAnsi="Calibri"/>
          <w:sz w:val="20"/>
          <w:szCs w:val="20"/>
          <w:color w:val="auto"/>
        </w:rPr>
        <w:t>: total notonal volume of transactons across crypto buy/sell and loyalty redempton. Figures represent gross values recorded as of order date.</w:t>
      </w:r>
    </w:p>
    <w:p>
      <w:pPr>
        <w:spacing w:after="0" w:line="22" w:lineRule="exact"/>
        <w:rPr>
          <w:rFonts w:ascii="Times New Roman" w:cs="Times New Roman" w:eastAsia="Times New Roman" w:hAnsi="Times New Roman"/>
          <w:sz w:val="20"/>
          <w:szCs w:val="20"/>
          <w:color w:val="auto"/>
        </w:rPr>
      </w:pPr>
    </w:p>
    <w:p>
      <w:pPr>
        <w:ind w:left="340" w:right="80" w:hanging="251"/>
        <w:spacing w:after="0" w:line="228" w:lineRule="auto"/>
        <w:tabs>
          <w:tab w:leader="none" w:pos="328" w:val="left"/>
        </w:tabs>
        <w:numPr>
          <w:ilvl w:val="0"/>
          <w:numId w:val="7"/>
        </w:numPr>
        <w:rPr>
          <w:rFonts w:ascii="Times New Roman" w:cs="Times New Roman" w:eastAsia="Times New Roman" w:hAnsi="Times New Roman"/>
          <w:sz w:val="20"/>
          <w:szCs w:val="20"/>
          <w:color w:val="auto"/>
        </w:rPr>
      </w:pPr>
      <w:r>
        <w:rPr>
          <w:rFonts w:ascii="Calibri" w:cs="Calibri" w:eastAsia="Calibri" w:hAnsi="Calibri"/>
          <w:sz w:val="20"/>
          <w:szCs w:val="20"/>
          <w:u w:val="single" w:color="auto"/>
          <w:color w:val="auto"/>
        </w:rPr>
        <w:t>Assets under custody</w:t>
      </w:r>
      <w:r>
        <w:rPr>
          <w:rFonts w:ascii="Calibri" w:cs="Calibri" w:eastAsia="Calibri" w:hAnsi="Calibri"/>
          <w:sz w:val="20"/>
          <w:szCs w:val="20"/>
          <w:color w:val="auto"/>
        </w:rPr>
        <w:t>: the sum of coin quanttes held by customers multplied by the fnal quote for each coin on the last day of the quarter.</w:t>
      </w:r>
    </w:p>
    <w:p>
      <w:pPr>
        <w:sectPr>
          <w:pgSz w:w="11900" w:h="16838" w:orient="portrait"/>
          <w:cols w:equalWidth="0" w:num="1">
            <w:col w:w="11200"/>
          </w:cols>
          <w:pgMar w:left="320" w:top="1064" w:right="379" w:bottom="1440" w:gutter="0" w:footer="0" w:header="0"/>
        </w:sectPr>
      </w:pPr>
    </w:p>
    <w:bookmarkStart w:id="7" w:name="page8"/>
    <w:bookmarkEnd w:id="7"/>
    <w:p>
      <w:pPr>
        <w:jc w:val="center"/>
        <w:ind w:left="3120"/>
        <w:spacing w:after="0"/>
        <w:rPr>
          <w:sz w:val="20"/>
          <w:szCs w:val="20"/>
          <w:color w:val="auto"/>
        </w:rPr>
      </w:pPr>
      <w:r>
        <w:rPr>
          <w:rFonts w:ascii="Calibri" w:cs="Calibri" w:eastAsia="Calibri" w:hAnsi="Calibri"/>
          <w:sz w:val="20"/>
          <w:szCs w:val="20"/>
          <w:b w:val="1"/>
          <w:bCs w:val="1"/>
          <w:color w:val="auto"/>
        </w:rPr>
        <w:t>Bakkt Q2 2024 Financial Statements</w:t>
      </w:r>
    </w:p>
    <w:p>
      <w:pPr>
        <w:spacing w:after="0" w:line="147" w:lineRule="exact"/>
        <w:rPr>
          <w:sz w:val="20"/>
          <w:szCs w:val="20"/>
          <w:color w:val="auto"/>
        </w:rPr>
      </w:pPr>
    </w:p>
    <w:p>
      <w:pPr>
        <w:ind w:left="4300"/>
        <w:spacing w:after="0"/>
        <w:rPr>
          <w:sz w:val="20"/>
          <w:szCs w:val="20"/>
          <w:color w:val="auto"/>
        </w:rPr>
      </w:pPr>
      <w:r>
        <w:rPr>
          <w:rFonts w:ascii="Calibri" w:cs="Calibri" w:eastAsia="Calibri" w:hAnsi="Calibri"/>
          <w:sz w:val="20"/>
          <w:szCs w:val="20"/>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38100</wp:posOffset>
            </wp:positionV>
            <wp:extent cx="706374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3740" cy="282575"/>
                    </a:xfrm>
                    <a:prstGeom prst="rect">
                      <a:avLst/>
                    </a:prstGeom>
                    <a:noFill/>
                  </pic:spPr>
                </pic:pic>
              </a:graphicData>
            </a:graphic>
          </wp:anchor>
        </w:drawing>
      </w:r>
    </w:p>
    <w:p>
      <w:pPr>
        <w:spacing w:after="0" w:line="238" w:lineRule="exact"/>
        <w:rPr>
          <w:sz w:val="20"/>
          <w:szCs w:val="20"/>
          <w:color w:val="auto"/>
        </w:rPr>
      </w:pPr>
    </w:p>
    <w:p>
      <w:pPr>
        <w:ind w:right="5580" w:firstLine="10"/>
        <w:spacing w:after="0" w:line="329" w:lineRule="auto"/>
        <w:tabs>
          <w:tab w:leader="none" w:pos="119" w:val="left"/>
        </w:tabs>
        <w:numPr>
          <w:ilvl w:val="0"/>
          <w:numId w:val="8"/>
        </w:numPr>
        <w:rPr>
          <w:rFonts w:ascii="Calibri" w:cs="Calibri" w:eastAsia="Calibri" w:hAnsi="Calibri"/>
          <w:sz w:val="16"/>
          <w:szCs w:val="16"/>
          <w:b w:val="1"/>
          <w:bCs w:val="1"/>
          <w:color w:val="FFFFFF"/>
        </w:rPr>
      </w:pPr>
      <w:r>
        <w:rPr>
          <w:rFonts w:ascii="Calibri" w:cs="Calibri" w:eastAsia="Calibri" w:hAnsi="Calibri"/>
          <w:sz w:val="16"/>
          <w:szCs w:val="16"/>
          <w:b w:val="1"/>
          <w:bCs w:val="1"/>
          <w:color w:val="FFFFFF"/>
        </w:rPr>
        <w:t xml:space="preserve">in millions except per share data </w:t>
      </w:r>
      <w:r>
        <w:rPr>
          <w:rFonts w:ascii="Calibri" w:cs="Calibri" w:eastAsia="Calibri" w:hAnsi="Calibri"/>
          <w:sz w:val="16"/>
          <w:szCs w:val="16"/>
          <w:b w:val="1"/>
          <w:bCs w:val="1"/>
          <w:color w:val="000000"/>
        </w:rPr>
        <w:t>Assets</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color w:val="auto"/>
        </w:rPr>
        <w:t>Current assets</w:t>
      </w:r>
    </w:p>
    <w:p>
      <w:pPr>
        <w:spacing w:after="0" w:line="88"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Cash and cash equivalents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Restricted cash</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Customer funds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Available-for-sale securites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Accounts receivable, net</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Prepaid insurance</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Safeguarding asset for crypto</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Other current assets</w:t>
      </w:r>
    </w:p>
    <w:p>
      <w:pPr>
        <w:spacing w:after="0" w:line="88" w:lineRule="exact"/>
        <w:rPr>
          <w:sz w:val="20"/>
          <w:szCs w:val="20"/>
          <w:color w:val="auto"/>
        </w:rPr>
      </w:pPr>
    </w:p>
    <w:p>
      <w:pPr>
        <w:ind w:left="440"/>
        <w:spacing w:after="0"/>
        <w:rPr>
          <w:sz w:val="20"/>
          <w:szCs w:val="20"/>
          <w:color w:val="auto"/>
        </w:rPr>
      </w:pPr>
      <w:r>
        <w:rPr>
          <w:rFonts w:ascii="Calibri" w:cs="Calibri" w:eastAsia="Calibri" w:hAnsi="Calibri"/>
          <w:sz w:val="16"/>
          <w:szCs w:val="16"/>
          <w:b w:val="1"/>
          <w:bCs w:val="1"/>
          <w:color w:val="auto"/>
        </w:rPr>
        <w:t>Total current assets</w:t>
      </w:r>
    </w:p>
    <w:p>
      <w:pPr>
        <w:spacing w:after="0" w:line="61" w:lineRule="exact"/>
        <w:rPr>
          <w:sz w:val="20"/>
          <w:szCs w:val="20"/>
          <w:color w:val="auto"/>
        </w:rPr>
      </w:pPr>
    </w:p>
    <w:p>
      <w:pPr>
        <w:spacing w:after="0"/>
        <w:rPr>
          <w:sz w:val="20"/>
          <w:szCs w:val="20"/>
          <w:color w:val="auto"/>
        </w:rPr>
      </w:pPr>
      <w:r>
        <w:rPr>
          <w:rFonts w:ascii="Calibri" w:cs="Calibri" w:eastAsia="Calibri" w:hAnsi="Calibri"/>
          <w:sz w:val="16"/>
          <w:szCs w:val="16"/>
          <w:color w:val="auto"/>
        </w:rPr>
        <w:t>Property, equipment and sofware, net</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Goodwill</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Intangible assets, net</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Other assets</w:t>
      </w:r>
    </w:p>
    <w:p>
      <w:pPr>
        <w:spacing w:after="0" w:line="115" w:lineRule="exact"/>
        <w:rPr>
          <w:sz w:val="20"/>
          <w:szCs w:val="20"/>
          <w:color w:val="auto"/>
        </w:rPr>
      </w:pPr>
    </w:p>
    <w:p>
      <w:pPr>
        <w:ind w:left="440"/>
        <w:spacing w:after="0"/>
        <w:rPr>
          <w:sz w:val="20"/>
          <w:szCs w:val="20"/>
          <w:color w:val="auto"/>
        </w:rPr>
      </w:pPr>
      <w:r>
        <w:rPr>
          <w:rFonts w:ascii="Calibri" w:cs="Calibri" w:eastAsia="Calibri" w:hAnsi="Calibri"/>
          <w:sz w:val="16"/>
          <w:szCs w:val="16"/>
          <w:b w:val="1"/>
          <w:bCs w:val="1"/>
          <w:color w:val="auto"/>
        </w:rPr>
        <w:t>Total assets</w:t>
      </w:r>
    </w:p>
    <w:p>
      <w:pPr>
        <w:spacing w:after="0" w:line="6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Liabilites and stockholders' equity</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Current liabilites</w:t>
      </w:r>
    </w:p>
    <w:p>
      <w:pPr>
        <w:spacing w:after="0" w:line="88"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Accounts payable and accrued liabilites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Customer funds payable</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Deferred revenue, current</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Due to related party</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Safeguarding obligaton for crypto</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Unsetled crypto trades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Other current liabilites</w:t>
      </w:r>
    </w:p>
    <w:p>
      <w:pPr>
        <w:spacing w:after="0" w:line="88" w:lineRule="exact"/>
        <w:rPr>
          <w:sz w:val="20"/>
          <w:szCs w:val="20"/>
          <w:color w:val="auto"/>
        </w:rPr>
      </w:pPr>
    </w:p>
    <w:p>
      <w:pPr>
        <w:ind w:left="440"/>
        <w:spacing w:after="0"/>
        <w:rPr>
          <w:sz w:val="20"/>
          <w:szCs w:val="20"/>
          <w:color w:val="auto"/>
        </w:rPr>
      </w:pPr>
      <w:r>
        <w:rPr>
          <w:rFonts w:ascii="Calibri" w:cs="Calibri" w:eastAsia="Calibri" w:hAnsi="Calibri"/>
          <w:sz w:val="16"/>
          <w:szCs w:val="16"/>
          <w:b w:val="1"/>
          <w:bCs w:val="1"/>
          <w:color w:val="auto"/>
        </w:rPr>
        <w:t>Total current liabilites</w:t>
      </w:r>
    </w:p>
    <w:p>
      <w:pPr>
        <w:spacing w:after="0" w:line="61" w:lineRule="exact"/>
        <w:rPr>
          <w:sz w:val="20"/>
          <w:szCs w:val="20"/>
          <w:color w:val="auto"/>
        </w:rPr>
      </w:pPr>
    </w:p>
    <w:p>
      <w:pPr>
        <w:spacing w:after="0"/>
        <w:rPr>
          <w:sz w:val="20"/>
          <w:szCs w:val="20"/>
          <w:color w:val="auto"/>
        </w:rPr>
      </w:pPr>
      <w:r>
        <w:rPr>
          <w:rFonts w:ascii="Calibri" w:cs="Calibri" w:eastAsia="Calibri" w:hAnsi="Calibri"/>
          <w:sz w:val="16"/>
          <w:szCs w:val="16"/>
          <w:color w:val="auto"/>
        </w:rPr>
        <w:t>Deferred revenue, noncurrent</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Warrant liability</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Other noncurrent liabilites</w:t>
      </w:r>
    </w:p>
    <w:p>
      <w:pPr>
        <w:spacing w:after="0" w:line="102"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Total liabilites</w:t>
      </w:r>
    </w:p>
    <w:p>
      <w:pPr>
        <w:spacing w:after="0" w:line="61"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Stockholders' equity</w:t>
      </w:r>
    </w:p>
    <w:p>
      <w:pPr>
        <w:spacing w:after="0" w:line="319" w:lineRule="exact"/>
        <w:rPr>
          <w:sz w:val="20"/>
          <w:szCs w:val="20"/>
          <w:color w:val="auto"/>
        </w:rPr>
      </w:pPr>
    </w:p>
    <w:p>
      <w:pPr>
        <w:spacing w:after="0" w:line="279" w:lineRule="auto"/>
        <w:rPr>
          <w:sz w:val="20"/>
          <w:szCs w:val="20"/>
          <w:color w:val="auto"/>
        </w:rPr>
      </w:pPr>
      <w:r>
        <w:rPr>
          <w:rFonts w:ascii="Calibri" w:cs="Calibri" w:eastAsia="Calibri" w:hAnsi="Calibri"/>
          <w:sz w:val="16"/>
          <w:szCs w:val="16"/>
          <w:color w:val="auto"/>
        </w:rPr>
        <w:t>Class A Common Stock ($0.0001 par value, 30,000,000 shares authorized, 6,310,548 shares issued and outstanding as of 6/30/24 and 3,793,837 shares outstanding as of 12/31/23)</w:t>
      </w:r>
    </w:p>
    <w:p>
      <w:pPr>
        <w:spacing w:after="0" w:line="275" w:lineRule="exact"/>
        <w:rPr>
          <w:sz w:val="20"/>
          <w:szCs w:val="20"/>
          <w:color w:val="auto"/>
        </w:rPr>
      </w:pPr>
    </w:p>
    <w:p>
      <w:pPr>
        <w:spacing w:after="0" w:line="279" w:lineRule="auto"/>
        <w:rPr>
          <w:sz w:val="20"/>
          <w:szCs w:val="20"/>
          <w:color w:val="auto"/>
        </w:rPr>
      </w:pPr>
      <w:r>
        <w:rPr>
          <w:rFonts w:ascii="Calibri" w:cs="Calibri" w:eastAsia="Calibri" w:hAnsi="Calibri"/>
          <w:sz w:val="16"/>
          <w:szCs w:val="16"/>
          <w:color w:val="auto"/>
        </w:rPr>
        <w:t>Class V Common Stock ($0.0001 par value, 10,000,000 shares authorized, 7,194,941 shares issued and outstanding as of 3/31/24 and 7,200,064 shares outstanding as of 12/31/23)</w:t>
      </w:r>
    </w:p>
    <w:p>
      <w:pPr>
        <w:spacing w:after="0" w:line="30" w:lineRule="exact"/>
        <w:rPr>
          <w:sz w:val="20"/>
          <w:szCs w:val="20"/>
          <w:color w:val="auto"/>
        </w:rPr>
      </w:pPr>
    </w:p>
    <w:p>
      <w:pPr>
        <w:spacing w:after="0"/>
        <w:rPr>
          <w:sz w:val="20"/>
          <w:szCs w:val="20"/>
          <w:color w:val="auto"/>
        </w:rPr>
      </w:pPr>
      <w:r>
        <w:rPr>
          <w:rFonts w:ascii="Calibri" w:cs="Calibri" w:eastAsia="Calibri" w:hAnsi="Calibri"/>
          <w:sz w:val="16"/>
          <w:szCs w:val="16"/>
          <w:color w:val="auto"/>
        </w:rPr>
        <w:t>Additonal paid-in capital</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Accumulated other comprehensive loss</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Accumulated defcit</w:t>
      </w:r>
    </w:p>
    <w:p>
      <w:pPr>
        <w:spacing w:after="0" w:line="102"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Total stockholders' equity</w:t>
      </w:r>
    </w:p>
    <w:p>
      <w:pPr>
        <w:spacing w:after="0" w:line="61" w:lineRule="exact"/>
        <w:rPr>
          <w:sz w:val="20"/>
          <w:szCs w:val="20"/>
          <w:color w:val="auto"/>
        </w:rPr>
      </w:pPr>
    </w:p>
    <w:p>
      <w:pPr>
        <w:spacing w:after="0"/>
        <w:rPr>
          <w:sz w:val="20"/>
          <w:szCs w:val="20"/>
          <w:color w:val="auto"/>
        </w:rPr>
      </w:pPr>
      <w:r>
        <w:rPr>
          <w:rFonts w:ascii="Calibri" w:cs="Calibri" w:eastAsia="Calibri" w:hAnsi="Calibri"/>
          <w:sz w:val="16"/>
          <w:szCs w:val="16"/>
          <w:color w:val="auto"/>
        </w:rPr>
        <w:t>Noncontrolling interest</w:t>
      </w:r>
    </w:p>
    <w:p>
      <w:pPr>
        <w:spacing w:after="0" w:line="102"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Total equity</w:t>
      </w:r>
    </w:p>
    <w:p>
      <w:pPr>
        <w:spacing w:after="0" w:line="8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Total liabilites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222885</wp:posOffset>
            </wp:positionV>
            <wp:extent cx="70637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Pr>
          <w:p>
            <w:pPr>
              <w:jc w:val="right"/>
              <w:ind w:right="199"/>
              <w:spacing w:after="0"/>
              <w:rPr>
                <w:sz w:val="20"/>
                <w:szCs w:val="20"/>
                <w:color w:val="auto"/>
              </w:rPr>
            </w:pPr>
            <w:r>
              <w:rPr>
                <w:rFonts w:ascii="Calibri" w:cs="Calibri" w:eastAsia="Calibri" w:hAnsi="Calibri"/>
                <w:sz w:val="16"/>
                <w:szCs w:val="16"/>
                <w:b w:val="1"/>
                <w:bCs w:val="1"/>
                <w:color w:val="FFFFFF"/>
              </w:rPr>
              <w:t>As of 6/30/24</w:t>
            </w:r>
          </w:p>
        </w:tc>
        <w:tc>
          <w:tcPr>
            <w:tcW w:w="1360" w:type="dxa"/>
            <w:vAlign w:val="bottom"/>
            <w:vMerge w:val="restart"/>
          </w:tcPr>
          <w:p>
            <w:pPr>
              <w:jc w:val="right"/>
              <w:spacing w:after="0"/>
              <w:rPr>
                <w:sz w:val="20"/>
                <w:szCs w:val="20"/>
                <w:color w:val="auto"/>
              </w:rPr>
            </w:pPr>
            <w:r>
              <w:rPr>
                <w:rFonts w:ascii="Calibri" w:cs="Calibri" w:eastAsia="Calibri" w:hAnsi="Calibri"/>
                <w:sz w:val="16"/>
                <w:szCs w:val="16"/>
                <w:b w:val="1"/>
                <w:bCs w:val="1"/>
                <w:color w:val="FFFFFF"/>
              </w:rPr>
              <w:t>As of 12/31/23</w:t>
            </w:r>
          </w:p>
        </w:tc>
        <w:tc>
          <w:tcPr>
            <w:tcW w:w="0" w:type="dxa"/>
            <w:vAlign w:val="bottom"/>
          </w:tcPr>
          <w:p>
            <w:pPr>
              <w:spacing w:after="0"/>
              <w:rPr>
                <w:sz w:val="1"/>
                <w:szCs w:val="1"/>
                <w:color w:val="auto"/>
              </w:rPr>
            </w:pPr>
          </w:p>
        </w:tc>
      </w:tr>
      <w:tr>
        <w:trPr>
          <w:trHeight w:val="203"/>
        </w:trPr>
        <w:tc>
          <w:tcPr>
            <w:tcW w:w="1800" w:type="dxa"/>
            <w:vAlign w:val="bottom"/>
          </w:tcPr>
          <w:p>
            <w:pPr>
              <w:jc w:val="right"/>
              <w:ind w:right="199"/>
              <w:spacing w:after="0"/>
              <w:rPr>
                <w:sz w:val="20"/>
                <w:szCs w:val="20"/>
                <w:color w:val="auto"/>
              </w:rPr>
            </w:pPr>
            <w:r>
              <w:rPr>
                <w:rFonts w:ascii="Calibri" w:cs="Calibri" w:eastAsia="Calibri" w:hAnsi="Calibri"/>
                <w:sz w:val="16"/>
                <w:szCs w:val="16"/>
                <w:b w:val="1"/>
                <w:bCs w:val="1"/>
                <w:color w:val="FFFFFF"/>
              </w:rPr>
              <w:t>(unaudited)</w:t>
            </w: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97"/>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$47.5</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$52.9</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34.0</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31.8</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53.3</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32.9</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13.2</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17.4</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24.4</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29.7</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5.9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13.0</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974.5</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701.6</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4.5</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3.3</w:t>
            </w:r>
          </w:p>
        </w:tc>
        <w:tc>
          <w:tcPr>
            <w:tcW w:w="0" w:type="dxa"/>
            <w:vAlign w:val="bottom"/>
          </w:tcPr>
          <w:p>
            <w:pPr>
              <w:spacing w:after="0"/>
              <w:rPr>
                <w:sz w:val="1"/>
                <w:szCs w:val="1"/>
                <w:color w:val="auto"/>
              </w:rPr>
            </w:pPr>
          </w:p>
        </w:tc>
      </w:tr>
      <w:tr>
        <w:trPr>
          <w:trHeight w:val="55"/>
        </w:trPr>
        <w:tc>
          <w:tcPr>
            <w:tcW w:w="1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80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1,157.4</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882.6</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1.9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0.1</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68.0</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68.0</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2.9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2.9</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12.7</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13.3</w:t>
            </w:r>
          </w:p>
        </w:tc>
        <w:tc>
          <w:tcPr>
            <w:tcW w:w="0" w:type="dxa"/>
            <w:vAlign w:val="bottom"/>
          </w:tcPr>
          <w:p>
            <w:pPr>
              <w:spacing w:after="0"/>
              <w:rPr>
                <w:sz w:val="1"/>
                <w:szCs w:val="1"/>
                <w:color w:val="auto"/>
              </w:rPr>
            </w:pPr>
          </w:p>
        </w:tc>
      </w:tr>
      <w:tr>
        <w:trPr>
          <w:trHeight w:val="54"/>
        </w:trPr>
        <w:tc>
          <w:tcPr>
            <w:tcW w:w="1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80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$1,242.9</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$966.9</w:t>
            </w:r>
          </w:p>
        </w:tc>
        <w:tc>
          <w:tcPr>
            <w:tcW w:w="0" w:type="dxa"/>
            <w:vAlign w:val="bottom"/>
          </w:tcPr>
          <w:p>
            <w:pPr>
              <w:spacing w:after="0"/>
              <w:rPr>
                <w:sz w:val="1"/>
                <w:szCs w:val="1"/>
                <w:color w:val="auto"/>
              </w:rPr>
            </w:pPr>
          </w:p>
        </w:tc>
      </w:tr>
      <w:tr>
        <w:trPr>
          <w:trHeight w:val="54"/>
        </w:trPr>
        <w:tc>
          <w:tcPr>
            <w:tcW w:w="1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$39.3</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$55.4</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53.3</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32.9</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2.3</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4.3</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2.7</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3.2</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974.5</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701.6</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1.5</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1.0</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3.9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3.7</w:t>
            </w:r>
          </w:p>
        </w:tc>
        <w:tc>
          <w:tcPr>
            <w:tcW w:w="0" w:type="dxa"/>
            <w:vAlign w:val="bottom"/>
          </w:tcPr>
          <w:p>
            <w:pPr>
              <w:spacing w:after="0"/>
              <w:rPr>
                <w:sz w:val="1"/>
                <w:szCs w:val="1"/>
                <w:color w:val="auto"/>
              </w:rPr>
            </w:pPr>
          </w:p>
        </w:tc>
      </w:tr>
      <w:tr>
        <w:trPr>
          <w:trHeight w:val="55"/>
        </w:trPr>
        <w:tc>
          <w:tcPr>
            <w:tcW w:w="1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80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1,077.4</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802.1</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2.8</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3.2</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38.8</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2.4</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21.4</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23.5</w:t>
            </w:r>
          </w:p>
        </w:tc>
        <w:tc>
          <w:tcPr>
            <w:tcW w:w="0" w:type="dxa"/>
            <w:vAlign w:val="bottom"/>
          </w:tcPr>
          <w:p>
            <w:pPr>
              <w:spacing w:after="0"/>
              <w:rPr>
                <w:sz w:val="1"/>
                <w:szCs w:val="1"/>
                <w:color w:val="auto"/>
              </w:rPr>
            </w:pPr>
          </w:p>
        </w:tc>
      </w:tr>
      <w:tr>
        <w:trPr>
          <w:trHeight w:val="54"/>
        </w:trPr>
        <w:tc>
          <w:tcPr>
            <w:tcW w:w="1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80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$1,140.3</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$831.2</w:t>
            </w:r>
          </w:p>
        </w:tc>
        <w:tc>
          <w:tcPr>
            <w:tcW w:w="0" w:type="dxa"/>
            <w:vAlign w:val="bottom"/>
          </w:tcPr>
          <w:p>
            <w:pPr>
              <w:spacing w:after="0"/>
              <w:rPr>
                <w:sz w:val="1"/>
                <w:szCs w:val="1"/>
                <w:color w:val="auto"/>
              </w:rPr>
            </w:pPr>
          </w:p>
        </w:tc>
      </w:tr>
      <w:tr>
        <w:trPr>
          <w:trHeight w:val="1013"/>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0.0</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0.0</w:t>
            </w:r>
          </w:p>
        </w:tc>
        <w:tc>
          <w:tcPr>
            <w:tcW w:w="0" w:type="dxa"/>
            <w:vAlign w:val="bottom"/>
          </w:tcPr>
          <w:p>
            <w:pPr>
              <w:spacing w:after="0"/>
              <w:rPr>
                <w:sz w:val="1"/>
                <w:szCs w:val="1"/>
                <w:color w:val="auto"/>
              </w:rPr>
            </w:pPr>
          </w:p>
        </w:tc>
      </w:tr>
      <w:tr>
        <w:trPr>
          <w:trHeight w:val="729"/>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0.0</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0.0</w:t>
            </w:r>
          </w:p>
        </w:tc>
        <w:tc>
          <w:tcPr>
            <w:tcW w:w="0" w:type="dxa"/>
            <w:vAlign w:val="bottom"/>
          </w:tcPr>
          <w:p>
            <w:pPr>
              <w:spacing w:after="0"/>
              <w:rPr>
                <w:sz w:val="1"/>
                <w:szCs w:val="1"/>
                <w:color w:val="auto"/>
              </w:rPr>
            </w:pPr>
          </w:p>
        </w:tc>
      </w:tr>
      <w:tr>
        <w:trPr>
          <w:trHeight w:val="256"/>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824.0</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799.7</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(0.3)</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(0.1)</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(775.9)</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(751.3)</w:t>
            </w:r>
          </w:p>
        </w:tc>
        <w:tc>
          <w:tcPr>
            <w:tcW w:w="0" w:type="dxa"/>
            <w:vAlign w:val="bottom"/>
          </w:tcPr>
          <w:p>
            <w:pPr>
              <w:spacing w:after="0"/>
              <w:rPr>
                <w:sz w:val="1"/>
                <w:szCs w:val="1"/>
                <w:color w:val="auto"/>
              </w:rPr>
            </w:pPr>
          </w:p>
        </w:tc>
      </w:tr>
      <w:tr>
        <w:trPr>
          <w:trHeight w:val="55"/>
        </w:trPr>
        <w:tc>
          <w:tcPr>
            <w:tcW w:w="1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80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47.8</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48.3</w:t>
            </w:r>
          </w:p>
        </w:tc>
        <w:tc>
          <w:tcPr>
            <w:tcW w:w="0" w:type="dxa"/>
            <w:vAlign w:val="bottom"/>
          </w:tcPr>
          <w:p>
            <w:pPr>
              <w:spacing w:after="0"/>
              <w:rPr>
                <w:sz w:val="1"/>
                <w:szCs w:val="1"/>
                <w:color w:val="auto"/>
              </w:rPr>
            </w:pPr>
          </w:p>
        </w:tc>
      </w:tr>
      <w:tr>
        <w:trPr>
          <w:trHeight w:val="270"/>
        </w:trPr>
        <w:tc>
          <w:tcPr>
            <w:tcW w:w="1800" w:type="dxa"/>
            <w:vAlign w:val="bottom"/>
          </w:tcPr>
          <w:p>
            <w:pPr>
              <w:jc w:val="right"/>
              <w:ind w:right="199"/>
              <w:spacing w:after="0"/>
              <w:rPr>
                <w:sz w:val="20"/>
                <w:szCs w:val="20"/>
                <w:color w:val="auto"/>
              </w:rPr>
            </w:pPr>
            <w:r>
              <w:rPr>
                <w:rFonts w:ascii="Calibri" w:cs="Calibri" w:eastAsia="Calibri" w:hAnsi="Calibri"/>
                <w:sz w:val="16"/>
                <w:szCs w:val="16"/>
                <w:color w:val="auto"/>
              </w:rPr>
              <w:t>54.8</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87.4</w:t>
            </w:r>
          </w:p>
        </w:tc>
        <w:tc>
          <w:tcPr>
            <w:tcW w:w="0" w:type="dxa"/>
            <w:vAlign w:val="bottom"/>
          </w:tcPr>
          <w:p>
            <w:pPr>
              <w:spacing w:after="0"/>
              <w:rPr>
                <w:sz w:val="1"/>
                <w:szCs w:val="1"/>
                <w:color w:val="auto"/>
              </w:rPr>
            </w:pPr>
          </w:p>
        </w:tc>
      </w:tr>
      <w:tr>
        <w:trPr>
          <w:trHeight w:val="55"/>
        </w:trPr>
        <w:tc>
          <w:tcPr>
            <w:tcW w:w="1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80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102.6</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135.7</w:t>
            </w:r>
          </w:p>
        </w:tc>
        <w:tc>
          <w:tcPr>
            <w:tcW w:w="0" w:type="dxa"/>
            <w:vAlign w:val="bottom"/>
          </w:tcPr>
          <w:p>
            <w:pPr>
              <w:spacing w:after="0"/>
              <w:rPr>
                <w:sz w:val="1"/>
                <w:szCs w:val="1"/>
                <w:color w:val="auto"/>
              </w:rPr>
            </w:pPr>
          </w:p>
        </w:tc>
      </w:tr>
      <w:tr>
        <w:trPr>
          <w:trHeight w:val="54"/>
        </w:trPr>
        <w:tc>
          <w:tcPr>
            <w:tcW w:w="1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80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$1,242.9</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$966.9</w:t>
            </w:r>
          </w:p>
        </w:tc>
        <w:tc>
          <w:tcPr>
            <w:tcW w:w="0" w:type="dxa"/>
            <w:vAlign w:val="bottom"/>
          </w:tcPr>
          <w:p>
            <w:pPr>
              <w:spacing w:after="0"/>
              <w:rPr>
                <w:sz w:val="1"/>
                <w:szCs w:val="1"/>
                <w:color w:val="auto"/>
              </w:rPr>
            </w:pPr>
          </w:p>
        </w:tc>
      </w:tr>
      <w:tr>
        <w:trPr>
          <w:trHeight w:val="55"/>
        </w:trPr>
        <w:tc>
          <w:tcPr>
            <w:tcW w:w="18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7880" w:space="20"/>
            <w:col w:w="3160"/>
          </w:cols>
          <w:pgMar w:left="440" w:top="1077" w:right="399" w:bottom="1440" w:gutter="0" w:footer="0" w:header="0"/>
        </w:sectPr>
      </w:pPr>
    </w:p>
    <w:bookmarkStart w:id="8" w:name="page9"/>
    <w:bookmarkEnd w:id="8"/>
    <w:p>
      <w:pPr>
        <w:jc w:val="center"/>
        <w:ind w:right="-319"/>
        <w:spacing w:after="0"/>
        <w:rPr>
          <w:sz w:val="20"/>
          <w:szCs w:val="20"/>
          <w:color w:val="auto"/>
        </w:rPr>
      </w:pPr>
      <w:r>
        <w:rPr>
          <w:rFonts w:ascii="Calibri" w:cs="Calibri" w:eastAsia="Calibri" w:hAnsi="Calibri"/>
          <w:sz w:val="20"/>
          <w:szCs w:val="20"/>
          <w:b w:val="1"/>
          <w:bCs w:val="1"/>
          <w:color w:val="auto"/>
        </w:rPr>
        <w:t>Consolidated Statements of Operatons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132080</wp:posOffset>
            </wp:positionV>
            <wp:extent cx="688340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3400" cy="171450"/>
                    </a:xfrm>
                    <a:prstGeom prst="rect">
                      <a:avLst/>
                    </a:prstGeom>
                    <a:noFill/>
                  </pic:spPr>
                </pic:pic>
              </a:graphicData>
            </a:graphic>
          </wp:anchor>
        </w:drawing>
      </w:r>
    </w:p>
    <w:p>
      <w:pPr>
        <w:sectPr>
          <w:pgSz w:w="11900" w:h="16838" w:orient="portrait"/>
          <w:cols w:equalWidth="0" w:num="1">
            <w:col w:w="10760"/>
          </w:cols>
          <w:pgMar w:left="400" w:top="1064" w:right="739" w:bottom="1440" w:gutter="0" w:footer="0" w:header="0"/>
        </w:sectPr>
      </w:pPr>
    </w:p>
    <w:p>
      <w:pPr>
        <w:spacing w:after="0" w:line="22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FFFFFF"/>
        </w:rPr>
        <w:t>$ in millions except per share data</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Revenues:</w:t>
      </w:r>
    </w:p>
    <w:p>
      <w:pPr>
        <w:spacing w:after="0" w:line="88"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Crypto services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Loyalty services, net</w:t>
      </w:r>
    </w:p>
    <w:p>
      <w:pPr>
        <w:spacing w:after="0" w:line="88" w:lineRule="exact"/>
        <w:rPr>
          <w:sz w:val="20"/>
          <w:szCs w:val="20"/>
          <w:color w:val="auto"/>
        </w:rPr>
      </w:pPr>
    </w:p>
    <w:p>
      <w:pPr>
        <w:ind w:left="460"/>
        <w:spacing w:after="0"/>
        <w:rPr>
          <w:sz w:val="20"/>
          <w:szCs w:val="20"/>
          <w:color w:val="auto"/>
        </w:rPr>
      </w:pPr>
      <w:r>
        <w:rPr>
          <w:rFonts w:ascii="Calibri" w:cs="Calibri" w:eastAsia="Calibri" w:hAnsi="Calibri"/>
          <w:sz w:val="16"/>
          <w:szCs w:val="16"/>
          <w:color w:val="auto"/>
        </w:rPr>
        <w:t>Total revenues</w:t>
      </w:r>
    </w:p>
    <w:p>
      <w:pPr>
        <w:spacing w:after="0" w:line="61" w:lineRule="exact"/>
        <w:rPr>
          <w:sz w:val="20"/>
          <w:szCs w:val="20"/>
          <w:color w:val="auto"/>
        </w:rPr>
      </w:pPr>
    </w:p>
    <w:p>
      <w:pPr>
        <w:spacing w:after="0"/>
        <w:rPr>
          <w:sz w:val="20"/>
          <w:szCs w:val="20"/>
          <w:color w:val="auto"/>
        </w:rPr>
      </w:pPr>
      <w:r>
        <w:rPr>
          <w:rFonts w:ascii="Calibri" w:cs="Calibri" w:eastAsia="Calibri" w:hAnsi="Calibri"/>
          <w:sz w:val="16"/>
          <w:szCs w:val="16"/>
          <w:color w:val="auto"/>
        </w:rPr>
        <w:t>Operatng expenses:</w:t>
      </w:r>
    </w:p>
    <w:p>
      <w:pPr>
        <w:spacing w:after="0" w:line="88"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Crypto costs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Executon, clearing and brokerage fees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Compensaton and benefts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Professional services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Technology and communicaton</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Selling, general and administratve</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Acquisiton-related expenses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Depreciaton and amortzaton</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Related party expenses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Impairment of long-lived assets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Restructuring expenses</w:t>
      </w:r>
    </w:p>
    <w:p>
      <w:pPr>
        <w:spacing w:after="0" w:line="75"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Other operatng expenses</w:t>
      </w:r>
    </w:p>
    <w:p>
      <w:pPr>
        <w:spacing w:after="0" w:line="88" w:lineRule="exact"/>
        <w:rPr>
          <w:sz w:val="20"/>
          <w:szCs w:val="20"/>
          <w:color w:val="auto"/>
        </w:rPr>
      </w:pPr>
    </w:p>
    <w:p>
      <w:pPr>
        <w:ind w:left="460"/>
        <w:spacing w:after="0"/>
        <w:rPr>
          <w:sz w:val="20"/>
          <w:szCs w:val="20"/>
          <w:color w:val="auto"/>
        </w:rPr>
      </w:pPr>
      <w:r>
        <w:rPr>
          <w:rFonts w:ascii="Calibri" w:cs="Calibri" w:eastAsia="Calibri" w:hAnsi="Calibri"/>
          <w:sz w:val="16"/>
          <w:szCs w:val="16"/>
          <w:color w:val="auto"/>
        </w:rPr>
        <w:t>Total operatng expenses</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Operatng loss</w:t>
      </w:r>
    </w:p>
    <w:p>
      <w:pPr>
        <w:spacing w:after="0" w:line="102"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Interest income, net</w:t>
      </w:r>
    </w:p>
    <w:p>
      <w:pPr>
        <w:spacing w:after="0" w:line="76" w:lineRule="exact"/>
        <w:rPr>
          <w:sz w:val="20"/>
          <w:szCs w:val="20"/>
          <w:color w:val="auto"/>
        </w:rPr>
      </w:pPr>
    </w:p>
    <w:p>
      <w:pPr>
        <w:ind w:left="140" w:right="2100"/>
        <w:spacing w:after="0" w:line="329" w:lineRule="auto"/>
        <w:rPr>
          <w:sz w:val="20"/>
          <w:szCs w:val="20"/>
          <w:color w:val="auto"/>
        </w:rPr>
      </w:pPr>
      <w:r>
        <w:rPr>
          <w:rFonts w:ascii="Calibri" w:cs="Calibri" w:eastAsia="Calibri" w:hAnsi="Calibri"/>
          <w:sz w:val="16"/>
          <w:szCs w:val="16"/>
          <w:color w:val="auto"/>
        </w:rPr>
        <w:t>Gain (loss) from change in fair value of warrant liability Other income (expense), net</w:t>
      </w:r>
    </w:p>
    <w:p>
      <w:pPr>
        <w:spacing w:after="0" w:line="3"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Loss before income taxes</w:t>
      </w:r>
    </w:p>
    <w:p>
      <w:pPr>
        <w:spacing w:after="0" w:line="88"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Income tax expense</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Net loss</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Less: Net loss atributable to noncontrolling interest</w:t>
      </w:r>
    </w:p>
    <w:p>
      <w:pPr>
        <w:spacing w:after="0" w:line="10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Net loss atributable to Bakkt Holdings, Inc.</w:t>
      </w:r>
    </w:p>
    <w:p>
      <w:pPr>
        <w:spacing w:after="0" w:line="291" w:lineRule="exact"/>
        <w:rPr>
          <w:sz w:val="20"/>
          <w:szCs w:val="20"/>
          <w:color w:val="auto"/>
        </w:rPr>
      </w:pPr>
    </w:p>
    <w:p>
      <w:pPr>
        <w:spacing w:after="0"/>
        <w:rPr>
          <w:sz w:val="20"/>
          <w:szCs w:val="20"/>
          <w:color w:val="auto"/>
        </w:rPr>
      </w:pPr>
      <w:r>
        <w:rPr>
          <w:rFonts w:ascii="Calibri" w:cs="Calibri" w:eastAsia="Calibri" w:hAnsi="Calibri"/>
          <w:sz w:val="16"/>
          <w:szCs w:val="16"/>
          <w:color w:val="auto"/>
        </w:rPr>
        <w:t>Net loss per share atributable to Class A Common Stockholders</w:t>
      </w:r>
    </w:p>
    <w:p>
      <w:pPr>
        <w:spacing w:after="0" w:line="88"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Basic</w:t>
      </w:r>
    </w:p>
    <w:p>
      <w:pPr>
        <w:spacing w:after="0" w:line="75" w:lineRule="exact"/>
        <w:rPr>
          <w:sz w:val="20"/>
          <w:szCs w:val="20"/>
          <w:color w:val="auto"/>
        </w:rPr>
      </w:pPr>
    </w:p>
    <w:p>
      <w:pPr>
        <w:ind w:left="300"/>
        <w:spacing w:after="0"/>
        <w:rPr>
          <w:sz w:val="20"/>
          <w:szCs w:val="20"/>
          <w:color w:val="auto"/>
        </w:rPr>
      </w:pPr>
      <w:r>
        <w:rPr>
          <w:rFonts w:ascii="Calibri" w:cs="Calibri" w:eastAsia="Calibri" w:hAnsi="Calibri"/>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154940</wp:posOffset>
            </wp:positionV>
            <wp:extent cx="6883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920" w:type="dxa"/>
            <w:vAlign w:val="bottom"/>
          </w:tcPr>
          <w:p>
            <w:pPr>
              <w:jc w:val="right"/>
              <w:ind w:right="679"/>
              <w:spacing w:after="0"/>
              <w:rPr>
                <w:sz w:val="20"/>
                <w:szCs w:val="20"/>
                <w:color w:val="auto"/>
              </w:rPr>
            </w:pPr>
            <w:r>
              <w:rPr>
                <w:rFonts w:ascii="Calibri" w:cs="Calibri" w:eastAsia="Calibri" w:hAnsi="Calibri"/>
                <w:sz w:val="16"/>
                <w:szCs w:val="16"/>
                <w:b w:val="1"/>
                <w:bCs w:val="1"/>
                <w:color w:val="FFFFFF"/>
              </w:rPr>
              <w:t>2Q24</w:t>
            </w: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FFFFFF"/>
              </w:rPr>
              <w:t>2Q23</w:t>
            </w:r>
          </w:p>
        </w:tc>
      </w:tr>
      <w:tr>
        <w:trPr>
          <w:trHeight w:val="54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$497.1</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$335.3</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12.8</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12.3</w:t>
            </w:r>
          </w:p>
        </w:tc>
      </w:tr>
      <w:tr>
        <w:trPr>
          <w:trHeight w:val="55"/>
        </w:trPr>
        <w:tc>
          <w:tcPr>
            <w:tcW w:w="29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509.9</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347.6</w:t>
            </w:r>
          </w:p>
        </w:tc>
      </w:tr>
      <w:tr>
        <w:trPr>
          <w:trHeight w:val="54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491.7</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331.8</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3.4</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2.2</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22.4</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27.1</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3.6</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2.9</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3.7</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4.4</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5.5</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7.6</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0.1</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17.0</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0.1</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3.8</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0.2</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1.5</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0.9</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0.2</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0.4</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0.2</w:t>
            </w:r>
          </w:p>
        </w:tc>
      </w:tr>
      <w:tr>
        <w:trPr>
          <w:trHeight w:val="55"/>
        </w:trPr>
        <w:tc>
          <w:tcPr>
            <w:tcW w:w="29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531.9</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398.7</w:t>
            </w:r>
          </w:p>
        </w:tc>
      </w:tr>
      <w:tr>
        <w:trPr>
          <w:trHeight w:val="55"/>
        </w:trPr>
        <w:tc>
          <w:tcPr>
            <w:tcW w:w="29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2920" w:type="dxa"/>
            <w:vAlign w:val="bottom"/>
          </w:tcPr>
          <w:p>
            <w:pPr>
              <w:jc w:val="right"/>
              <w:ind w:right="679"/>
              <w:spacing w:after="0"/>
              <w:rPr>
                <w:sz w:val="20"/>
                <w:szCs w:val="20"/>
                <w:color w:val="auto"/>
              </w:rPr>
            </w:pPr>
            <w:r>
              <w:rPr>
                <w:rFonts w:ascii="Calibri" w:cs="Calibri" w:eastAsia="Calibri" w:hAnsi="Calibri"/>
                <w:sz w:val="16"/>
                <w:szCs w:val="16"/>
                <w:b w:val="1"/>
                <w:bCs w:val="1"/>
                <w:color w:val="auto"/>
              </w:rPr>
              <w:t>(22.0)</w:t>
            </w: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(51.1)</w:t>
            </w:r>
          </w:p>
        </w:tc>
      </w:tr>
      <w:tr>
        <w:trPr>
          <w:trHeight w:val="55"/>
        </w:trPr>
        <w:tc>
          <w:tcPr>
            <w:tcW w:w="29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1.2</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0.7</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(15.1)</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0.4</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0.4</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(0.3)</w:t>
            </w:r>
          </w:p>
        </w:tc>
      </w:tr>
      <w:tr>
        <w:trPr>
          <w:trHeight w:val="55"/>
        </w:trPr>
        <w:tc>
          <w:tcPr>
            <w:tcW w:w="29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2920" w:type="dxa"/>
            <w:vAlign w:val="bottom"/>
          </w:tcPr>
          <w:p>
            <w:pPr>
              <w:jc w:val="right"/>
              <w:ind w:right="679"/>
              <w:spacing w:after="0"/>
              <w:rPr>
                <w:sz w:val="20"/>
                <w:szCs w:val="20"/>
                <w:color w:val="auto"/>
              </w:rPr>
            </w:pPr>
            <w:r>
              <w:rPr>
                <w:rFonts w:ascii="Calibri" w:cs="Calibri" w:eastAsia="Calibri" w:hAnsi="Calibri"/>
                <w:sz w:val="16"/>
                <w:szCs w:val="16"/>
                <w:b w:val="1"/>
                <w:bCs w:val="1"/>
                <w:color w:val="auto"/>
              </w:rPr>
              <w:t>(35.4)</w:t>
            </w: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(50.4)</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(0.1)</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(0.2)</w:t>
            </w:r>
          </w:p>
        </w:tc>
      </w:tr>
      <w:tr>
        <w:trPr>
          <w:trHeight w:val="54"/>
        </w:trPr>
        <w:tc>
          <w:tcPr>
            <w:tcW w:w="29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2920" w:type="dxa"/>
            <w:vAlign w:val="bottom"/>
          </w:tcPr>
          <w:p>
            <w:pPr>
              <w:jc w:val="right"/>
              <w:ind w:right="679"/>
              <w:spacing w:after="0"/>
              <w:rPr>
                <w:sz w:val="20"/>
                <w:szCs w:val="20"/>
                <w:color w:val="auto"/>
              </w:rPr>
            </w:pPr>
            <w:r>
              <w:rPr>
                <w:rFonts w:ascii="Calibri" w:cs="Calibri" w:eastAsia="Calibri" w:hAnsi="Calibri"/>
                <w:sz w:val="16"/>
                <w:szCs w:val="16"/>
                <w:b w:val="1"/>
                <w:bCs w:val="1"/>
                <w:color w:val="auto"/>
              </w:rPr>
              <w:t>(35.5)</w:t>
            </w: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(50.5)</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(19.1)</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(33.7)</w:t>
            </w:r>
          </w:p>
        </w:tc>
      </w:tr>
      <w:tr>
        <w:trPr>
          <w:trHeight w:val="55"/>
        </w:trPr>
        <w:tc>
          <w:tcPr>
            <w:tcW w:w="29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2920" w:type="dxa"/>
            <w:vAlign w:val="bottom"/>
          </w:tcPr>
          <w:p>
            <w:pPr>
              <w:jc w:val="right"/>
              <w:ind w:right="679"/>
              <w:spacing w:after="0"/>
              <w:rPr>
                <w:sz w:val="20"/>
                <w:szCs w:val="20"/>
                <w:color w:val="auto"/>
              </w:rPr>
            </w:pPr>
            <w:r>
              <w:rPr>
                <w:rFonts w:ascii="Calibri" w:cs="Calibri" w:eastAsia="Calibri" w:hAnsi="Calibri"/>
                <w:sz w:val="16"/>
                <w:szCs w:val="16"/>
                <w:b w:val="1"/>
                <w:bCs w:val="1"/>
                <w:color w:val="auto"/>
              </w:rPr>
              <w:t>($16.4)</w:t>
            </w:r>
          </w:p>
        </w:tc>
        <w:tc>
          <w:tcPr>
            <w:tcW w:w="1300" w:type="dxa"/>
            <w:vAlign w:val="bottom"/>
          </w:tcPr>
          <w:p>
            <w:pPr>
              <w:jc w:val="right"/>
              <w:spacing w:after="0"/>
              <w:rPr>
                <w:sz w:val="20"/>
                <w:szCs w:val="20"/>
                <w:color w:val="auto"/>
              </w:rPr>
            </w:pPr>
            <w:r>
              <w:rPr>
                <w:rFonts w:ascii="Calibri" w:cs="Calibri" w:eastAsia="Calibri" w:hAnsi="Calibri"/>
                <w:sz w:val="16"/>
                <w:szCs w:val="16"/>
                <w:b w:val="1"/>
                <w:bCs w:val="1"/>
                <w:color w:val="auto"/>
              </w:rPr>
              <w:t>($16.8)</w:t>
            </w:r>
          </w:p>
        </w:tc>
      </w:tr>
      <w:tr>
        <w:trPr>
          <w:trHeight w:val="55"/>
        </w:trPr>
        <w:tc>
          <w:tcPr>
            <w:tcW w:w="29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5"/>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($2.67)</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($4.69)</w:t>
            </w:r>
          </w:p>
        </w:tc>
      </w:tr>
      <w:tr>
        <w:trPr>
          <w:trHeight w:val="270"/>
        </w:trPr>
        <w:tc>
          <w:tcPr>
            <w:tcW w:w="2920" w:type="dxa"/>
            <w:vAlign w:val="bottom"/>
          </w:tcPr>
          <w:p>
            <w:pPr>
              <w:jc w:val="right"/>
              <w:ind w:right="679"/>
              <w:spacing w:after="0"/>
              <w:rPr>
                <w:sz w:val="20"/>
                <w:szCs w:val="20"/>
                <w:color w:val="auto"/>
              </w:rPr>
            </w:pPr>
            <w:r>
              <w:rPr>
                <w:rFonts w:ascii="Calibri" w:cs="Calibri" w:eastAsia="Calibri" w:hAnsi="Calibri"/>
                <w:sz w:val="16"/>
                <w:szCs w:val="16"/>
                <w:color w:val="auto"/>
              </w:rPr>
              <w:t>($2.67)</w:t>
            </w:r>
          </w:p>
        </w:tc>
        <w:tc>
          <w:tcPr>
            <w:tcW w:w="1300" w:type="dxa"/>
            <w:vAlign w:val="bottom"/>
          </w:tcPr>
          <w:p>
            <w:pPr>
              <w:jc w:val="right"/>
              <w:spacing w:after="0"/>
              <w:rPr>
                <w:sz w:val="20"/>
                <w:szCs w:val="20"/>
                <w:color w:val="auto"/>
              </w:rPr>
            </w:pPr>
            <w:r>
              <w:rPr>
                <w:rFonts w:ascii="Calibri" w:cs="Calibri" w:eastAsia="Calibri" w:hAnsi="Calibri"/>
                <w:sz w:val="16"/>
                <w:szCs w:val="16"/>
                <w:color w:val="auto"/>
              </w:rPr>
              <w:t>($4.69)</w:t>
            </w:r>
          </w:p>
        </w:tc>
      </w:tr>
    </w:tbl>
    <w:p>
      <w:pPr>
        <w:sectPr>
          <w:pgSz w:w="11900" w:h="16838" w:orient="portrait"/>
          <w:cols w:equalWidth="0" w:num="2">
            <w:col w:w="5820" w:space="720"/>
            <w:col w:w="4220"/>
          </w:cols>
          <w:pgMar w:left="400" w:top="1064" w:right="739" w:bottom="1440" w:gutter="0" w:footer="0" w:header="0"/>
          <w:type w:val="continuous"/>
        </w:sectPr>
      </w:pPr>
    </w:p>
    <w:bookmarkStart w:id="9" w:name="page10"/>
    <w:bookmarkEnd w:id="9"/>
    <w:p>
      <w:pPr>
        <w:ind w:left="3380"/>
        <w:spacing w:after="0"/>
        <w:rPr>
          <w:sz w:val="20"/>
          <w:szCs w:val="20"/>
          <w:color w:val="auto"/>
        </w:rPr>
      </w:pPr>
      <w:r>
        <w:rPr>
          <w:rFonts w:ascii="Calibri" w:cs="Calibri" w:eastAsia="Calibri" w:hAnsi="Calibri"/>
          <w:sz w:val="20"/>
          <w:szCs w:val="20"/>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132080</wp:posOffset>
            </wp:positionV>
            <wp:extent cx="687514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5145" cy="18859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FFFFFF"/>
        </w:rPr>
        <w:t>$ in millions</w:t>
      </w:r>
    </w:p>
    <w:p>
      <w:pPr>
        <w:spacing w:after="0" w:line="8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Cash fows from operatng actvites:</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color w:val="auto"/>
        </w:rPr>
        <w:t>Net loss</w:t>
      </w:r>
    </w:p>
    <w:p>
      <w:pPr>
        <w:spacing w:after="0" w:line="75"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Adjustments to reconcile net loss to net cash provided by (used in) operatng actvites:</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Depreciaton and amortzaton</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Non-cash lease expense</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Share-based compensaton expense</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Unit-based compensaton expense</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Loss on disposal of assets</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(Gain) loss from change in fair value of warrant liability</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Other</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Changes in operatng assets and liabilites:</w:t>
      </w:r>
    </w:p>
    <w:p>
      <w:pPr>
        <w:spacing w:after="0" w:line="75"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Accounts receivable</w:t>
      </w:r>
    </w:p>
    <w:p>
      <w:pPr>
        <w:spacing w:after="0" w:line="75"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Prepaid insurance</w:t>
      </w:r>
    </w:p>
    <w:p>
      <w:pPr>
        <w:spacing w:after="0" w:line="75"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Accounts payable and accrued liabilites</w:t>
      </w:r>
    </w:p>
    <w:p>
      <w:pPr>
        <w:spacing w:after="0" w:line="75"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Unsetled crypto trades</w:t>
      </w:r>
    </w:p>
    <w:p>
      <w:pPr>
        <w:spacing w:after="0" w:line="75"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Due to related party</w:t>
      </w:r>
    </w:p>
    <w:p>
      <w:pPr>
        <w:spacing w:after="0" w:line="75"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Deferred revenue</w:t>
      </w:r>
    </w:p>
    <w:p>
      <w:pPr>
        <w:spacing w:after="0" w:line="75"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Operatng lease liabilites</w:t>
      </w:r>
    </w:p>
    <w:p>
      <w:pPr>
        <w:spacing w:after="0" w:line="75"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Customer funds payable</w:t>
      </w:r>
    </w:p>
    <w:p>
      <w:pPr>
        <w:spacing w:after="0" w:line="75" w:lineRule="exact"/>
        <w:rPr>
          <w:sz w:val="20"/>
          <w:szCs w:val="20"/>
          <w:color w:val="auto"/>
        </w:rPr>
      </w:pPr>
    </w:p>
    <w:p>
      <w:pPr>
        <w:ind w:left="540"/>
        <w:spacing w:after="0"/>
        <w:rPr>
          <w:sz w:val="20"/>
          <w:szCs w:val="20"/>
          <w:color w:val="auto"/>
        </w:rPr>
      </w:pPr>
      <w:r>
        <w:rPr>
          <w:rFonts w:ascii="Calibri" w:cs="Calibri" w:eastAsia="Calibri" w:hAnsi="Calibri"/>
          <w:sz w:val="16"/>
          <w:szCs w:val="16"/>
          <w:color w:val="auto"/>
        </w:rPr>
        <w:t>Other assets and liabilites</w:t>
      </w:r>
    </w:p>
    <w:p>
      <w:pPr>
        <w:spacing w:after="0" w:line="88" w:lineRule="exact"/>
        <w:rPr>
          <w:sz w:val="20"/>
          <w:szCs w:val="20"/>
          <w:color w:val="auto"/>
        </w:rPr>
      </w:pPr>
    </w:p>
    <w:p>
      <w:pPr>
        <w:spacing w:after="0"/>
        <w:rPr>
          <w:sz w:val="20"/>
          <w:szCs w:val="20"/>
          <w:color w:val="auto"/>
        </w:rPr>
      </w:pPr>
      <w:r>
        <w:rPr>
          <w:rFonts w:ascii="Calibri" w:cs="Calibri" w:eastAsia="Calibri" w:hAnsi="Calibri"/>
          <w:sz w:val="16"/>
          <w:szCs w:val="16"/>
          <w:color w:val="auto"/>
        </w:rPr>
        <w:t>Net cash provided by (used in) operatng actvites</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Cash fows from investng actvites:</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Capitalized internal-use sofware development costs and other capital expenditures</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Purchase of available-for-sale securites</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Proceeds from the setlement of available-for-sale securites</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Acquisiton of Bumped Financial, LLC</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Acquisiton of Apex Crypto LLC, net of cash acquired</w:t>
      </w:r>
    </w:p>
    <w:p>
      <w:pPr>
        <w:spacing w:after="0" w:line="88" w:lineRule="exact"/>
        <w:rPr>
          <w:sz w:val="20"/>
          <w:szCs w:val="20"/>
          <w:color w:val="auto"/>
        </w:rPr>
      </w:pPr>
    </w:p>
    <w:p>
      <w:pPr>
        <w:spacing w:after="0"/>
        <w:rPr>
          <w:sz w:val="20"/>
          <w:szCs w:val="20"/>
          <w:color w:val="auto"/>
        </w:rPr>
      </w:pPr>
      <w:r>
        <w:rPr>
          <w:rFonts w:ascii="Calibri" w:cs="Calibri" w:eastAsia="Calibri" w:hAnsi="Calibri"/>
          <w:sz w:val="16"/>
          <w:szCs w:val="16"/>
          <w:color w:val="auto"/>
        </w:rPr>
        <w:t>Net cash (used in) provided by investng actvites</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Cash fows from fnancing actvites:</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Proceeds from Concurrent Oferings, net of issuance costs</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Proceeds from the exercise of warrants</w:t>
      </w:r>
    </w:p>
    <w:p>
      <w:pPr>
        <w:spacing w:after="0" w:line="7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Repurchase and retrement of Class A Common Stock</w:t>
      </w:r>
    </w:p>
    <w:p>
      <w:pPr>
        <w:spacing w:after="0" w:line="88" w:lineRule="exact"/>
        <w:rPr>
          <w:sz w:val="20"/>
          <w:szCs w:val="20"/>
          <w:color w:val="auto"/>
        </w:rPr>
      </w:pPr>
    </w:p>
    <w:p>
      <w:pPr>
        <w:spacing w:after="0"/>
        <w:rPr>
          <w:sz w:val="20"/>
          <w:szCs w:val="20"/>
          <w:color w:val="auto"/>
        </w:rPr>
      </w:pPr>
      <w:r>
        <w:rPr>
          <w:rFonts w:ascii="Calibri" w:cs="Calibri" w:eastAsia="Calibri" w:hAnsi="Calibri"/>
          <w:sz w:val="16"/>
          <w:szCs w:val="16"/>
          <w:color w:val="auto"/>
        </w:rPr>
        <w:t>Net cash provided by (used in) fnancing actvites</w:t>
      </w:r>
    </w:p>
    <w:p>
      <w:pPr>
        <w:spacing w:after="0" w:line="8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Efect of exchange rate changes</w:t>
      </w:r>
    </w:p>
    <w:p>
      <w:pPr>
        <w:spacing w:after="0" w:line="7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Net increase (decrease) in cash, cash equivalents, restricted cash, cash held in escrow, customer funds and deposits</w:t>
      </w:r>
    </w:p>
    <w:p>
      <w:pPr>
        <w:spacing w:after="0" w:line="76" w:lineRule="exact"/>
        <w:rPr>
          <w:sz w:val="20"/>
          <w:szCs w:val="20"/>
          <w:color w:val="auto"/>
        </w:rPr>
      </w:pPr>
    </w:p>
    <w:p>
      <w:pPr>
        <w:ind w:right="1220"/>
        <w:spacing w:after="0" w:line="362" w:lineRule="auto"/>
        <w:rPr>
          <w:sz w:val="20"/>
          <w:szCs w:val="20"/>
          <w:color w:val="auto"/>
        </w:rPr>
      </w:pPr>
      <w:r>
        <w:rPr>
          <w:rFonts w:ascii="Calibri" w:cs="Calibri" w:eastAsia="Calibri" w:hAnsi="Calibri"/>
          <w:sz w:val="16"/>
          <w:szCs w:val="16"/>
          <w:color w:val="auto"/>
        </w:rPr>
        <w:t>Cash, cash equivalents, restricted cash, customer funds and deposits at the beginning of the period Cash, cash equivalents, restricted cash, customer funds and deposits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83185</wp:posOffset>
            </wp:positionV>
            <wp:extent cx="6875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900" w:type="dxa"/>
        <w:tblCellMar>
          <w:top w:w="0" w:type="dxa"/>
          <w:left w:w="0" w:type="dxa"/>
          <w:bottom w:w="0" w:type="dxa"/>
          <w:right w:w="0" w:type="dxa"/>
        </w:tblCellMar>
      </w:tblPr>
      <w:tr>
        <w:trPr>
          <w:trHeight w:val="195"/>
        </w:trPr>
        <w:tc>
          <w:tcPr>
            <w:tcW w:w="920" w:type="dxa"/>
            <w:vAlign w:val="bottom"/>
          </w:tcPr>
          <w:p>
            <w:pPr>
              <w:jc w:val="right"/>
              <w:ind w:right="419"/>
              <w:spacing w:after="0"/>
              <w:rPr>
                <w:sz w:val="20"/>
                <w:szCs w:val="20"/>
                <w:color w:val="auto"/>
              </w:rPr>
            </w:pPr>
            <w:r>
              <w:rPr>
                <w:rFonts w:ascii="Calibri" w:cs="Calibri" w:eastAsia="Calibri" w:hAnsi="Calibri"/>
                <w:sz w:val="16"/>
                <w:szCs w:val="16"/>
                <w:b w:val="1"/>
                <w:bCs w:val="1"/>
                <w:color w:val="FFFFFF"/>
              </w:rPr>
              <w:t>2Q24</w:t>
            </w:r>
          </w:p>
        </w:tc>
        <w:tc>
          <w:tcPr>
            <w:tcW w:w="920" w:type="dxa"/>
            <w:vAlign w:val="bottom"/>
          </w:tcPr>
          <w:p>
            <w:pPr>
              <w:jc w:val="right"/>
              <w:spacing w:after="0"/>
              <w:rPr>
                <w:sz w:val="20"/>
                <w:szCs w:val="20"/>
                <w:color w:val="auto"/>
              </w:rPr>
            </w:pPr>
            <w:r>
              <w:rPr>
                <w:rFonts w:ascii="Calibri" w:cs="Calibri" w:eastAsia="Calibri" w:hAnsi="Calibri"/>
                <w:sz w:val="16"/>
                <w:szCs w:val="16"/>
                <w:b w:val="1"/>
                <w:bCs w:val="1"/>
                <w:color w:val="FFFFFF"/>
              </w:rPr>
              <w:t>2Q23</w:t>
            </w:r>
          </w:p>
        </w:tc>
      </w:tr>
      <w:tr>
        <w:trPr>
          <w:trHeight w:val="553"/>
        </w:trPr>
        <w:tc>
          <w:tcPr>
            <w:tcW w:w="920" w:type="dxa"/>
            <w:vAlign w:val="bottom"/>
          </w:tcPr>
          <w:p>
            <w:pPr>
              <w:jc w:val="right"/>
              <w:ind w:right="379"/>
              <w:spacing w:after="0"/>
              <w:rPr>
                <w:sz w:val="20"/>
                <w:szCs w:val="20"/>
                <w:color w:val="auto"/>
              </w:rPr>
            </w:pPr>
            <w:r>
              <w:rPr>
                <w:rFonts w:ascii="Calibri" w:cs="Calibri" w:eastAsia="Calibri" w:hAnsi="Calibri"/>
                <w:sz w:val="16"/>
                <w:szCs w:val="16"/>
                <w:color w:val="auto"/>
                <w:w w:val="95"/>
              </w:rPr>
              <w:t>($35.5)</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($50.5)</w:t>
            </w:r>
          </w:p>
        </w:tc>
      </w:tr>
      <w:tr>
        <w:trPr>
          <w:trHeight w:val="540"/>
        </w:trPr>
        <w:tc>
          <w:tcPr>
            <w:tcW w:w="920" w:type="dxa"/>
            <w:vAlign w:val="bottom"/>
          </w:tcPr>
          <w:p>
            <w:pPr>
              <w:jc w:val="right"/>
              <w:ind w:right="379"/>
              <w:spacing w:after="0"/>
              <w:rPr>
                <w:sz w:val="20"/>
                <w:szCs w:val="20"/>
                <w:color w:val="auto"/>
              </w:rPr>
            </w:pPr>
            <w:r>
              <w:rPr>
                <w:rFonts w:ascii="Calibri" w:cs="Calibri" w:eastAsia="Calibri" w:hAnsi="Calibri"/>
                <w:sz w:val="16"/>
                <w:szCs w:val="16"/>
                <w:color w:val="auto"/>
              </w:rPr>
              <w:t>0.1</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3.8</w:t>
            </w:r>
          </w:p>
        </w:tc>
      </w:tr>
      <w:tr>
        <w:trPr>
          <w:trHeight w:val="270"/>
        </w:trPr>
        <w:tc>
          <w:tcPr>
            <w:tcW w:w="920" w:type="dxa"/>
            <w:vAlign w:val="bottom"/>
          </w:tcPr>
          <w:p>
            <w:pPr>
              <w:jc w:val="right"/>
              <w:ind w:right="379"/>
              <w:spacing w:after="0"/>
              <w:rPr>
                <w:sz w:val="20"/>
                <w:szCs w:val="20"/>
                <w:color w:val="auto"/>
              </w:rPr>
            </w:pPr>
            <w:r>
              <w:rPr>
                <w:rFonts w:ascii="Calibri" w:cs="Calibri" w:eastAsia="Calibri" w:hAnsi="Calibri"/>
                <w:sz w:val="16"/>
                <w:szCs w:val="16"/>
                <w:color w:val="auto"/>
              </w:rPr>
              <w:t>0.4</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0.7</w:t>
            </w:r>
          </w:p>
        </w:tc>
      </w:tr>
      <w:tr>
        <w:trPr>
          <w:trHeight w:val="270"/>
        </w:trPr>
        <w:tc>
          <w:tcPr>
            <w:tcW w:w="920" w:type="dxa"/>
            <w:vAlign w:val="bottom"/>
          </w:tcPr>
          <w:p>
            <w:pPr>
              <w:jc w:val="right"/>
              <w:ind w:right="379"/>
              <w:spacing w:after="0"/>
              <w:rPr>
                <w:sz w:val="20"/>
                <w:szCs w:val="20"/>
                <w:color w:val="auto"/>
              </w:rPr>
            </w:pPr>
            <w:r>
              <w:rPr>
                <w:rFonts w:ascii="Calibri" w:cs="Calibri" w:eastAsia="Calibri" w:hAnsi="Calibri"/>
                <w:sz w:val="16"/>
                <w:szCs w:val="16"/>
                <w:color w:val="auto"/>
              </w:rPr>
              <w:t>2.4</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4.1</w:t>
            </w:r>
          </w:p>
        </w:tc>
      </w:tr>
    </w:tbl>
    <w:p>
      <w:pPr>
        <w:spacing w:after="0" w:line="75" w:lineRule="exact"/>
        <w:rPr>
          <w:sz w:val="20"/>
          <w:szCs w:val="20"/>
          <w:color w:val="auto"/>
        </w:rPr>
      </w:pPr>
    </w:p>
    <w:p>
      <w:pPr>
        <w:ind w:left="122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5"/>
          <w:szCs w:val="15"/>
          <w:color w:val="auto"/>
        </w:rPr>
        <w:t>0.2</w:t>
      </w:r>
    </w:p>
    <w:p>
      <w:pPr>
        <w:spacing w:after="0" w:line="74" w:lineRule="exact"/>
        <w:rPr>
          <w:sz w:val="20"/>
          <w:szCs w:val="20"/>
          <w:color w:val="auto"/>
        </w:rPr>
      </w:pPr>
    </w:p>
    <w:p>
      <w:pPr>
        <w:ind w:left="1160"/>
        <w:spacing w:after="0"/>
        <w:rPr>
          <w:sz w:val="20"/>
          <w:szCs w:val="20"/>
          <w:color w:val="auto"/>
        </w:rPr>
      </w:pPr>
      <w:r>
        <w:rPr>
          <w:rFonts w:ascii="Calibri" w:cs="Calibri" w:eastAsia="Calibri" w:hAnsi="Calibri"/>
          <w:sz w:val="16"/>
          <w:szCs w:val="16"/>
          <w:color w:val="auto"/>
        </w:rPr>
        <w:t>0.0</w:t>
      </w:r>
      <w:r>
        <w:rPr>
          <w:rFonts w:ascii="Calibri" w:cs="Calibri" w:eastAsia="Calibri" w:hAnsi="Calibri"/>
          <w:sz w:val="15"/>
          <w:szCs w:val="15"/>
          <w:color w:val="auto"/>
        </w:rPr>
        <w: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15.1</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(0.4)</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0.0</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(0.2)</w:t>
            </w:r>
          </w:p>
        </w:tc>
      </w:tr>
      <w:tr>
        <w:trPr>
          <w:trHeight w:val="54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12.3</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4.4</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3.2</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2.6</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(23.5)</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4.9</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(3.1)</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0.0</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0.1</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0.5</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(1.1)</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(0.3)</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(0.9)</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(0.7)</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(34.8)</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0.0</w:t>
            </w:r>
          </w:p>
        </w:tc>
      </w:tr>
      <w:tr>
        <w:trPr>
          <w:trHeight w:val="270"/>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(0.6)</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(0.3)</w:t>
            </w:r>
          </w:p>
        </w:tc>
      </w:tr>
      <w:tr>
        <w:trPr>
          <w:trHeight w:val="55"/>
        </w:trPr>
        <w:tc>
          <w:tcPr>
            <w:tcW w:w="1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09"/>
        </w:trPr>
        <w:tc>
          <w:tcPr>
            <w:tcW w:w="1860" w:type="dxa"/>
            <w:vAlign w:val="bottom"/>
          </w:tcPr>
          <w:p>
            <w:pPr>
              <w:jc w:val="right"/>
              <w:ind w:right="419"/>
              <w:spacing w:after="0"/>
              <w:rPr>
                <w:sz w:val="20"/>
                <w:szCs w:val="20"/>
                <w:color w:val="auto"/>
              </w:rPr>
            </w:pPr>
            <w:r>
              <w:rPr>
                <w:rFonts w:ascii="Calibri" w:cs="Calibri" w:eastAsia="Calibri" w:hAnsi="Calibri"/>
                <w:sz w:val="16"/>
                <w:szCs w:val="16"/>
                <w:color w:val="auto"/>
              </w:rPr>
              <w:t>(65.9)</w:t>
            </w:r>
          </w:p>
        </w:tc>
        <w:tc>
          <w:tcPr>
            <w:tcW w:w="900" w:type="dxa"/>
            <w:vAlign w:val="bottom"/>
          </w:tcPr>
          <w:p>
            <w:pPr>
              <w:jc w:val="right"/>
              <w:spacing w:after="0"/>
              <w:rPr>
                <w:sz w:val="20"/>
                <w:szCs w:val="20"/>
                <w:color w:val="auto"/>
              </w:rPr>
            </w:pPr>
            <w:r>
              <w:rPr>
                <w:rFonts w:ascii="Calibri" w:cs="Calibri" w:eastAsia="Calibri" w:hAnsi="Calibri"/>
                <w:sz w:val="16"/>
                <w:szCs w:val="16"/>
                <w:color w:val="auto"/>
              </w:rPr>
              <w:t>(31.2)</w:t>
            </w:r>
          </w:p>
        </w:tc>
      </w:tr>
      <w:tr>
        <w:trPr>
          <w:trHeight w:val="55"/>
        </w:trPr>
        <w:tc>
          <w:tcPr>
            <w:tcW w:w="1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bl>
    <w:p>
      <w:pPr>
        <w:spacing w:after="0" w:line="277" w:lineRule="exact"/>
        <w:rPr>
          <w:sz w:val="20"/>
          <w:szCs w:val="20"/>
          <w:color w:val="auto"/>
        </w:rPr>
      </w:pPr>
    </w:p>
    <w:p>
      <w:pPr>
        <w:ind w:left="1000"/>
        <w:spacing w:after="0"/>
        <w:tabs>
          <w:tab w:leader="none" w:pos="2420" w:val="left"/>
        </w:tabs>
        <w:rPr>
          <w:sz w:val="20"/>
          <w:szCs w:val="20"/>
          <w:color w:val="auto"/>
        </w:rPr>
      </w:pPr>
      <w:r>
        <w:rPr>
          <w:rFonts w:ascii="Calibri" w:cs="Calibri" w:eastAsia="Calibri" w:hAnsi="Calibri"/>
          <w:sz w:val="16"/>
          <w:szCs w:val="16"/>
          <w:color w:val="auto"/>
        </w:rPr>
        <w:t>(0.4)</w:t>
      </w:r>
      <w:r>
        <w:rPr>
          <w:sz w:val="20"/>
          <w:szCs w:val="20"/>
          <w:color w:val="auto"/>
        </w:rPr>
        <w:tab/>
      </w:r>
      <w:r>
        <w:rPr>
          <w:rFonts w:ascii="Calibri" w:cs="Calibri" w:eastAsia="Calibri" w:hAnsi="Calibri"/>
          <w:sz w:val="16"/>
          <w:szCs w:val="16"/>
          <w:color w:val="auto"/>
        </w:rPr>
        <w:t>(2.3)</w:t>
      </w:r>
    </w:p>
    <w:p>
      <w:pPr>
        <w:spacing w:after="0" w:line="75" w:lineRule="exact"/>
        <w:rPr>
          <w:sz w:val="20"/>
          <w:szCs w:val="20"/>
          <w:color w:val="auto"/>
        </w:rPr>
      </w:pPr>
    </w:p>
    <w:p>
      <w:pPr>
        <w:ind w:left="2540" w:hanging="1378"/>
        <w:spacing w:after="0"/>
        <w:tabs>
          <w:tab w:leader="none" w:pos="2540" w:val="left"/>
        </w:tabs>
        <w:numPr>
          <w:ilvl w:val="0"/>
          <w:numId w:val="10"/>
        </w:numPr>
        <w:rPr>
          <w:rFonts w:ascii="Calibri" w:cs="Calibri" w:eastAsia="Calibri" w:hAnsi="Calibri"/>
          <w:sz w:val="16"/>
          <w:szCs w:val="16"/>
          <w:color w:val="auto"/>
        </w:rPr>
      </w:pPr>
      <w:r>
        <w:rPr>
          <w:rFonts w:ascii="Calibri" w:cs="Calibri" w:eastAsia="Calibri" w:hAnsi="Calibri"/>
          <w:sz w:val="16"/>
          <w:szCs w:val="16"/>
          <w:color w:val="auto"/>
        </w:rPr>
        <w:t>0.0</w:t>
      </w:r>
    </w:p>
    <w:p>
      <w:pPr>
        <w:spacing w:after="0" w:line="75" w:lineRule="exact"/>
        <w:rPr>
          <w:sz w:val="20"/>
          <w:szCs w:val="20"/>
          <w:color w:val="auto"/>
        </w:rPr>
      </w:pPr>
    </w:p>
    <w:p>
      <w:pPr>
        <w:ind w:left="1100"/>
        <w:spacing w:after="0"/>
        <w:tabs>
          <w:tab w:leader="none" w:pos="2440" w:val="left"/>
        </w:tabs>
        <w:rPr>
          <w:sz w:val="20"/>
          <w:szCs w:val="20"/>
          <w:color w:val="auto"/>
        </w:rPr>
      </w:pPr>
      <w:r>
        <w:rPr>
          <w:rFonts w:ascii="Calibri" w:cs="Calibri" w:eastAsia="Calibri" w:hAnsi="Calibri"/>
          <w:sz w:val="16"/>
          <w:szCs w:val="16"/>
          <w:color w:val="auto"/>
        </w:rPr>
        <w:t>4.7</w:t>
      </w:r>
      <w:r>
        <w:rPr>
          <w:sz w:val="20"/>
          <w:szCs w:val="20"/>
          <w:color w:val="auto"/>
        </w:rPr>
        <w:tab/>
      </w:r>
      <w:r>
        <w:rPr>
          <w:rFonts w:ascii="Calibri" w:cs="Calibri" w:eastAsia="Calibri" w:hAnsi="Calibri"/>
          <w:sz w:val="15"/>
          <w:szCs w:val="15"/>
          <w:color w:val="auto"/>
        </w:rPr>
        <w:t>52.1</w:t>
      </w:r>
    </w:p>
    <w:p>
      <w:pPr>
        <w:spacing w:after="0" w:line="75" w:lineRule="exact"/>
        <w:rPr>
          <w:sz w:val="20"/>
          <w:szCs w:val="20"/>
          <w:color w:val="auto"/>
        </w:rPr>
      </w:pPr>
    </w:p>
    <w:p>
      <w:pPr>
        <w:ind w:left="1160"/>
        <w:spacing w:after="0"/>
        <w:tabs>
          <w:tab w:leader="none" w:pos="2560" w:val="left"/>
        </w:tabs>
        <w:rPr>
          <w:sz w:val="20"/>
          <w:szCs w:val="20"/>
          <w:color w:val="auto"/>
        </w:rPr>
      </w:pPr>
      <w:r>
        <w:rPr>
          <w:rFonts w:ascii="Calibri" w:cs="Calibri" w:eastAsia="Calibri" w:hAnsi="Calibri"/>
          <w:sz w:val="16"/>
          <w:szCs w:val="16"/>
          <w:color w:val="auto"/>
        </w:rPr>
        <w:t>---</w:t>
      </w:r>
      <w:r>
        <w:rPr>
          <w:sz w:val="20"/>
          <w:szCs w:val="20"/>
          <w:color w:val="auto"/>
        </w:rPr>
        <w:tab/>
      </w:r>
      <w:r>
        <w:rPr>
          <w:rFonts w:ascii="Calibri" w:cs="Calibri" w:eastAsia="Calibri" w:hAnsi="Calibri"/>
          <w:sz w:val="16"/>
          <w:szCs w:val="16"/>
          <w:color w:val="auto"/>
        </w:rPr>
        <w:t>---</w:t>
      </w:r>
    </w:p>
    <w:p>
      <w:pPr>
        <w:spacing w:after="0" w:line="75" w:lineRule="exact"/>
        <w:rPr>
          <w:sz w:val="20"/>
          <w:szCs w:val="20"/>
          <w:color w:val="auto"/>
        </w:rPr>
      </w:pPr>
    </w:p>
    <w:p>
      <w:pPr>
        <w:ind w:left="2360" w:hanging="1198"/>
        <w:spacing w:after="0"/>
        <w:tabs>
          <w:tab w:leader="none" w:pos="2360" w:val="left"/>
        </w:tabs>
        <w:numPr>
          <w:ilvl w:val="0"/>
          <w:numId w:val="11"/>
        </w:numPr>
        <w:rPr>
          <w:rFonts w:ascii="Calibri" w:cs="Calibri" w:eastAsia="Calibri" w:hAnsi="Calibri"/>
          <w:sz w:val="16"/>
          <w:szCs w:val="16"/>
          <w:color w:val="auto"/>
        </w:rPr>
      </w:pPr>
      <w:r>
        <w:rPr>
          <w:rFonts w:ascii="Calibri" w:cs="Calibri" w:eastAsia="Calibri" w:hAnsi="Calibri"/>
          <w:sz w:val="16"/>
          <w:szCs w:val="16"/>
          <w:color w:val="auto"/>
        </w:rPr>
        <w:t>(44.4)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7487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8" w:lineRule="exact"/>
        <w:rPr>
          <w:sz w:val="20"/>
          <w:szCs w:val="20"/>
          <w:color w:val="auto"/>
        </w:rPr>
      </w:pPr>
    </w:p>
    <w:p>
      <w:pPr>
        <w:ind w:left="1100"/>
        <w:spacing w:after="0"/>
        <w:tabs>
          <w:tab w:leader="none" w:pos="2520" w:val="left"/>
        </w:tabs>
        <w:rPr>
          <w:sz w:val="20"/>
          <w:szCs w:val="20"/>
          <w:color w:val="auto"/>
        </w:rPr>
      </w:pPr>
      <w:r>
        <w:rPr>
          <w:rFonts w:ascii="Calibri" w:cs="Calibri" w:eastAsia="Calibri" w:hAnsi="Calibri"/>
          <w:sz w:val="16"/>
          <w:szCs w:val="16"/>
          <w:color w:val="auto"/>
        </w:rPr>
        <w:t>4.4</w:t>
      </w:r>
      <w:r>
        <w:rPr>
          <w:sz w:val="20"/>
          <w:szCs w:val="20"/>
          <w:color w:val="auto"/>
        </w:rPr>
        <w:tab/>
      </w:r>
      <w:r>
        <w:rPr>
          <w:rFonts w:ascii="Calibri" w:cs="Calibri" w:eastAsia="Calibri" w:hAnsi="Calibri"/>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7487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Pr>
          <w:p>
            <w:pPr>
              <w:jc w:val="right"/>
              <w:ind w:right="399"/>
              <w:spacing w:after="0"/>
              <w:rPr>
                <w:sz w:val="20"/>
                <w:szCs w:val="20"/>
                <w:color w:val="auto"/>
              </w:rPr>
            </w:pPr>
            <w:r>
              <w:rPr>
                <w:rFonts w:ascii="Calibri" w:cs="Calibri" w:eastAsia="Calibri" w:hAnsi="Calibri"/>
                <w:sz w:val="16"/>
                <w:szCs w:val="16"/>
                <w:color w:val="auto"/>
              </w:rPr>
              <w:t>7.5</w:t>
            </w:r>
          </w:p>
        </w:tc>
        <w:tc>
          <w:tcPr>
            <w:tcW w:w="960" w:type="dxa"/>
            <w:vAlign w:val="bottom"/>
          </w:tcPr>
          <w:p>
            <w:pPr>
              <w:jc w:val="right"/>
              <w:spacing w:after="0"/>
              <w:rPr>
                <w:sz w:val="20"/>
                <w:szCs w:val="20"/>
                <w:color w:val="auto"/>
              </w:rPr>
            </w:pPr>
            <w:r>
              <w:rPr>
                <w:rFonts w:ascii="Calibri" w:cs="Calibri" w:eastAsia="Calibri" w:hAnsi="Calibri"/>
                <w:sz w:val="16"/>
                <w:szCs w:val="16"/>
                <w:color w:val="auto"/>
              </w:rPr>
              <w:t>0.0</w:t>
            </w:r>
          </w:p>
        </w:tc>
      </w:tr>
      <w:tr>
        <w:trPr>
          <w:trHeight w:val="270"/>
        </w:trPr>
        <w:tc>
          <w:tcPr>
            <w:tcW w:w="1800" w:type="dxa"/>
            <w:vAlign w:val="bottom"/>
          </w:tcPr>
          <w:p>
            <w:pPr>
              <w:jc w:val="right"/>
              <w:ind w:right="399"/>
              <w:spacing w:after="0"/>
              <w:rPr>
                <w:sz w:val="20"/>
                <w:szCs w:val="20"/>
                <w:color w:val="auto"/>
              </w:rPr>
            </w:pPr>
            <w:r>
              <w:rPr>
                <w:rFonts w:ascii="Calibri" w:cs="Calibri" w:eastAsia="Calibri" w:hAnsi="Calibri"/>
                <w:sz w:val="16"/>
                <w:szCs w:val="16"/>
                <w:color w:val="auto"/>
              </w:rPr>
              <w:t>0.0</w:t>
            </w:r>
          </w:p>
        </w:tc>
        <w:tc>
          <w:tcPr>
            <w:tcW w:w="9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70"/>
        </w:trPr>
        <w:tc>
          <w:tcPr>
            <w:tcW w:w="1800" w:type="dxa"/>
            <w:vAlign w:val="bottom"/>
          </w:tcPr>
          <w:p>
            <w:pPr>
              <w:jc w:val="right"/>
              <w:ind w:right="399"/>
              <w:spacing w:after="0"/>
              <w:rPr>
                <w:sz w:val="20"/>
                <w:szCs w:val="20"/>
                <w:color w:val="auto"/>
              </w:rPr>
            </w:pPr>
            <w:r>
              <w:rPr>
                <w:rFonts w:ascii="Calibri" w:cs="Calibri" w:eastAsia="Calibri" w:hAnsi="Calibri"/>
                <w:sz w:val="16"/>
                <w:szCs w:val="16"/>
                <w:color w:val="auto"/>
              </w:rPr>
              <w:t>(0.0)</w:t>
            </w:r>
          </w:p>
        </w:tc>
        <w:tc>
          <w:tcPr>
            <w:tcW w:w="960" w:type="dxa"/>
            <w:vAlign w:val="bottom"/>
          </w:tcPr>
          <w:p>
            <w:pPr>
              <w:jc w:val="right"/>
              <w:spacing w:after="0"/>
              <w:rPr>
                <w:sz w:val="20"/>
                <w:szCs w:val="20"/>
                <w:color w:val="auto"/>
              </w:rPr>
            </w:pPr>
            <w:r>
              <w:rPr>
                <w:rFonts w:ascii="Calibri" w:cs="Calibri" w:eastAsia="Calibri" w:hAnsi="Calibri"/>
                <w:sz w:val="16"/>
                <w:szCs w:val="16"/>
                <w:color w:val="auto"/>
              </w:rPr>
              <w:t>(2.5)</w:t>
            </w:r>
          </w:p>
        </w:tc>
      </w:tr>
      <w:tr>
        <w:trPr>
          <w:trHeight w:val="55"/>
        </w:trPr>
        <w:tc>
          <w:tcPr>
            <w:tcW w:w="18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09"/>
        </w:trPr>
        <w:tc>
          <w:tcPr>
            <w:tcW w:w="1800" w:type="dxa"/>
            <w:vAlign w:val="bottom"/>
          </w:tcPr>
          <w:p>
            <w:pPr>
              <w:jc w:val="right"/>
              <w:ind w:right="399"/>
              <w:spacing w:after="0"/>
              <w:rPr>
                <w:sz w:val="20"/>
                <w:szCs w:val="20"/>
                <w:color w:val="auto"/>
              </w:rPr>
            </w:pPr>
            <w:r>
              <w:rPr>
                <w:rFonts w:ascii="Calibri" w:cs="Calibri" w:eastAsia="Calibri" w:hAnsi="Calibri"/>
                <w:sz w:val="16"/>
                <w:szCs w:val="16"/>
                <w:color w:val="auto"/>
              </w:rPr>
              <w:t>7.5</w:t>
            </w:r>
          </w:p>
        </w:tc>
        <w:tc>
          <w:tcPr>
            <w:tcW w:w="960" w:type="dxa"/>
            <w:vAlign w:val="bottom"/>
          </w:tcPr>
          <w:p>
            <w:pPr>
              <w:jc w:val="right"/>
              <w:spacing w:after="0"/>
              <w:rPr>
                <w:sz w:val="20"/>
                <w:szCs w:val="20"/>
                <w:color w:val="auto"/>
              </w:rPr>
            </w:pPr>
            <w:r>
              <w:rPr>
                <w:rFonts w:ascii="Calibri" w:cs="Calibri" w:eastAsia="Calibri" w:hAnsi="Calibri"/>
                <w:sz w:val="16"/>
                <w:szCs w:val="16"/>
                <w:color w:val="auto"/>
              </w:rPr>
              <w:t>(2.5)</w:t>
            </w:r>
          </w:p>
        </w:tc>
      </w:tr>
      <w:tr>
        <w:trPr>
          <w:trHeight w:val="54"/>
        </w:trPr>
        <w:tc>
          <w:tcPr>
            <w:tcW w:w="18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09"/>
        </w:trPr>
        <w:tc>
          <w:tcPr>
            <w:tcW w:w="1800" w:type="dxa"/>
            <w:vAlign w:val="bottom"/>
          </w:tcPr>
          <w:p>
            <w:pPr>
              <w:jc w:val="right"/>
              <w:ind w:right="399"/>
              <w:spacing w:after="0"/>
              <w:rPr>
                <w:sz w:val="20"/>
                <w:szCs w:val="20"/>
                <w:color w:val="auto"/>
              </w:rPr>
            </w:pPr>
            <w:r>
              <w:rPr>
                <w:rFonts w:ascii="Calibri" w:cs="Calibri" w:eastAsia="Calibri" w:hAnsi="Calibri"/>
                <w:sz w:val="16"/>
                <w:szCs w:val="16"/>
                <w:color w:val="auto"/>
              </w:rPr>
              <w:t>(0.2)</w:t>
            </w:r>
          </w:p>
        </w:tc>
        <w:tc>
          <w:tcPr>
            <w:tcW w:w="960" w:type="dxa"/>
            <w:vAlign w:val="bottom"/>
          </w:tcPr>
          <w:p>
            <w:pPr>
              <w:jc w:val="right"/>
              <w:spacing w:after="0"/>
              <w:rPr>
                <w:sz w:val="20"/>
                <w:szCs w:val="20"/>
                <w:color w:val="auto"/>
              </w:rPr>
            </w:pPr>
            <w:r>
              <w:rPr>
                <w:rFonts w:ascii="Calibri" w:cs="Calibri" w:eastAsia="Calibri" w:hAnsi="Calibri"/>
                <w:sz w:val="16"/>
                <w:szCs w:val="16"/>
                <w:color w:val="auto"/>
              </w:rPr>
              <w:t>0.3</w:t>
            </w:r>
          </w:p>
        </w:tc>
      </w:tr>
      <w:tr>
        <w:trPr>
          <w:trHeight w:val="270"/>
        </w:trPr>
        <w:tc>
          <w:tcPr>
            <w:tcW w:w="180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(54.3)</w:t>
            </w:r>
          </w:p>
        </w:tc>
        <w:tc>
          <w:tcPr>
            <w:tcW w:w="960" w:type="dxa"/>
            <w:vAlign w:val="bottom"/>
          </w:tcPr>
          <w:p>
            <w:pPr>
              <w:jc w:val="right"/>
              <w:spacing w:after="0"/>
              <w:rPr>
                <w:sz w:val="20"/>
                <w:szCs w:val="20"/>
                <w:color w:val="auto"/>
              </w:rPr>
            </w:pPr>
            <w:r>
              <w:rPr>
                <w:rFonts w:ascii="Calibri" w:cs="Calibri" w:eastAsia="Calibri" w:hAnsi="Calibri"/>
                <w:sz w:val="16"/>
                <w:szCs w:val="16"/>
                <w:b w:val="1"/>
                <w:bCs w:val="1"/>
                <w:color w:val="auto"/>
              </w:rPr>
              <w:t>(28.0)</w:t>
            </w:r>
          </w:p>
        </w:tc>
      </w:tr>
      <w:tr>
        <w:trPr>
          <w:trHeight w:val="270"/>
        </w:trPr>
        <w:tc>
          <w:tcPr>
            <w:tcW w:w="1800" w:type="dxa"/>
            <w:vAlign w:val="bottom"/>
          </w:tcPr>
          <w:p>
            <w:pPr>
              <w:jc w:val="right"/>
              <w:ind w:right="399"/>
              <w:spacing w:after="0"/>
              <w:rPr>
                <w:sz w:val="20"/>
                <w:szCs w:val="20"/>
                <w:color w:val="auto"/>
              </w:rPr>
            </w:pPr>
            <w:r>
              <w:rPr>
                <w:rFonts w:ascii="Calibri" w:cs="Calibri" w:eastAsia="Calibri" w:hAnsi="Calibri"/>
                <w:sz w:val="16"/>
                <w:szCs w:val="16"/>
                <w:color w:val="auto"/>
              </w:rPr>
              <w:t>$190.8</w:t>
            </w:r>
          </w:p>
        </w:tc>
        <w:tc>
          <w:tcPr>
            <w:tcW w:w="960" w:type="dxa"/>
            <w:vAlign w:val="bottom"/>
          </w:tcPr>
          <w:p>
            <w:pPr>
              <w:jc w:val="right"/>
              <w:spacing w:after="0"/>
              <w:rPr>
                <w:sz w:val="20"/>
                <w:szCs w:val="20"/>
                <w:color w:val="auto"/>
              </w:rPr>
            </w:pPr>
            <w:r>
              <w:rPr>
                <w:rFonts w:ascii="Calibri" w:cs="Calibri" w:eastAsia="Calibri" w:hAnsi="Calibri"/>
                <w:sz w:val="16"/>
                <w:szCs w:val="16"/>
                <w:color w:val="auto"/>
              </w:rPr>
              <w:t>$137.9</w:t>
            </w:r>
          </w:p>
        </w:tc>
      </w:tr>
      <w:tr>
        <w:trPr>
          <w:trHeight w:val="55"/>
        </w:trPr>
        <w:tc>
          <w:tcPr>
            <w:tcW w:w="18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09"/>
        </w:trPr>
        <w:tc>
          <w:tcPr>
            <w:tcW w:w="1800" w:type="dxa"/>
            <w:vAlign w:val="bottom"/>
          </w:tcPr>
          <w:p>
            <w:pPr>
              <w:jc w:val="right"/>
              <w:ind w:right="399"/>
              <w:spacing w:after="0"/>
              <w:rPr>
                <w:sz w:val="20"/>
                <w:szCs w:val="20"/>
                <w:color w:val="auto"/>
              </w:rPr>
            </w:pPr>
            <w:r>
              <w:rPr>
                <w:rFonts w:ascii="Calibri" w:cs="Calibri" w:eastAsia="Calibri" w:hAnsi="Calibri"/>
                <w:sz w:val="16"/>
                <w:szCs w:val="16"/>
                <w:color w:val="auto"/>
              </w:rPr>
              <w:t>$136.5</w:t>
            </w:r>
          </w:p>
        </w:tc>
        <w:tc>
          <w:tcPr>
            <w:tcW w:w="960" w:type="dxa"/>
            <w:vAlign w:val="bottom"/>
          </w:tcPr>
          <w:p>
            <w:pPr>
              <w:jc w:val="right"/>
              <w:spacing w:after="0"/>
              <w:rPr>
                <w:sz w:val="20"/>
                <w:szCs w:val="20"/>
                <w:color w:val="auto"/>
              </w:rPr>
            </w:pPr>
            <w:r>
              <w:rPr>
                <w:rFonts w:ascii="Calibri" w:cs="Calibri" w:eastAsia="Calibri" w:hAnsi="Calibri"/>
                <w:sz w:val="16"/>
                <w:szCs w:val="16"/>
                <w:color w:val="auto"/>
              </w:rPr>
              <w:t>$109.9</w:t>
            </w:r>
          </w:p>
        </w:tc>
      </w:tr>
      <w:tr>
        <w:trPr>
          <w:trHeight w:val="55"/>
        </w:trPr>
        <w:tc>
          <w:tcPr>
            <w:tcW w:w="18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00" w:space="300"/>
            <w:col w:w="2760"/>
          </w:cols>
          <w:pgMar w:left="400" w:top="1077" w:right="739" w:bottom="1440" w:gutter="0" w:footer="0" w:header="0"/>
        </w:sectPr>
      </w:pPr>
    </w:p>
    <w:bookmarkStart w:id="10" w:name="page11"/>
    <w:bookmarkEnd w:id="10"/>
    <w:p>
      <w:pPr>
        <w:jc w:val="center"/>
        <w:ind w:right="-99"/>
        <w:spacing w:after="0"/>
        <w:rPr>
          <w:sz w:val="20"/>
          <w:szCs w:val="20"/>
          <w:color w:val="auto"/>
        </w:rPr>
      </w:pPr>
      <w:r>
        <w:rPr>
          <w:rFonts w:ascii="Calibri" w:cs="Calibri" w:eastAsia="Calibri" w:hAnsi="Calibri"/>
          <w:sz w:val="20"/>
          <w:szCs w:val="20"/>
          <w:b w:val="1"/>
          <w:bCs w:val="1"/>
          <w:color w:val="auto"/>
        </w:rPr>
        <w:t>Reconciliaton of Non-GAAP Financial Measures</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Non-GAAP Financial Measures – Adjusted EBITDA</w:t>
      </w:r>
    </w:p>
    <w:p>
      <w:pPr>
        <w:spacing w:after="0" w:line="9" w:lineRule="exact"/>
        <w:rPr>
          <w:sz w:val="20"/>
          <w:szCs w:val="20"/>
          <w:color w:val="auto"/>
        </w:rPr>
      </w:pPr>
    </w:p>
    <w:p>
      <w:pPr>
        <w:ind w:right="60"/>
        <w:spacing w:after="0" w:line="231" w:lineRule="auto"/>
        <w:rPr>
          <w:sz w:val="20"/>
          <w:szCs w:val="20"/>
          <w:color w:val="auto"/>
        </w:rPr>
      </w:pPr>
      <w:r>
        <w:rPr>
          <w:rFonts w:ascii="Calibri" w:cs="Calibri" w:eastAsia="Calibri" w:hAnsi="Calibri"/>
          <w:sz w:val="20"/>
          <w:szCs w:val="20"/>
          <w:color w:val="auto"/>
        </w:rPr>
        <w:t>Adjusted EBITDA is defned as earnings before interest, income taxes, depreciaton, amortzaton, acquisiton-related expenses, share-based and unit-based compensaton expense, goodwill and intangible assets impairments, restructuring charges, changes in the fair value of our warrant liability and certain other non-cash and/or non-recurring items that do not contribute directly to our evaluaton of operatng results and are not components of our core business operatons. Adjusted EBITDA provides management with an understanding of earnings before the impact of investng and fnancing transactons and income taxes, and the efects of</w:t>
      </w:r>
    </w:p>
    <w:p>
      <w:pPr>
        <w:spacing w:after="0" w:line="256" w:lineRule="exact"/>
        <w:rPr>
          <w:sz w:val="20"/>
          <w:szCs w:val="20"/>
          <w:color w:val="auto"/>
        </w:rPr>
      </w:pPr>
    </w:p>
    <w:p>
      <w:pPr>
        <w:ind w:right="60"/>
        <w:spacing w:after="0" w:line="233" w:lineRule="auto"/>
        <w:rPr>
          <w:sz w:val="20"/>
          <w:szCs w:val="20"/>
          <w:color w:val="auto"/>
        </w:rPr>
      </w:pPr>
      <w:r>
        <w:rPr>
          <w:rFonts w:ascii="Calibri" w:cs="Calibri" w:eastAsia="Calibri" w:hAnsi="Calibri"/>
          <w:sz w:val="20"/>
          <w:szCs w:val="20"/>
          <w:color w:val="auto"/>
        </w:rPr>
        <w:t>aforementoned items that do not refect the ordinary earnings of our operatons. This measure may be useful to an investor in evaluatng our performance. Adjusted EBITDA is not a measure of our fnancial performance under GAAP and should not be considered as an alternatve to net income (loss) or other performance measures derived in accordance with GAAP. Our defniton of Adjusted EBITDA may not be comparable to similarly ttled measures used by other companies.</w:t>
      </w:r>
    </w:p>
    <w:p>
      <w:pPr>
        <w:spacing w:after="0" w:line="240"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Non-GAAP fnancial measures like Adjusted EBITDA have limitatons, should be considered as supplemental in nature and are not meant as a substtute for the related fnancial informaton prepared in accordance with GAAP. The non-GAAP fnancial measures should be considered alongside other fnancial performance measures, including net loss and our other fnancial results presented in accordance with GAAP.</w:t>
      </w:r>
    </w:p>
    <w:p>
      <w:pPr>
        <w:spacing w:after="0" w:line="305"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5820" w:type="dxa"/>
            <w:vAlign w:val="bottom"/>
            <w:shd w:val="clear" w:color="auto" w:fill="000000"/>
          </w:tcPr>
          <w:p>
            <w:pPr>
              <w:ind w:left="80"/>
              <w:spacing w:after="0"/>
              <w:rPr>
                <w:sz w:val="20"/>
                <w:szCs w:val="20"/>
                <w:color w:val="auto"/>
              </w:rPr>
            </w:pPr>
            <w:r>
              <w:rPr>
                <w:rFonts w:ascii="Calibri" w:cs="Calibri" w:eastAsia="Calibri" w:hAnsi="Calibri"/>
                <w:sz w:val="16"/>
                <w:szCs w:val="16"/>
                <w:b w:val="1"/>
                <w:bCs w:val="1"/>
                <w:i w:val="1"/>
                <w:iCs w:val="1"/>
                <w:color w:val="FFFFFF"/>
              </w:rPr>
              <w:t>$mm's</w:t>
            </w:r>
          </w:p>
        </w:tc>
        <w:tc>
          <w:tcPr>
            <w:tcW w:w="1580" w:type="dxa"/>
            <w:vAlign w:val="bottom"/>
            <w:shd w:val="clear" w:color="auto" w:fill="000000"/>
          </w:tcPr>
          <w:p>
            <w:pPr>
              <w:jc w:val="right"/>
              <w:spacing w:after="0"/>
              <w:rPr>
                <w:sz w:val="20"/>
                <w:szCs w:val="20"/>
                <w:color w:val="auto"/>
              </w:rPr>
            </w:pPr>
            <w:r>
              <w:rPr>
                <w:rFonts w:ascii="Calibri" w:cs="Calibri" w:eastAsia="Calibri" w:hAnsi="Calibri"/>
                <w:sz w:val="16"/>
                <w:szCs w:val="16"/>
                <w:b w:val="1"/>
                <w:bCs w:val="1"/>
                <w:color w:val="FFFFFF"/>
              </w:rPr>
              <w:t>2Q24</w:t>
            </w:r>
          </w:p>
        </w:tc>
        <w:tc>
          <w:tcPr>
            <w:tcW w:w="320" w:type="dxa"/>
            <w:vAlign w:val="bottom"/>
            <w:shd w:val="clear" w:color="auto" w:fill="000000"/>
          </w:tcPr>
          <w:p>
            <w:pPr>
              <w:spacing w:after="0"/>
              <w:rPr>
                <w:sz w:val="19"/>
                <w:szCs w:val="19"/>
                <w:color w:val="auto"/>
              </w:rPr>
            </w:pPr>
          </w:p>
        </w:tc>
        <w:tc>
          <w:tcPr>
            <w:tcW w:w="1580" w:type="dxa"/>
            <w:vAlign w:val="bottom"/>
            <w:shd w:val="clear" w:color="auto" w:fill="000000"/>
          </w:tcPr>
          <w:p>
            <w:pPr>
              <w:jc w:val="right"/>
              <w:spacing w:after="0"/>
              <w:rPr>
                <w:sz w:val="20"/>
                <w:szCs w:val="20"/>
                <w:color w:val="auto"/>
              </w:rPr>
            </w:pPr>
            <w:r>
              <w:rPr>
                <w:rFonts w:ascii="Calibri" w:cs="Calibri" w:eastAsia="Calibri" w:hAnsi="Calibri"/>
                <w:sz w:val="16"/>
                <w:szCs w:val="16"/>
                <w:b w:val="1"/>
                <w:bCs w:val="1"/>
                <w:color w:val="FFFFFF"/>
              </w:rPr>
              <w:t>2Q23</w:t>
            </w:r>
          </w:p>
        </w:tc>
        <w:tc>
          <w:tcPr>
            <w:tcW w:w="20" w:type="dxa"/>
            <w:vAlign w:val="bottom"/>
            <w:shd w:val="clear" w:color="auto" w:fill="000000"/>
          </w:tcPr>
          <w:p>
            <w:pPr>
              <w:spacing w:after="0"/>
              <w:rPr>
                <w:sz w:val="19"/>
                <w:szCs w:val="19"/>
                <w:color w:val="auto"/>
              </w:rPr>
            </w:pPr>
          </w:p>
        </w:tc>
      </w:tr>
      <w:tr>
        <w:trPr>
          <w:trHeight w:val="68"/>
        </w:trPr>
        <w:tc>
          <w:tcPr>
            <w:tcW w:w="5820" w:type="dxa"/>
            <w:vAlign w:val="bottom"/>
            <w:shd w:val="clear" w:color="auto" w:fill="000000"/>
          </w:tcPr>
          <w:p>
            <w:pPr>
              <w:spacing w:after="0"/>
              <w:rPr>
                <w:sz w:val="5"/>
                <w:szCs w:val="5"/>
                <w:color w:val="auto"/>
              </w:rPr>
            </w:pPr>
          </w:p>
        </w:tc>
        <w:tc>
          <w:tcPr>
            <w:tcW w:w="15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5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r>
        <w:trPr>
          <w:trHeight w:val="216"/>
        </w:trPr>
        <w:tc>
          <w:tcPr>
            <w:tcW w:w="5820" w:type="dxa"/>
            <w:vAlign w:val="bottom"/>
          </w:tcPr>
          <w:p>
            <w:pPr>
              <w:ind w:left="60"/>
              <w:spacing w:after="0"/>
              <w:rPr>
                <w:sz w:val="20"/>
                <w:szCs w:val="20"/>
                <w:color w:val="auto"/>
              </w:rPr>
            </w:pPr>
            <w:r>
              <w:rPr>
                <w:rFonts w:ascii="Calibri" w:cs="Calibri" w:eastAsia="Calibri" w:hAnsi="Calibri"/>
                <w:sz w:val="16"/>
                <w:szCs w:val="16"/>
                <w:b w:val="1"/>
                <w:bCs w:val="1"/>
                <w:color w:val="auto"/>
              </w:rPr>
              <w:t>Net loss</w:t>
            </w: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($35.5)</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($50.5)</w:t>
            </w:r>
          </w:p>
        </w:tc>
        <w:tc>
          <w:tcPr>
            <w:tcW w:w="20" w:type="dxa"/>
            <w:vAlign w:val="bottom"/>
          </w:tcPr>
          <w:p>
            <w:pPr>
              <w:spacing w:after="0"/>
              <w:rPr>
                <w:sz w:val="18"/>
                <w:szCs w:val="18"/>
                <w:color w:val="auto"/>
              </w:rPr>
            </w:pPr>
          </w:p>
        </w:tc>
      </w:tr>
      <w:tr>
        <w:trPr>
          <w:trHeight w:val="283"/>
        </w:trPr>
        <w:tc>
          <w:tcPr>
            <w:tcW w:w="5820" w:type="dxa"/>
            <w:vAlign w:val="bottom"/>
          </w:tcPr>
          <w:p>
            <w:pPr>
              <w:ind w:left="380"/>
              <w:spacing w:after="0"/>
              <w:rPr>
                <w:sz w:val="20"/>
                <w:szCs w:val="20"/>
                <w:color w:val="auto"/>
              </w:rPr>
            </w:pPr>
            <w:r>
              <w:rPr>
                <w:rFonts w:ascii="Calibri" w:cs="Calibri" w:eastAsia="Calibri" w:hAnsi="Calibri"/>
                <w:sz w:val="16"/>
                <w:szCs w:val="16"/>
                <w:color w:val="auto"/>
              </w:rPr>
              <w:t>Depreciaton and amortzaton</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0.1</w:t>
            </w:r>
          </w:p>
        </w:tc>
        <w:tc>
          <w:tcPr>
            <w:tcW w:w="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color w:val="auto"/>
              </w:rPr>
              <w:t>3.8</w:t>
            </w:r>
          </w:p>
        </w:tc>
        <w:tc>
          <w:tcPr>
            <w:tcW w:w="20" w:type="dxa"/>
            <w:vAlign w:val="bottom"/>
          </w:tcPr>
          <w:p>
            <w:pPr>
              <w:spacing w:after="0"/>
              <w:rPr>
                <w:sz w:val="24"/>
                <w:szCs w:val="24"/>
                <w:color w:val="auto"/>
              </w:rPr>
            </w:pPr>
          </w:p>
        </w:tc>
      </w:tr>
      <w:tr>
        <w:trPr>
          <w:trHeight w:val="270"/>
        </w:trPr>
        <w:tc>
          <w:tcPr>
            <w:tcW w:w="5820" w:type="dxa"/>
            <w:vAlign w:val="bottom"/>
          </w:tcPr>
          <w:p>
            <w:pPr>
              <w:ind w:left="380"/>
              <w:spacing w:after="0"/>
              <w:rPr>
                <w:sz w:val="20"/>
                <w:szCs w:val="20"/>
                <w:color w:val="auto"/>
              </w:rPr>
            </w:pPr>
            <w:r>
              <w:rPr>
                <w:rFonts w:ascii="Calibri" w:cs="Calibri" w:eastAsia="Calibri" w:hAnsi="Calibri"/>
                <w:sz w:val="16"/>
                <w:szCs w:val="16"/>
                <w:color w:val="auto"/>
              </w:rPr>
              <w:t>Interest income, net</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(1.2)</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color w:val="auto"/>
              </w:rPr>
              <w:t>(0.7)</w:t>
            </w:r>
          </w:p>
        </w:tc>
        <w:tc>
          <w:tcPr>
            <w:tcW w:w="20" w:type="dxa"/>
            <w:vAlign w:val="bottom"/>
          </w:tcPr>
          <w:p>
            <w:pPr>
              <w:spacing w:after="0"/>
              <w:rPr>
                <w:sz w:val="23"/>
                <w:szCs w:val="23"/>
                <w:color w:val="auto"/>
              </w:rPr>
            </w:pPr>
          </w:p>
        </w:tc>
      </w:tr>
      <w:tr>
        <w:trPr>
          <w:trHeight w:val="270"/>
        </w:trPr>
        <w:tc>
          <w:tcPr>
            <w:tcW w:w="5820" w:type="dxa"/>
            <w:vAlign w:val="bottom"/>
          </w:tcPr>
          <w:p>
            <w:pPr>
              <w:ind w:left="380"/>
              <w:spacing w:after="0"/>
              <w:rPr>
                <w:sz w:val="20"/>
                <w:szCs w:val="20"/>
                <w:color w:val="auto"/>
              </w:rPr>
            </w:pPr>
            <w:r>
              <w:rPr>
                <w:rFonts w:ascii="Calibri" w:cs="Calibri" w:eastAsia="Calibri" w:hAnsi="Calibri"/>
                <w:sz w:val="16"/>
                <w:szCs w:val="16"/>
                <w:color w:val="auto"/>
              </w:rPr>
              <w:t>Income tax expense</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0.1</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color w:val="auto"/>
              </w:rPr>
              <w:t>0.2</w:t>
            </w:r>
          </w:p>
        </w:tc>
        <w:tc>
          <w:tcPr>
            <w:tcW w:w="20" w:type="dxa"/>
            <w:vAlign w:val="bottom"/>
          </w:tcPr>
          <w:p>
            <w:pPr>
              <w:spacing w:after="0"/>
              <w:rPr>
                <w:sz w:val="23"/>
                <w:szCs w:val="23"/>
                <w:color w:val="auto"/>
              </w:rPr>
            </w:pPr>
          </w:p>
        </w:tc>
      </w:tr>
      <w:tr>
        <w:trPr>
          <w:trHeight w:val="41"/>
        </w:trPr>
        <w:tc>
          <w:tcPr>
            <w:tcW w:w="58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9"/>
        </w:trPr>
        <w:tc>
          <w:tcPr>
            <w:tcW w:w="5820" w:type="dxa"/>
            <w:vAlign w:val="bottom"/>
          </w:tcPr>
          <w:p>
            <w:pPr>
              <w:ind w:left="60"/>
              <w:spacing w:after="0"/>
              <w:rPr>
                <w:sz w:val="20"/>
                <w:szCs w:val="20"/>
                <w:color w:val="auto"/>
              </w:rPr>
            </w:pPr>
            <w:r>
              <w:rPr>
                <w:rFonts w:ascii="Calibri" w:cs="Calibri" w:eastAsia="Calibri" w:hAnsi="Calibri"/>
                <w:sz w:val="16"/>
                <w:szCs w:val="16"/>
                <w:b w:val="1"/>
                <w:bCs w:val="1"/>
                <w:color w:val="auto"/>
              </w:rPr>
              <w:t>EBITDA</w:t>
            </w: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($36.6)</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($47.2)</w:t>
            </w:r>
          </w:p>
        </w:tc>
        <w:tc>
          <w:tcPr>
            <w:tcW w:w="20" w:type="dxa"/>
            <w:vAlign w:val="bottom"/>
          </w:tcPr>
          <w:p>
            <w:pPr>
              <w:spacing w:after="0"/>
              <w:rPr>
                <w:sz w:val="18"/>
                <w:szCs w:val="18"/>
                <w:color w:val="auto"/>
              </w:rPr>
            </w:pPr>
          </w:p>
        </w:tc>
      </w:tr>
      <w:tr>
        <w:trPr>
          <w:trHeight w:val="270"/>
        </w:trPr>
        <w:tc>
          <w:tcPr>
            <w:tcW w:w="5820" w:type="dxa"/>
            <w:vAlign w:val="bottom"/>
          </w:tcPr>
          <w:p>
            <w:pPr>
              <w:ind w:left="60"/>
              <w:spacing w:after="0"/>
              <w:rPr>
                <w:sz w:val="20"/>
                <w:szCs w:val="20"/>
                <w:color w:val="auto"/>
              </w:rPr>
            </w:pPr>
            <w:r>
              <w:rPr>
                <w:rFonts w:ascii="Calibri" w:cs="Calibri" w:eastAsia="Calibri" w:hAnsi="Calibri"/>
                <w:sz w:val="16"/>
                <w:szCs w:val="16"/>
                <w:color w:val="auto"/>
              </w:rPr>
              <w:t>Acquisiton-related expenses</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0.1</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color w:val="auto"/>
              </w:rPr>
              <w:t>17.0</w:t>
            </w:r>
          </w:p>
        </w:tc>
        <w:tc>
          <w:tcPr>
            <w:tcW w:w="20" w:type="dxa"/>
            <w:vAlign w:val="bottom"/>
          </w:tcPr>
          <w:p>
            <w:pPr>
              <w:spacing w:after="0"/>
              <w:rPr>
                <w:sz w:val="23"/>
                <w:szCs w:val="23"/>
                <w:color w:val="auto"/>
              </w:rPr>
            </w:pPr>
          </w:p>
        </w:tc>
      </w:tr>
      <w:tr>
        <w:trPr>
          <w:trHeight w:val="270"/>
        </w:trPr>
        <w:tc>
          <w:tcPr>
            <w:tcW w:w="5820" w:type="dxa"/>
            <w:vAlign w:val="bottom"/>
          </w:tcPr>
          <w:p>
            <w:pPr>
              <w:ind w:left="60"/>
              <w:spacing w:after="0"/>
              <w:rPr>
                <w:sz w:val="20"/>
                <w:szCs w:val="20"/>
                <w:color w:val="auto"/>
              </w:rPr>
            </w:pPr>
            <w:r>
              <w:rPr>
                <w:rFonts w:ascii="Calibri" w:cs="Calibri" w:eastAsia="Calibri" w:hAnsi="Calibri"/>
                <w:sz w:val="16"/>
                <w:szCs w:val="16"/>
                <w:color w:val="auto"/>
              </w:rPr>
              <w:t>Share-based and unit-based compensaton expense</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2.4</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color w:val="auto"/>
              </w:rPr>
              <w:t>4.4</w:t>
            </w:r>
          </w:p>
        </w:tc>
        <w:tc>
          <w:tcPr>
            <w:tcW w:w="20" w:type="dxa"/>
            <w:vAlign w:val="bottom"/>
          </w:tcPr>
          <w:p>
            <w:pPr>
              <w:spacing w:after="0"/>
              <w:rPr>
                <w:sz w:val="23"/>
                <w:szCs w:val="23"/>
                <w:color w:val="auto"/>
              </w:rPr>
            </w:pPr>
          </w:p>
        </w:tc>
      </w:tr>
      <w:tr>
        <w:trPr>
          <w:trHeight w:val="270"/>
        </w:trPr>
        <w:tc>
          <w:tcPr>
            <w:tcW w:w="5820" w:type="dxa"/>
            <w:vAlign w:val="bottom"/>
          </w:tcPr>
          <w:p>
            <w:pPr>
              <w:ind w:left="60"/>
              <w:spacing w:after="0"/>
              <w:rPr>
                <w:sz w:val="20"/>
                <w:szCs w:val="20"/>
                <w:color w:val="auto"/>
              </w:rPr>
            </w:pPr>
            <w:r>
              <w:rPr>
                <w:rFonts w:ascii="Calibri" w:cs="Calibri" w:eastAsia="Calibri" w:hAnsi="Calibri"/>
                <w:sz w:val="16"/>
                <w:szCs w:val="16"/>
                <w:color w:val="auto"/>
              </w:rPr>
              <w:t>Loss (gain) from change in fair value of warrant liability</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15.1</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color w:val="auto"/>
              </w:rPr>
              <w:t>(0.4)</w:t>
            </w:r>
          </w:p>
        </w:tc>
        <w:tc>
          <w:tcPr>
            <w:tcW w:w="20" w:type="dxa"/>
            <w:vAlign w:val="bottom"/>
          </w:tcPr>
          <w:p>
            <w:pPr>
              <w:spacing w:after="0"/>
              <w:rPr>
                <w:sz w:val="23"/>
                <w:szCs w:val="23"/>
                <w:color w:val="auto"/>
              </w:rPr>
            </w:pPr>
          </w:p>
        </w:tc>
      </w:tr>
      <w:tr>
        <w:trPr>
          <w:trHeight w:val="270"/>
        </w:trPr>
        <w:tc>
          <w:tcPr>
            <w:tcW w:w="5820" w:type="dxa"/>
            <w:vAlign w:val="bottom"/>
          </w:tcPr>
          <w:p>
            <w:pPr>
              <w:ind w:left="60"/>
              <w:spacing w:after="0"/>
              <w:rPr>
                <w:sz w:val="20"/>
                <w:szCs w:val="20"/>
                <w:color w:val="auto"/>
              </w:rPr>
            </w:pPr>
            <w:r>
              <w:rPr>
                <w:rFonts w:ascii="Calibri" w:cs="Calibri" w:eastAsia="Calibri" w:hAnsi="Calibri"/>
                <w:sz w:val="16"/>
                <w:szCs w:val="16"/>
                <w:color w:val="auto"/>
              </w:rPr>
              <w:t>Restructuring expenses</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0.9</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color w:val="auto"/>
              </w:rPr>
              <w:t>0.2</w:t>
            </w:r>
          </w:p>
        </w:tc>
        <w:tc>
          <w:tcPr>
            <w:tcW w:w="20" w:type="dxa"/>
            <w:vAlign w:val="bottom"/>
          </w:tcPr>
          <w:p>
            <w:pPr>
              <w:spacing w:after="0"/>
              <w:rPr>
                <w:sz w:val="23"/>
                <w:szCs w:val="23"/>
                <w:color w:val="auto"/>
              </w:rPr>
            </w:pPr>
          </w:p>
        </w:tc>
      </w:tr>
      <w:tr>
        <w:trPr>
          <w:trHeight w:val="270"/>
        </w:trPr>
        <w:tc>
          <w:tcPr>
            <w:tcW w:w="5820" w:type="dxa"/>
            <w:vAlign w:val="bottom"/>
          </w:tcPr>
          <w:p>
            <w:pPr>
              <w:ind w:left="60"/>
              <w:spacing w:after="0"/>
              <w:rPr>
                <w:sz w:val="20"/>
                <w:szCs w:val="20"/>
                <w:color w:val="auto"/>
              </w:rPr>
            </w:pPr>
            <w:r>
              <w:rPr>
                <w:rFonts w:ascii="Calibri" w:cs="Calibri" w:eastAsia="Calibri" w:hAnsi="Calibri"/>
                <w:sz w:val="16"/>
                <w:szCs w:val="16"/>
                <w:color w:val="auto"/>
              </w:rPr>
              <w:t>Shelf registraton expenses</w:t>
            </w:r>
          </w:p>
        </w:tc>
        <w:tc>
          <w:tcPr>
            <w:tcW w:w="1900" w:type="dxa"/>
            <w:vAlign w:val="bottom"/>
            <w:gridSpan w:val="2"/>
          </w:tcPr>
          <w:p>
            <w:pPr>
              <w:jc w:val="right"/>
              <w:ind w:right="380"/>
              <w:spacing w:after="0"/>
              <w:rPr>
                <w:sz w:val="20"/>
                <w:szCs w:val="20"/>
                <w:color w:val="auto"/>
              </w:rPr>
            </w:pPr>
            <w:r>
              <w:rPr>
                <w:rFonts w:ascii="Calibri" w:cs="Calibri" w:eastAsia="Calibri" w:hAnsi="Calibri"/>
                <w:sz w:val="16"/>
                <w:szCs w:val="16"/>
                <w:color w:val="auto"/>
              </w:rPr>
              <w:t>—</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0" w:type="dxa"/>
            <w:vAlign w:val="bottom"/>
          </w:tcPr>
          <w:p>
            <w:pPr>
              <w:spacing w:after="0"/>
              <w:rPr>
                <w:sz w:val="23"/>
                <w:szCs w:val="23"/>
                <w:color w:val="auto"/>
              </w:rPr>
            </w:pPr>
          </w:p>
        </w:tc>
      </w:tr>
      <w:tr>
        <w:trPr>
          <w:trHeight w:val="270"/>
        </w:trPr>
        <w:tc>
          <w:tcPr>
            <w:tcW w:w="5820" w:type="dxa"/>
            <w:vAlign w:val="bottom"/>
          </w:tcPr>
          <w:p>
            <w:pPr>
              <w:ind w:left="60"/>
              <w:spacing w:after="0"/>
              <w:rPr>
                <w:sz w:val="20"/>
                <w:szCs w:val="20"/>
                <w:color w:val="auto"/>
              </w:rPr>
            </w:pPr>
            <w:r>
              <w:rPr>
                <w:rFonts w:ascii="Calibri" w:cs="Calibri" w:eastAsia="Calibri" w:hAnsi="Calibri"/>
                <w:sz w:val="16"/>
                <w:szCs w:val="16"/>
                <w:color w:val="auto"/>
              </w:rPr>
              <w:t>Transiton services expense</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0.2</w:t>
            </w:r>
          </w:p>
        </w:tc>
        <w:tc>
          <w:tcPr>
            <w:tcW w:w="3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color w:val="auto"/>
              </w:rPr>
              <w:t>1.5</w:t>
            </w:r>
          </w:p>
        </w:tc>
        <w:tc>
          <w:tcPr>
            <w:tcW w:w="20" w:type="dxa"/>
            <w:vAlign w:val="bottom"/>
          </w:tcPr>
          <w:p>
            <w:pPr>
              <w:spacing w:after="0"/>
              <w:rPr>
                <w:sz w:val="23"/>
                <w:szCs w:val="23"/>
                <w:color w:val="auto"/>
              </w:rPr>
            </w:pPr>
          </w:p>
        </w:tc>
      </w:tr>
      <w:tr>
        <w:trPr>
          <w:trHeight w:val="55"/>
        </w:trPr>
        <w:tc>
          <w:tcPr>
            <w:tcW w:w="58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820" w:type="dxa"/>
            <w:vAlign w:val="bottom"/>
          </w:tcPr>
          <w:p>
            <w:pPr>
              <w:ind w:left="60"/>
              <w:spacing w:after="0"/>
              <w:rPr>
                <w:sz w:val="20"/>
                <w:szCs w:val="20"/>
                <w:color w:val="auto"/>
              </w:rPr>
            </w:pPr>
            <w:r>
              <w:rPr>
                <w:rFonts w:ascii="Calibri" w:cs="Calibri" w:eastAsia="Calibri" w:hAnsi="Calibri"/>
                <w:sz w:val="16"/>
                <w:szCs w:val="16"/>
                <w:b w:val="1"/>
                <w:bCs w:val="1"/>
                <w:color w:val="auto"/>
              </w:rPr>
              <w:t>Adjusted EBITDA loss</w:t>
            </w: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($17.9)</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($24.5)</w:t>
            </w:r>
          </w:p>
        </w:tc>
        <w:tc>
          <w:tcPr>
            <w:tcW w:w="20" w:type="dxa"/>
            <w:vAlign w:val="bottom"/>
          </w:tcPr>
          <w:p>
            <w:pPr>
              <w:spacing w:after="0"/>
              <w:rPr>
                <w:sz w:val="19"/>
                <w:szCs w:val="19"/>
                <w:color w:val="auto"/>
              </w:rPr>
            </w:pPr>
          </w:p>
        </w:tc>
      </w:tr>
      <w:tr>
        <w:trPr>
          <w:trHeight w:val="41"/>
        </w:trPr>
        <w:tc>
          <w:tcPr>
            <w:tcW w:w="58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
        </w:trPr>
        <w:tc>
          <w:tcPr>
            <w:tcW w:w="58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140"/>
          </w:cols>
          <w:pgMar w:left="320" w:top="1064" w:right="439" w:bottom="1440" w:gutter="0" w:footer="0" w:header="0"/>
        </w:sectPr>
      </w:pPr>
    </w:p>
    <w:bookmarkStart w:id="11" w:name="page12"/>
    <w:bookmarkEnd w:id="11"/>
    <w:p>
      <w:pPr>
        <w:ind w:right="80"/>
        <w:spacing w:after="0" w:line="230" w:lineRule="auto"/>
        <w:rPr>
          <w:sz w:val="20"/>
          <w:szCs w:val="20"/>
          <w:color w:val="auto"/>
        </w:rPr>
      </w:pPr>
      <w:r>
        <w:rPr>
          <w:rFonts w:ascii="Calibri" w:cs="Calibri" w:eastAsia="Calibri" w:hAnsi="Calibri"/>
          <w:sz w:val="20"/>
          <w:szCs w:val="20"/>
          <w:color w:val="auto"/>
        </w:rPr>
        <w:t>Free Cash Flow is a non-GAAP fnancial measure. Free Cash Flow is cash fow from operatons adjusted for “capitalized internal use sofware development costs and other capital expenditures” and “interest income.” We adjust for capitalized expenses associated with internally developed sofware for our technology platorms given they are a large component of our ongoing expense base given our positon as a technology platorm company.</w:t>
      </w:r>
    </w:p>
    <w:p>
      <w:pPr>
        <w:spacing w:after="0" w:line="252"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We provide Free Cash Flow because we believe that Free Cash Flow, when viewed with our results under GAAP, provides useful informaton for the reasons noted above. However, Free Cash Flow is not a measure of liquidity under GAAP and, accordingly, should not be considered as an alternatve to net cash used in operatng actvites as an indicator of liquidity.</w:t>
      </w:r>
    </w:p>
    <w:p>
      <w:pPr>
        <w:spacing w:after="0" w:line="305"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5640" w:type="dxa"/>
            <w:vAlign w:val="bottom"/>
            <w:vMerge w:val="restart"/>
            <w:shd w:val="clear" w:color="auto" w:fill="000000"/>
          </w:tcPr>
          <w:p>
            <w:pPr>
              <w:ind w:left="20"/>
              <w:spacing w:after="0"/>
              <w:rPr>
                <w:sz w:val="20"/>
                <w:szCs w:val="20"/>
                <w:color w:val="auto"/>
              </w:rPr>
            </w:pPr>
            <w:r>
              <w:rPr>
                <w:rFonts w:ascii="Calibri" w:cs="Calibri" w:eastAsia="Calibri" w:hAnsi="Calibri"/>
                <w:sz w:val="16"/>
                <w:szCs w:val="16"/>
                <w:i w:val="1"/>
                <w:iCs w:val="1"/>
                <w:color w:val="FFFFFF"/>
              </w:rPr>
              <w:t>$mm's</w:t>
            </w:r>
          </w:p>
        </w:tc>
        <w:tc>
          <w:tcPr>
            <w:tcW w:w="1260" w:type="dxa"/>
            <w:vAlign w:val="bottom"/>
            <w:shd w:val="clear" w:color="auto" w:fill="000000"/>
          </w:tcPr>
          <w:p>
            <w:pPr>
              <w:jc w:val="right"/>
              <w:spacing w:after="0"/>
              <w:rPr>
                <w:sz w:val="20"/>
                <w:szCs w:val="20"/>
                <w:color w:val="auto"/>
              </w:rPr>
            </w:pPr>
            <w:r>
              <w:rPr>
                <w:rFonts w:ascii="Calibri" w:cs="Calibri" w:eastAsia="Calibri" w:hAnsi="Calibri"/>
                <w:sz w:val="16"/>
                <w:szCs w:val="16"/>
                <w:color w:val="FFFFFF"/>
              </w:rPr>
              <w:t>FY2024</w:t>
            </w:r>
          </w:p>
        </w:tc>
        <w:tc>
          <w:tcPr>
            <w:tcW w:w="76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640" w:type="dxa"/>
            <w:vAlign w:val="bottom"/>
            <w:vMerge w:val="continue"/>
            <w:shd w:val="clear" w:color="auto" w:fill="000000"/>
          </w:tcPr>
          <w:p>
            <w:pPr>
              <w:spacing w:after="0"/>
              <w:rPr>
                <w:sz w:val="11"/>
                <w:szCs w:val="11"/>
                <w:color w:val="auto"/>
              </w:rPr>
            </w:pPr>
          </w:p>
        </w:tc>
        <w:tc>
          <w:tcPr>
            <w:tcW w:w="1260" w:type="dxa"/>
            <w:vAlign w:val="bottom"/>
            <w:vMerge w:val="restart"/>
            <w:shd w:val="clear" w:color="auto" w:fill="000000"/>
          </w:tcPr>
          <w:p>
            <w:pPr>
              <w:jc w:val="right"/>
              <w:ind w:right="539"/>
              <w:spacing w:after="0"/>
              <w:rPr>
                <w:sz w:val="20"/>
                <w:szCs w:val="20"/>
                <w:color w:val="auto"/>
              </w:rPr>
            </w:pPr>
            <w:r>
              <w:rPr>
                <w:rFonts w:ascii="Calibri" w:cs="Calibri" w:eastAsia="Calibri" w:hAnsi="Calibri"/>
                <w:sz w:val="16"/>
                <w:szCs w:val="16"/>
                <w:color w:val="FFFFFF"/>
              </w:rPr>
              <w:t>Low</w:t>
            </w:r>
          </w:p>
        </w:tc>
        <w:tc>
          <w:tcPr>
            <w:tcW w:w="760" w:type="dxa"/>
            <w:vAlign w:val="bottom"/>
            <w:vMerge w:val="restart"/>
            <w:shd w:val="clear" w:color="auto" w:fill="000000"/>
          </w:tcPr>
          <w:p>
            <w:pPr>
              <w:jc w:val="center"/>
              <w:ind w:right="179"/>
              <w:spacing w:after="0"/>
              <w:rPr>
                <w:sz w:val="20"/>
                <w:szCs w:val="20"/>
                <w:color w:val="auto"/>
              </w:rPr>
            </w:pPr>
            <w:r>
              <w:rPr>
                <w:rFonts w:ascii="Calibri" w:cs="Calibri" w:eastAsia="Calibri" w:hAnsi="Calibri"/>
                <w:sz w:val="16"/>
                <w:szCs w:val="16"/>
                <w:color w:val="FFFFFF"/>
              </w:rPr>
              <w:t>High</w:t>
            </w:r>
          </w:p>
        </w:tc>
        <w:tc>
          <w:tcPr>
            <w:tcW w:w="0" w:type="dxa"/>
            <w:vAlign w:val="bottom"/>
          </w:tcPr>
          <w:p>
            <w:pPr>
              <w:spacing w:after="0"/>
              <w:rPr>
                <w:sz w:val="1"/>
                <w:szCs w:val="1"/>
                <w:color w:val="auto"/>
              </w:rPr>
            </w:pPr>
          </w:p>
        </w:tc>
      </w:tr>
      <w:tr>
        <w:trPr>
          <w:trHeight w:val="169"/>
        </w:trPr>
        <w:tc>
          <w:tcPr>
            <w:tcW w:w="5640" w:type="dxa"/>
            <w:vAlign w:val="bottom"/>
            <w:tcBorders>
              <w:bottom w:val="single" w:sz="8" w:color="auto"/>
            </w:tcBorders>
            <w:shd w:val="clear" w:color="auto" w:fill="000000"/>
          </w:tcPr>
          <w:p>
            <w:pPr>
              <w:spacing w:after="0"/>
              <w:rPr>
                <w:sz w:val="14"/>
                <w:szCs w:val="14"/>
                <w:color w:val="auto"/>
              </w:rPr>
            </w:pPr>
          </w:p>
        </w:tc>
        <w:tc>
          <w:tcPr>
            <w:tcW w:w="1260" w:type="dxa"/>
            <w:vAlign w:val="bottom"/>
            <w:tcBorders>
              <w:bottom w:val="single" w:sz="8" w:color="auto"/>
            </w:tcBorders>
            <w:vMerge w:val="continue"/>
            <w:shd w:val="clear" w:color="auto" w:fill="000000"/>
          </w:tcPr>
          <w:p>
            <w:pPr>
              <w:spacing w:after="0"/>
              <w:rPr>
                <w:sz w:val="14"/>
                <w:szCs w:val="14"/>
                <w:color w:val="auto"/>
              </w:rPr>
            </w:pPr>
          </w:p>
        </w:tc>
        <w:tc>
          <w:tcPr>
            <w:tcW w:w="760" w:type="dxa"/>
            <w:vAlign w:val="bottom"/>
            <w:tcBorders>
              <w:bottom w:val="single" w:sz="8" w:color="auto"/>
            </w:tcBorders>
            <w:vMerge w:val="continue"/>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Calibri" w:cs="Calibri" w:eastAsia="Calibri" w:hAnsi="Calibri"/>
                <w:sz w:val="16"/>
                <w:szCs w:val="16"/>
                <w:b w:val="1"/>
                <w:bCs w:val="1"/>
                <w:color w:val="auto"/>
              </w:rPr>
              <w:t>Net cash used in operatng actvites</w:t>
            </w:r>
          </w:p>
        </w:tc>
        <w:tc>
          <w:tcPr>
            <w:tcW w:w="126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($72.0)</w:t>
            </w:r>
          </w:p>
        </w:tc>
        <w:tc>
          <w:tcPr>
            <w:tcW w:w="760" w:type="dxa"/>
            <w:vAlign w:val="bottom"/>
          </w:tcPr>
          <w:p>
            <w:pPr>
              <w:jc w:val="center"/>
              <w:ind w:right="139"/>
              <w:spacing w:after="0"/>
              <w:rPr>
                <w:sz w:val="20"/>
                <w:szCs w:val="20"/>
                <w:color w:val="auto"/>
              </w:rPr>
            </w:pPr>
            <w:r>
              <w:rPr>
                <w:rFonts w:ascii="Calibri" w:cs="Calibri" w:eastAsia="Calibri" w:hAnsi="Calibri"/>
                <w:sz w:val="16"/>
                <w:szCs w:val="16"/>
                <w:b w:val="1"/>
                <w:bCs w:val="1"/>
                <w:color w:val="auto"/>
                <w:w w:val="98"/>
              </w:rPr>
              <w:t>($79.0)</w:t>
            </w:r>
          </w:p>
        </w:tc>
        <w:tc>
          <w:tcPr>
            <w:tcW w:w="0" w:type="dxa"/>
            <w:vAlign w:val="bottom"/>
          </w:tcPr>
          <w:p>
            <w:pPr>
              <w:spacing w:after="0"/>
              <w:rPr>
                <w:sz w:val="1"/>
                <w:szCs w:val="1"/>
                <w:color w:val="auto"/>
              </w:rPr>
            </w:pPr>
          </w:p>
        </w:tc>
      </w:tr>
      <w:tr>
        <w:trPr>
          <w:trHeight w:val="270"/>
        </w:trPr>
        <w:tc>
          <w:tcPr>
            <w:tcW w:w="5640" w:type="dxa"/>
            <w:vAlign w:val="bottom"/>
          </w:tcPr>
          <w:p>
            <w:pPr>
              <w:ind w:left="100"/>
              <w:spacing w:after="0"/>
              <w:rPr>
                <w:sz w:val="20"/>
                <w:szCs w:val="20"/>
                <w:color w:val="auto"/>
              </w:rPr>
            </w:pPr>
            <w:r>
              <w:rPr>
                <w:rFonts w:ascii="Calibri" w:cs="Calibri" w:eastAsia="Calibri" w:hAnsi="Calibri"/>
                <w:sz w:val="16"/>
                <w:szCs w:val="16"/>
                <w:color w:val="auto"/>
              </w:rPr>
              <w:t>Capex</w:t>
            </w:r>
          </w:p>
        </w:tc>
        <w:tc>
          <w:tcPr>
            <w:tcW w:w="1260" w:type="dxa"/>
            <w:vAlign w:val="bottom"/>
          </w:tcPr>
          <w:p>
            <w:pPr>
              <w:jc w:val="right"/>
              <w:ind w:right="339"/>
              <w:spacing w:after="0"/>
              <w:rPr>
                <w:sz w:val="20"/>
                <w:szCs w:val="20"/>
                <w:color w:val="auto"/>
              </w:rPr>
            </w:pPr>
            <w:r>
              <w:rPr>
                <w:rFonts w:ascii="Calibri" w:cs="Calibri" w:eastAsia="Calibri" w:hAnsi="Calibri"/>
                <w:sz w:val="16"/>
                <w:szCs w:val="16"/>
                <w:color w:val="auto"/>
              </w:rPr>
              <w:t>(3.1)</w:t>
            </w:r>
          </w:p>
        </w:tc>
        <w:tc>
          <w:tcPr>
            <w:tcW w:w="760" w:type="dxa"/>
            <w:vAlign w:val="bottom"/>
          </w:tcPr>
          <w:p>
            <w:pPr>
              <w:jc w:val="right"/>
              <w:ind w:right="99"/>
              <w:spacing w:after="0"/>
              <w:rPr>
                <w:sz w:val="20"/>
                <w:szCs w:val="20"/>
                <w:color w:val="auto"/>
              </w:rPr>
            </w:pPr>
            <w:r>
              <w:rPr>
                <w:rFonts w:ascii="Calibri" w:cs="Calibri" w:eastAsia="Calibri" w:hAnsi="Calibri"/>
                <w:sz w:val="16"/>
                <w:szCs w:val="16"/>
                <w:color w:val="auto"/>
              </w:rPr>
              <w:t>(3.1)</w:t>
            </w:r>
          </w:p>
        </w:tc>
        <w:tc>
          <w:tcPr>
            <w:tcW w:w="0" w:type="dxa"/>
            <w:vAlign w:val="bottom"/>
          </w:tcPr>
          <w:p>
            <w:pPr>
              <w:spacing w:after="0"/>
              <w:rPr>
                <w:sz w:val="1"/>
                <w:szCs w:val="1"/>
                <w:color w:val="auto"/>
              </w:rPr>
            </w:pPr>
          </w:p>
        </w:tc>
      </w:tr>
      <w:tr>
        <w:trPr>
          <w:trHeight w:val="270"/>
        </w:trPr>
        <w:tc>
          <w:tcPr>
            <w:tcW w:w="5640" w:type="dxa"/>
            <w:vAlign w:val="bottom"/>
          </w:tcPr>
          <w:p>
            <w:pPr>
              <w:ind w:left="100"/>
              <w:spacing w:after="0"/>
              <w:rPr>
                <w:sz w:val="20"/>
                <w:szCs w:val="20"/>
                <w:color w:val="auto"/>
              </w:rPr>
            </w:pPr>
            <w:r>
              <w:rPr>
                <w:rFonts w:ascii="Calibri" w:cs="Calibri" w:eastAsia="Calibri" w:hAnsi="Calibri"/>
                <w:sz w:val="16"/>
                <w:szCs w:val="16"/>
                <w:color w:val="auto"/>
              </w:rPr>
              <w:t>Interest income, net</w:t>
            </w:r>
          </w:p>
        </w:tc>
        <w:tc>
          <w:tcPr>
            <w:tcW w:w="1260" w:type="dxa"/>
            <w:vAlign w:val="bottom"/>
          </w:tcPr>
          <w:p>
            <w:pPr>
              <w:jc w:val="right"/>
              <w:ind w:right="339"/>
              <w:spacing w:after="0"/>
              <w:rPr>
                <w:sz w:val="20"/>
                <w:szCs w:val="20"/>
                <w:color w:val="auto"/>
              </w:rPr>
            </w:pPr>
            <w:r>
              <w:rPr>
                <w:rFonts w:ascii="Calibri" w:cs="Calibri" w:eastAsia="Calibri" w:hAnsi="Calibri"/>
                <w:sz w:val="16"/>
                <w:szCs w:val="16"/>
                <w:color w:val="auto"/>
              </w:rPr>
              <w:t>(3.9)</w:t>
            </w:r>
          </w:p>
        </w:tc>
        <w:tc>
          <w:tcPr>
            <w:tcW w:w="760" w:type="dxa"/>
            <w:vAlign w:val="bottom"/>
          </w:tcPr>
          <w:p>
            <w:pPr>
              <w:jc w:val="right"/>
              <w:ind w:right="99"/>
              <w:spacing w:after="0"/>
              <w:rPr>
                <w:sz w:val="20"/>
                <w:szCs w:val="20"/>
                <w:color w:val="auto"/>
              </w:rPr>
            </w:pPr>
            <w:r>
              <w:rPr>
                <w:rFonts w:ascii="Calibri" w:cs="Calibri" w:eastAsia="Calibri" w:hAnsi="Calibri"/>
                <w:sz w:val="16"/>
                <w:szCs w:val="16"/>
                <w:color w:val="auto"/>
              </w:rPr>
              <w:t>(4.0)</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Calibri" w:cs="Calibri" w:eastAsia="Calibri" w:hAnsi="Calibri"/>
                <w:sz w:val="16"/>
                <w:szCs w:val="16"/>
                <w:b w:val="1"/>
                <w:bCs w:val="1"/>
                <w:color w:val="auto"/>
              </w:rPr>
              <w:t>Free Cash Flow</w:t>
            </w:r>
          </w:p>
        </w:tc>
        <w:tc>
          <w:tcPr>
            <w:tcW w:w="126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($79.0)</w:t>
            </w:r>
          </w:p>
        </w:tc>
        <w:tc>
          <w:tcPr>
            <w:tcW w:w="760" w:type="dxa"/>
            <w:vAlign w:val="bottom"/>
          </w:tcPr>
          <w:p>
            <w:pPr>
              <w:jc w:val="center"/>
              <w:ind w:right="139"/>
              <w:spacing w:after="0"/>
              <w:rPr>
                <w:sz w:val="20"/>
                <w:szCs w:val="20"/>
                <w:color w:val="auto"/>
              </w:rPr>
            </w:pPr>
            <w:r>
              <w:rPr>
                <w:rFonts w:ascii="Calibri" w:cs="Calibri" w:eastAsia="Calibri" w:hAnsi="Calibri"/>
                <w:sz w:val="16"/>
                <w:szCs w:val="16"/>
                <w:b w:val="1"/>
                <w:bCs w:val="1"/>
                <w:color w:val="auto"/>
                <w:w w:val="98"/>
              </w:rPr>
              <w:t>($86.1)</w:t>
            </w:r>
          </w:p>
        </w:tc>
        <w:tc>
          <w:tcPr>
            <w:tcW w:w="0" w:type="dxa"/>
            <w:vAlign w:val="bottom"/>
          </w:tcPr>
          <w:p>
            <w:pPr>
              <w:spacing w:after="0"/>
              <w:rPr>
                <w:sz w:val="1"/>
                <w:szCs w:val="1"/>
                <w:color w:val="auto"/>
              </w:rPr>
            </w:pPr>
          </w:p>
        </w:tc>
      </w:tr>
      <w:tr>
        <w:trPr>
          <w:trHeight w:val="41"/>
        </w:trPr>
        <w:tc>
          <w:tcPr>
            <w:tcW w:w="564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420"/>
      </w:cols>
      <w:pgMar w:left="320" w:top="107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1."/>
      <w:numFmt w:val="decimal"/>
    </w:lvl>
    <w:lvl w:ilvl="1">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emdash "/>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2024-08-14T06:08:11Z</dcterms:created>
  <dcterms:modified xsi:type="dcterms:W3CDTF">2024-08-14T06:08:11Z</dcterms:modified>
</cp:coreProperties>
</file>