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637540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662940</wp:posOffset>
            </wp:positionV>
            <wp:extent cx="466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890"/>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089" w:right="339" w:bottom="1440" w:gutter="0" w:footer="0" w:header="0"/>
          <w:type w:val="continuous"/>
        </w:sectPr>
      </w:pPr>
    </w:p>
    <w:tbl>
      <w:tblPr>
        <w:tblLayout w:type="fixed"/>
        <w:tblInd w:w="1400" w:type="dxa"/>
        <w:tblCellMar>
          <w:top w:w="0" w:type="dxa"/>
          <w:left w:w="0" w:type="dxa"/>
          <w:bottom w:w="0" w:type="dxa"/>
          <w:right w:w="0" w:type="dxa"/>
        </w:tblCellMar>
      </w:tblPr>
      <w:tr>
        <w:trPr>
          <w:trHeight w:val="207"/>
        </w:trPr>
        <w:tc>
          <w:tcPr>
            <w:tcW w:w="4740" w:type="dxa"/>
            <w:vAlign w:val="bottom"/>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3280 Peachtree Road NE, 7th Floor</w:t>
            </w:r>
          </w:p>
        </w:tc>
        <w:tc>
          <w:tcPr>
            <w:tcW w:w="268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30305</w:t>
            </w:r>
          </w:p>
        </w:tc>
        <w:tc>
          <w:tcPr>
            <w:tcW w:w="0" w:type="dxa"/>
            <w:vAlign w:val="bottom"/>
          </w:tcPr>
          <w:p>
            <w:pPr>
              <w:spacing w:after="0"/>
              <w:rPr>
                <w:sz w:val="1"/>
                <w:szCs w:val="1"/>
                <w:color w:val="auto"/>
              </w:rPr>
            </w:pPr>
          </w:p>
        </w:tc>
      </w:tr>
      <w:tr>
        <w:trPr>
          <w:trHeight w:val="144"/>
        </w:trPr>
        <w:tc>
          <w:tcPr>
            <w:tcW w:w="474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74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740" w:type="dxa"/>
            <w:vAlign w:val="bottom"/>
          </w:tcPr>
          <w:p>
            <w:pPr>
              <w:jc w:val="center"/>
              <w:ind w:right="19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80" w:type="dxa"/>
            <w:vAlign w:val="bottom"/>
          </w:tcPr>
          <w:p>
            <w:pPr>
              <w:jc w:val="center"/>
              <w:ind w:left="193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203-3017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previously reported, on November 21, 2025, the Company elected to subscribe for a number of warrants to be issued by Transchem Ltd. (“Transchem”), an Indian company listed on BSE Ltd., pursuant to a preferential allotment approved by Transchem’s board of directors and subsequently approved by Transchem’s shareholders.</w:t>
      </w:r>
    </w:p>
    <w:p>
      <w:pPr>
        <w:spacing w:after="0" w:line="177"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On June 3, 2026, the Preferential Issue Committee of Transchem (the "Committee") approved the allotment of 47,500,000 warrants to Bakkt Opco Holdings, LLC. The warrants were issued pursuant to the terms of the preferential allotment approved by the Committee and entitle the holder to acquire ordinary shares of Transchem, in accordance with their terms. The Company paid $9,409,784 for the purchase of these warrants, equivalent to 25% of the total subscription amount.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7340" w:type="dxa"/>
            <w:vAlign w:val="bottom"/>
            <w:gridSpan w:val="2"/>
          </w:tcPr>
          <w:p>
            <w:pPr>
              <w:ind w:left="3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90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448"/>
        </w:trPr>
        <w:tc>
          <w:tcPr>
            <w:tcW w:w="39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104</w:t>
            </w:r>
          </w:p>
        </w:tc>
        <w:tc>
          <w:tcPr>
            <w:tcW w:w="7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r>
      <w:tr>
        <w:trPr>
          <w:trHeight w:val="234"/>
        </w:trPr>
        <w:tc>
          <w:tcPr>
            <w:tcW w:w="3900" w:type="dxa"/>
            <w:vAlign w:val="bottom"/>
          </w:tcPr>
          <w:p>
            <w:pPr>
              <w:spacing w:after="0"/>
              <w:rPr>
                <w:sz w:val="20"/>
                <w:szCs w:val="20"/>
                <w:color w:val="auto"/>
              </w:rPr>
            </w:pPr>
          </w:p>
        </w:tc>
        <w:tc>
          <w:tcPr>
            <w:tcW w:w="7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XBRL document)</w:t>
            </w:r>
          </w:p>
        </w:tc>
      </w:tr>
      <w:tr>
        <w:trPr>
          <w:trHeight w:val="1344"/>
        </w:trPr>
        <w:tc>
          <w:tcPr>
            <w:tcW w:w="390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4, 2026</w:t>
      </w:r>
    </w:p>
    <w:p>
      <w:pPr>
        <w:spacing w:after="0" w:line="2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INC.</w:t>
      </w:r>
    </w:p>
    <w:p>
      <w:pPr>
        <w:spacing w:after="0" w:line="28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2026-06-04T07:35:31Z</dcterms:created>
  <dcterms:modified xsi:type="dcterms:W3CDTF">2026-06-04T07:35:31Z</dcterms:modified>
</cp:coreProperties>
</file>