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ind w:left="7624"/>
        <w:spacing w:after="0"/>
        <w:rPr>
          <w:sz w:val="20"/>
          <w:szCs w:val="20"/>
          <w:color w:val="auto"/>
        </w:rPr>
      </w:pPr>
      <w:r>
        <w:rPr>
          <w:rFonts w:ascii="Times New Roman" w:cs="Times New Roman" w:eastAsia="Times New Roman" w:hAnsi="Times New Roman"/>
          <w:sz w:val="18"/>
          <w:szCs w:val="18"/>
          <w:color w:val="auto"/>
        </w:rPr>
        <w:t>Wilson Sonsini Goodrich &amp; Rosati</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0</wp:posOffset>
            </wp:positionH>
            <wp:positionV relativeFrom="paragraph">
              <wp:posOffset>-119380</wp:posOffset>
            </wp:positionV>
            <wp:extent cx="1097280" cy="41148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097280" cy="411480"/>
                    </a:xfrm>
                    <a:prstGeom prst="rect">
                      <a:avLst/>
                    </a:prstGeom>
                    <a:noFill/>
                  </pic:spPr>
                </pic:pic>
              </a:graphicData>
            </a:graphic>
          </wp:anchor>
        </w:drawing>
      </w:r>
    </w:p>
    <w:p>
      <w:pPr>
        <w:spacing w:after="0" w:line="7" w:lineRule="exact"/>
        <w:rPr>
          <w:sz w:val="24"/>
          <w:szCs w:val="24"/>
          <w:color w:val="auto"/>
        </w:rPr>
      </w:pPr>
    </w:p>
    <w:p>
      <w:pPr>
        <w:ind w:left="7624"/>
        <w:spacing w:after="0"/>
        <w:rPr>
          <w:sz w:val="20"/>
          <w:szCs w:val="20"/>
          <w:color w:val="auto"/>
        </w:rPr>
      </w:pPr>
      <w:r>
        <w:rPr>
          <w:rFonts w:ascii="Times New Roman" w:cs="Times New Roman" w:eastAsia="Times New Roman" w:hAnsi="Times New Roman"/>
          <w:sz w:val="18"/>
          <w:szCs w:val="18"/>
          <w:color w:val="auto"/>
        </w:rPr>
        <w:t>Professional Corporation</w:t>
      </w:r>
    </w:p>
    <w:p>
      <w:pPr>
        <w:spacing w:after="0" w:line="112" w:lineRule="exact"/>
        <w:rPr>
          <w:sz w:val="24"/>
          <w:szCs w:val="24"/>
          <w:color w:val="auto"/>
        </w:rPr>
      </w:pPr>
    </w:p>
    <w:p>
      <w:pPr>
        <w:ind w:left="7624"/>
        <w:spacing w:after="0"/>
        <w:rPr>
          <w:sz w:val="20"/>
          <w:szCs w:val="20"/>
          <w:color w:val="auto"/>
        </w:rPr>
      </w:pPr>
      <w:r>
        <w:rPr>
          <w:rFonts w:ascii="Times New Roman" w:cs="Times New Roman" w:eastAsia="Times New Roman" w:hAnsi="Times New Roman"/>
          <w:sz w:val="18"/>
          <w:szCs w:val="18"/>
          <w:color w:val="auto"/>
        </w:rPr>
        <w:t>650 Page Mill Road</w:t>
      </w:r>
    </w:p>
    <w:p>
      <w:pPr>
        <w:spacing w:after="0" w:line="27" w:lineRule="exact"/>
        <w:rPr>
          <w:sz w:val="24"/>
          <w:szCs w:val="24"/>
          <w:color w:val="auto"/>
        </w:rPr>
      </w:pPr>
    </w:p>
    <w:p>
      <w:pPr>
        <w:ind w:left="7624"/>
        <w:spacing w:after="0"/>
        <w:rPr>
          <w:sz w:val="20"/>
          <w:szCs w:val="20"/>
          <w:color w:val="auto"/>
        </w:rPr>
      </w:pPr>
      <w:r>
        <w:rPr>
          <w:rFonts w:ascii="Times New Roman" w:cs="Times New Roman" w:eastAsia="Times New Roman" w:hAnsi="Times New Roman"/>
          <w:sz w:val="18"/>
          <w:szCs w:val="18"/>
          <w:color w:val="auto"/>
        </w:rPr>
        <w:t>Palo Alto, California 94304-1050</w:t>
      </w:r>
    </w:p>
    <w:p>
      <w:pPr>
        <w:spacing w:after="0" w:line="112" w:lineRule="exact"/>
        <w:rPr>
          <w:sz w:val="24"/>
          <w:szCs w:val="24"/>
          <w:color w:val="auto"/>
        </w:rPr>
      </w:pPr>
    </w:p>
    <w:p>
      <w:pPr>
        <w:ind w:left="7624"/>
        <w:spacing w:after="0"/>
        <w:rPr>
          <w:sz w:val="20"/>
          <w:szCs w:val="20"/>
          <w:color w:val="auto"/>
        </w:rPr>
      </w:pPr>
      <w:r>
        <w:rPr>
          <w:rFonts w:ascii="Times New Roman" w:cs="Times New Roman" w:eastAsia="Times New Roman" w:hAnsi="Times New Roman"/>
          <w:sz w:val="18"/>
          <w:szCs w:val="18"/>
          <w:color w:val="auto"/>
        </w:rPr>
        <w:t>O: 650.493.9300</w:t>
      </w:r>
    </w:p>
    <w:p>
      <w:pPr>
        <w:spacing w:after="0" w:line="27" w:lineRule="exact"/>
        <w:rPr>
          <w:sz w:val="24"/>
          <w:szCs w:val="24"/>
          <w:color w:val="auto"/>
        </w:rPr>
      </w:pPr>
    </w:p>
    <w:p>
      <w:pPr>
        <w:ind w:left="7624"/>
        <w:spacing w:after="0"/>
        <w:rPr>
          <w:sz w:val="20"/>
          <w:szCs w:val="20"/>
          <w:color w:val="auto"/>
        </w:rPr>
      </w:pPr>
      <w:r>
        <w:rPr>
          <w:rFonts w:ascii="Times New Roman" w:cs="Times New Roman" w:eastAsia="Times New Roman" w:hAnsi="Times New Roman"/>
          <w:sz w:val="18"/>
          <w:szCs w:val="18"/>
          <w:color w:val="auto"/>
        </w:rPr>
        <w:t>F: 866.974.7329</w:t>
      </w:r>
    </w:p>
    <w:p>
      <w:pPr>
        <w:spacing w:after="0" w:line="220" w:lineRule="exact"/>
        <w:rPr>
          <w:sz w:val="24"/>
          <w:szCs w:val="24"/>
          <w:color w:val="auto"/>
        </w:rPr>
      </w:pPr>
    </w:p>
    <w:p>
      <w:pPr>
        <w:jc w:val="center"/>
        <w:ind w:right="-23"/>
        <w:spacing w:after="0"/>
        <w:rPr>
          <w:sz w:val="20"/>
          <w:szCs w:val="20"/>
          <w:color w:val="auto"/>
        </w:rPr>
      </w:pPr>
      <w:r>
        <w:rPr>
          <w:rFonts w:ascii="Times New Roman" w:cs="Times New Roman" w:eastAsia="Times New Roman" w:hAnsi="Times New Roman"/>
          <w:sz w:val="18"/>
          <w:szCs w:val="18"/>
          <w:color w:val="auto"/>
        </w:rPr>
        <w:t>February 14, 2024</w:t>
      </w:r>
    </w:p>
    <w:p>
      <w:pPr>
        <w:spacing w:after="0" w:line="221" w:lineRule="exact"/>
        <w:rPr>
          <w:sz w:val="24"/>
          <w:szCs w:val="24"/>
          <w:color w:val="auto"/>
        </w:rPr>
      </w:pPr>
    </w:p>
    <w:p>
      <w:pPr>
        <w:ind w:left="4"/>
        <w:spacing w:after="0"/>
        <w:rPr>
          <w:sz w:val="20"/>
          <w:szCs w:val="20"/>
          <w:color w:val="auto"/>
        </w:rPr>
      </w:pPr>
      <w:r>
        <w:rPr>
          <w:rFonts w:ascii="Times New Roman" w:cs="Times New Roman" w:eastAsia="Times New Roman" w:hAnsi="Times New Roman"/>
          <w:sz w:val="18"/>
          <w:szCs w:val="18"/>
          <w:b w:val="1"/>
          <w:bCs w:val="1"/>
          <w:i w:val="1"/>
          <w:iCs w:val="1"/>
          <w:color w:val="auto"/>
        </w:rPr>
        <w:t>Via EDGAR</w:t>
      </w:r>
    </w:p>
    <w:p>
      <w:pPr>
        <w:spacing w:after="0" w:line="229" w:lineRule="exact"/>
        <w:rPr>
          <w:sz w:val="24"/>
          <w:szCs w:val="24"/>
          <w:color w:val="auto"/>
        </w:rPr>
      </w:pPr>
    </w:p>
    <w:p>
      <w:pPr>
        <w:ind w:left="4"/>
        <w:spacing w:after="0"/>
        <w:rPr>
          <w:sz w:val="20"/>
          <w:szCs w:val="20"/>
          <w:color w:val="auto"/>
        </w:rPr>
      </w:pPr>
      <w:r>
        <w:rPr>
          <w:rFonts w:ascii="Times New Roman" w:cs="Times New Roman" w:eastAsia="Times New Roman" w:hAnsi="Times New Roman"/>
          <w:sz w:val="18"/>
          <w:szCs w:val="18"/>
          <w:color w:val="auto"/>
        </w:rPr>
        <w:t>Securities and Exchange Commission</w:t>
      </w:r>
    </w:p>
    <w:p>
      <w:pPr>
        <w:spacing w:after="0" w:line="27" w:lineRule="exact"/>
        <w:rPr>
          <w:sz w:val="24"/>
          <w:szCs w:val="24"/>
          <w:color w:val="auto"/>
        </w:rPr>
      </w:pPr>
    </w:p>
    <w:p>
      <w:pPr>
        <w:ind w:left="4"/>
        <w:spacing w:after="0"/>
        <w:rPr>
          <w:sz w:val="20"/>
          <w:szCs w:val="20"/>
          <w:color w:val="auto"/>
        </w:rPr>
      </w:pPr>
      <w:r>
        <w:rPr>
          <w:rFonts w:ascii="Times New Roman" w:cs="Times New Roman" w:eastAsia="Times New Roman" w:hAnsi="Times New Roman"/>
          <w:sz w:val="18"/>
          <w:szCs w:val="18"/>
          <w:color w:val="auto"/>
        </w:rPr>
        <w:t>Division of Corporation Finance</w:t>
      </w:r>
    </w:p>
    <w:p>
      <w:pPr>
        <w:spacing w:after="0" w:line="9" w:lineRule="exact"/>
        <w:rPr>
          <w:sz w:val="24"/>
          <w:szCs w:val="24"/>
          <w:color w:val="auto"/>
        </w:rPr>
      </w:pPr>
    </w:p>
    <w:p>
      <w:pPr>
        <w:ind w:left="4"/>
        <w:spacing w:after="0"/>
        <w:rPr>
          <w:sz w:val="20"/>
          <w:szCs w:val="20"/>
          <w:color w:val="auto"/>
        </w:rPr>
      </w:pPr>
      <w:r>
        <w:rPr>
          <w:rFonts w:ascii="Times New Roman" w:cs="Times New Roman" w:eastAsia="Times New Roman" w:hAnsi="Times New Roman"/>
          <w:sz w:val="18"/>
          <w:szCs w:val="18"/>
          <w:color w:val="auto"/>
        </w:rPr>
        <w:t>Office of Crypto Assets</w:t>
      </w:r>
    </w:p>
    <w:p>
      <w:pPr>
        <w:spacing w:after="0" w:line="9" w:lineRule="exact"/>
        <w:rPr>
          <w:sz w:val="24"/>
          <w:szCs w:val="24"/>
          <w:color w:val="auto"/>
        </w:rPr>
      </w:pPr>
    </w:p>
    <w:p>
      <w:pPr>
        <w:ind w:left="4"/>
        <w:spacing w:after="0"/>
        <w:rPr>
          <w:sz w:val="20"/>
          <w:szCs w:val="20"/>
          <w:color w:val="auto"/>
        </w:rPr>
      </w:pPr>
      <w:r>
        <w:rPr>
          <w:rFonts w:ascii="Times New Roman" w:cs="Times New Roman" w:eastAsia="Times New Roman" w:hAnsi="Times New Roman"/>
          <w:sz w:val="18"/>
          <w:szCs w:val="18"/>
          <w:color w:val="auto"/>
        </w:rPr>
        <w:t>100 F Street, N.E.</w:t>
      </w:r>
    </w:p>
    <w:p>
      <w:pPr>
        <w:spacing w:after="0" w:line="9" w:lineRule="exact"/>
        <w:rPr>
          <w:sz w:val="24"/>
          <w:szCs w:val="24"/>
          <w:color w:val="auto"/>
        </w:rPr>
      </w:pPr>
    </w:p>
    <w:p>
      <w:pPr>
        <w:ind w:left="4"/>
        <w:spacing w:after="0"/>
        <w:rPr>
          <w:sz w:val="20"/>
          <w:szCs w:val="20"/>
          <w:color w:val="auto"/>
        </w:rPr>
      </w:pPr>
      <w:r>
        <w:rPr>
          <w:rFonts w:ascii="Times New Roman" w:cs="Times New Roman" w:eastAsia="Times New Roman" w:hAnsi="Times New Roman"/>
          <w:sz w:val="18"/>
          <w:szCs w:val="18"/>
          <w:color w:val="auto"/>
        </w:rPr>
        <w:t>Washington, D.C. 20549</w:t>
      </w:r>
    </w:p>
    <w:p>
      <w:pPr>
        <w:spacing w:after="0" w:line="9" w:lineRule="exact"/>
        <w:rPr>
          <w:sz w:val="24"/>
          <w:szCs w:val="24"/>
          <w:color w:val="auto"/>
        </w:rPr>
      </w:pPr>
    </w:p>
    <w:p>
      <w:pPr>
        <w:ind w:left="4"/>
        <w:spacing w:after="0"/>
        <w:rPr>
          <w:sz w:val="20"/>
          <w:szCs w:val="20"/>
          <w:color w:val="auto"/>
        </w:rPr>
      </w:pPr>
      <w:r>
        <w:rPr>
          <w:rFonts w:ascii="Times New Roman" w:cs="Times New Roman" w:eastAsia="Times New Roman" w:hAnsi="Times New Roman"/>
          <w:sz w:val="18"/>
          <w:szCs w:val="18"/>
          <w:color w:val="auto"/>
        </w:rPr>
        <w:t>Attn: Sandra Hunter Berkheimer and David Lin</w:t>
      </w:r>
    </w:p>
    <w:p>
      <w:pPr>
        <w:spacing w:after="0" w:line="230" w:lineRule="exact"/>
        <w:rPr>
          <w:sz w:val="24"/>
          <w:szCs w:val="24"/>
          <w:color w:val="auto"/>
        </w:rPr>
      </w:pPr>
    </w:p>
    <w:p>
      <w:pPr>
        <w:ind w:left="4"/>
        <w:spacing w:after="0"/>
        <w:tabs>
          <w:tab w:leader="none" w:pos="404" w:val="left"/>
        </w:tabs>
        <w:rPr>
          <w:sz w:val="20"/>
          <w:szCs w:val="20"/>
          <w:color w:val="auto"/>
        </w:rPr>
      </w:pPr>
      <w:r>
        <w:rPr>
          <w:rFonts w:ascii="Times New Roman" w:cs="Times New Roman" w:eastAsia="Times New Roman" w:hAnsi="Times New Roman"/>
          <w:sz w:val="18"/>
          <w:szCs w:val="18"/>
          <w:b w:val="1"/>
          <w:bCs w:val="1"/>
          <w:color w:val="auto"/>
        </w:rPr>
        <w:t>Re:</w:t>
        <w:tab/>
        <w:t>Bakkt Holdings, Inc. Amendment No. 2 to Registration Statement on Form S-3 Filed February 14, 2024 (File No. 333-271362)</w:t>
      </w:r>
    </w:p>
    <w:p>
      <w:pPr>
        <w:spacing w:after="0" w:line="229" w:lineRule="exact"/>
        <w:rPr>
          <w:sz w:val="24"/>
          <w:szCs w:val="24"/>
          <w:color w:val="auto"/>
        </w:rPr>
      </w:pPr>
    </w:p>
    <w:p>
      <w:pPr>
        <w:ind w:left="4"/>
        <w:spacing w:after="0"/>
        <w:rPr>
          <w:sz w:val="20"/>
          <w:szCs w:val="20"/>
          <w:color w:val="auto"/>
        </w:rPr>
      </w:pPr>
      <w:r>
        <w:rPr>
          <w:rFonts w:ascii="Times New Roman" w:cs="Times New Roman" w:eastAsia="Times New Roman" w:hAnsi="Times New Roman"/>
          <w:sz w:val="18"/>
          <w:szCs w:val="18"/>
          <w:color w:val="auto"/>
        </w:rPr>
        <w:t>Dear Ms. Berkheimer and Mr. Lin:</w:t>
      </w:r>
    </w:p>
    <w:p>
      <w:pPr>
        <w:spacing w:after="0" w:line="117" w:lineRule="exact"/>
        <w:rPr>
          <w:sz w:val="24"/>
          <w:szCs w:val="24"/>
          <w:color w:val="auto"/>
        </w:rPr>
      </w:pPr>
    </w:p>
    <w:p>
      <w:pPr>
        <w:jc w:val="both"/>
        <w:ind w:left="4" w:right="20"/>
        <w:spacing w:after="0" w:line="266" w:lineRule="auto"/>
        <w:rPr>
          <w:sz w:val="20"/>
          <w:szCs w:val="20"/>
          <w:color w:val="auto"/>
        </w:rPr>
      </w:pPr>
      <w:r>
        <w:rPr>
          <w:rFonts w:ascii="Times New Roman" w:cs="Times New Roman" w:eastAsia="Times New Roman" w:hAnsi="Times New Roman"/>
          <w:sz w:val="18"/>
          <w:szCs w:val="18"/>
          <w:color w:val="auto"/>
        </w:rPr>
        <w:t>On behalf of Bakkt Holdings, Inc. (including its subsidiaries as the context requires, the “</w:t>
      </w:r>
      <w:r>
        <w:rPr>
          <w:rFonts w:ascii="Times New Roman" w:cs="Times New Roman" w:eastAsia="Times New Roman" w:hAnsi="Times New Roman"/>
          <w:sz w:val="18"/>
          <w:szCs w:val="18"/>
          <w:u w:val="single" w:color="auto"/>
          <w:color w:val="auto"/>
        </w:rPr>
        <w:t>Company</w:t>
      </w:r>
      <w:r>
        <w:rPr>
          <w:rFonts w:ascii="Times New Roman" w:cs="Times New Roman" w:eastAsia="Times New Roman" w:hAnsi="Times New Roman"/>
          <w:sz w:val="18"/>
          <w:szCs w:val="18"/>
          <w:color w:val="auto"/>
        </w:rPr>
        <w:t>” and, in the responses below, “</w:t>
      </w:r>
      <w:r>
        <w:rPr>
          <w:rFonts w:ascii="Times New Roman" w:cs="Times New Roman" w:eastAsia="Times New Roman" w:hAnsi="Times New Roman"/>
          <w:sz w:val="18"/>
          <w:szCs w:val="18"/>
          <w:u w:val="single" w:color="auto"/>
          <w:color w:val="auto"/>
        </w:rPr>
        <w:t>we</w:t>
      </w:r>
      <w:r>
        <w:rPr>
          <w:rFonts w:ascii="Times New Roman" w:cs="Times New Roman" w:eastAsia="Times New Roman" w:hAnsi="Times New Roman"/>
          <w:sz w:val="18"/>
          <w:szCs w:val="18"/>
          <w:color w:val="auto"/>
        </w:rPr>
        <w:t>”, “</w:t>
      </w:r>
      <w:r>
        <w:rPr>
          <w:rFonts w:ascii="Times New Roman" w:cs="Times New Roman" w:eastAsia="Times New Roman" w:hAnsi="Times New Roman"/>
          <w:sz w:val="18"/>
          <w:szCs w:val="18"/>
          <w:u w:val="single" w:color="auto"/>
          <w:color w:val="auto"/>
        </w:rPr>
        <w:t>us</w:t>
      </w:r>
      <w:r>
        <w:rPr>
          <w:rFonts w:ascii="Times New Roman" w:cs="Times New Roman" w:eastAsia="Times New Roman" w:hAnsi="Times New Roman"/>
          <w:sz w:val="18"/>
          <w:szCs w:val="18"/>
          <w:color w:val="auto"/>
        </w:rPr>
        <w:t>” and “</w:t>
      </w:r>
      <w:r>
        <w:rPr>
          <w:rFonts w:ascii="Times New Roman" w:cs="Times New Roman" w:eastAsia="Times New Roman" w:hAnsi="Times New Roman"/>
          <w:sz w:val="18"/>
          <w:szCs w:val="18"/>
          <w:u w:val="single" w:color="auto"/>
          <w:color w:val="auto"/>
        </w:rPr>
        <w:t>our</w:t>
      </w:r>
      <w:r>
        <w:rPr>
          <w:rFonts w:ascii="Times New Roman" w:cs="Times New Roman" w:eastAsia="Times New Roman" w:hAnsi="Times New Roman"/>
          <w:sz w:val="18"/>
          <w:szCs w:val="18"/>
          <w:color w:val="auto"/>
        </w:rPr>
        <w:t>”), we submit this letter containing consolidated responses to the comment letter, dated February 14, 2024, from the staff (the “</w:t>
      </w:r>
      <w:r>
        <w:rPr>
          <w:rFonts w:ascii="Times New Roman" w:cs="Times New Roman" w:eastAsia="Times New Roman" w:hAnsi="Times New Roman"/>
          <w:sz w:val="18"/>
          <w:szCs w:val="18"/>
          <w:u w:val="single" w:color="auto"/>
          <w:color w:val="auto"/>
        </w:rPr>
        <w:t>Staff</w:t>
      </w:r>
      <w:r>
        <w:rPr>
          <w:rFonts w:ascii="Times New Roman" w:cs="Times New Roman" w:eastAsia="Times New Roman" w:hAnsi="Times New Roman"/>
          <w:sz w:val="18"/>
          <w:szCs w:val="18"/>
          <w:color w:val="auto"/>
        </w:rPr>
        <w:t>”) of the Securities and Exchange Commission (the “</w:t>
      </w:r>
      <w:r>
        <w:rPr>
          <w:rFonts w:ascii="Times New Roman" w:cs="Times New Roman" w:eastAsia="Times New Roman" w:hAnsi="Times New Roman"/>
          <w:sz w:val="18"/>
          <w:szCs w:val="18"/>
          <w:u w:val="single" w:color="auto"/>
          <w:color w:val="auto"/>
        </w:rPr>
        <w:t>SEC</w:t>
      </w:r>
      <w:r>
        <w:rPr>
          <w:rFonts w:ascii="Times New Roman" w:cs="Times New Roman" w:eastAsia="Times New Roman" w:hAnsi="Times New Roman"/>
          <w:sz w:val="18"/>
          <w:szCs w:val="18"/>
          <w:color w:val="auto"/>
        </w:rPr>
        <w:t>”) regarding the above-reference registration statement (the “</w:t>
      </w:r>
      <w:r>
        <w:rPr>
          <w:rFonts w:ascii="Times New Roman" w:cs="Times New Roman" w:eastAsia="Times New Roman" w:hAnsi="Times New Roman"/>
          <w:sz w:val="18"/>
          <w:szCs w:val="18"/>
          <w:u w:val="single" w:color="auto"/>
          <w:color w:val="auto"/>
        </w:rPr>
        <w:t>Registration Statement</w:t>
      </w:r>
      <w:r>
        <w:rPr>
          <w:rFonts w:ascii="Times New Roman" w:cs="Times New Roman" w:eastAsia="Times New Roman" w:hAnsi="Times New Roman"/>
          <w:sz w:val="18"/>
          <w:szCs w:val="18"/>
          <w:color w:val="auto"/>
        </w:rPr>
        <w:t>”).</w:t>
      </w:r>
    </w:p>
    <w:p>
      <w:pPr>
        <w:spacing w:after="0" w:line="176" w:lineRule="exact"/>
        <w:rPr>
          <w:sz w:val="24"/>
          <w:szCs w:val="24"/>
          <w:color w:val="auto"/>
        </w:rPr>
      </w:pPr>
    </w:p>
    <w:p>
      <w:pPr>
        <w:ind w:left="4" w:right="620"/>
        <w:spacing w:after="0" w:line="282" w:lineRule="auto"/>
        <w:rPr>
          <w:sz w:val="20"/>
          <w:szCs w:val="20"/>
          <w:color w:val="auto"/>
        </w:rPr>
      </w:pPr>
      <w:r>
        <w:rPr>
          <w:rFonts w:ascii="Times New Roman" w:cs="Times New Roman" w:eastAsia="Times New Roman" w:hAnsi="Times New Roman"/>
          <w:sz w:val="18"/>
          <w:szCs w:val="18"/>
          <w:color w:val="auto"/>
        </w:rPr>
        <w:t>For ease of review, each of the comments from your letter relating to the Registration Statement are set forth below, followed by the Company’s responses.</w:t>
      </w:r>
    </w:p>
    <w:p>
      <w:pPr>
        <w:spacing w:after="0" w:line="162" w:lineRule="exact"/>
        <w:rPr>
          <w:sz w:val="24"/>
          <w:szCs w:val="24"/>
          <w:color w:val="auto"/>
        </w:rPr>
      </w:pPr>
    </w:p>
    <w:p>
      <w:pPr>
        <w:ind w:left="4"/>
        <w:spacing w:after="0"/>
        <w:rPr>
          <w:sz w:val="20"/>
          <w:szCs w:val="20"/>
          <w:color w:val="auto"/>
        </w:rPr>
      </w:pPr>
      <w:r>
        <w:rPr>
          <w:rFonts w:ascii="Times New Roman" w:cs="Times New Roman" w:eastAsia="Times New Roman" w:hAnsi="Times New Roman"/>
          <w:sz w:val="18"/>
          <w:szCs w:val="18"/>
          <w:u w:val="single" w:color="auto"/>
          <w:color w:val="auto"/>
        </w:rPr>
        <w:t>Response Dated February 13, 2024</w:t>
      </w:r>
    </w:p>
    <w:p>
      <w:pPr>
        <w:spacing w:after="0" w:line="225" w:lineRule="exact"/>
        <w:rPr>
          <w:sz w:val="24"/>
          <w:szCs w:val="24"/>
          <w:color w:val="auto"/>
        </w:rPr>
      </w:pPr>
    </w:p>
    <w:p>
      <w:pPr>
        <w:ind w:left="4"/>
        <w:spacing w:after="0"/>
        <w:rPr>
          <w:sz w:val="20"/>
          <w:szCs w:val="20"/>
          <w:color w:val="auto"/>
        </w:rPr>
      </w:pPr>
      <w:r>
        <w:rPr>
          <w:rFonts w:ascii="Times New Roman" w:cs="Times New Roman" w:eastAsia="Times New Roman" w:hAnsi="Times New Roman"/>
          <w:sz w:val="18"/>
          <w:szCs w:val="18"/>
          <w:u w:val="single" w:color="auto"/>
          <w:color w:val="auto"/>
        </w:rPr>
        <w:t>General</w:t>
      </w:r>
    </w:p>
    <w:p>
      <w:pPr>
        <w:spacing w:after="0" w:line="129" w:lineRule="exact"/>
        <w:rPr>
          <w:sz w:val="24"/>
          <w:szCs w:val="24"/>
          <w:color w:val="auto"/>
        </w:rPr>
      </w:pPr>
    </w:p>
    <w:p>
      <w:pPr>
        <w:ind w:left="424" w:hanging="424"/>
        <w:spacing w:after="0" w:line="257" w:lineRule="auto"/>
        <w:tabs>
          <w:tab w:leader="none" w:pos="424" w:val="left"/>
        </w:tabs>
        <w:numPr>
          <w:ilvl w:val="0"/>
          <w:numId w:val="1"/>
        </w:numPr>
        <w:rPr>
          <w:rFonts w:ascii="Times New Roman" w:cs="Times New Roman" w:eastAsia="Times New Roman" w:hAnsi="Times New Roman"/>
          <w:sz w:val="18"/>
          <w:szCs w:val="18"/>
          <w:i w:val="1"/>
          <w:iCs w:val="1"/>
          <w:color w:val="auto"/>
        </w:rPr>
      </w:pPr>
      <w:r>
        <w:rPr>
          <w:rFonts w:ascii="Times New Roman" w:cs="Times New Roman" w:eastAsia="Times New Roman" w:hAnsi="Times New Roman"/>
          <w:sz w:val="18"/>
          <w:szCs w:val="18"/>
          <w:i w:val="1"/>
          <w:iCs w:val="1"/>
          <w:color w:val="auto"/>
        </w:rPr>
        <w:t>While we do not have any further comments at this time regarding your disclosure or the responses that you have provided to our prior comments, please confirm your understanding that our decision not to issue additional comments should not be interpreted to mean that we either agree or disagree with your disclosure or responses. Please also confirm your understanding that, with respect to your business operations, and in particular the Bakkt Crypto and Bakkt Marketplace platforms and the crypto assets you make available for trading on those platforms, our decision not to issue additional comments does not mean that we either agree or disagree with any conclusions you have made, positions you have taken or practices you have engaged in or may engage in.</w:t>
      </w:r>
    </w:p>
    <w:p>
      <w:pPr>
        <w:spacing w:after="0" w:line="288" w:lineRule="exact"/>
        <w:rPr>
          <w:sz w:val="24"/>
          <w:szCs w:val="24"/>
          <w:color w:val="auto"/>
        </w:rPr>
      </w:pPr>
    </w:p>
    <w:p>
      <w:pPr>
        <w:ind w:left="4"/>
        <w:spacing w:after="0"/>
        <w:rPr>
          <w:sz w:val="20"/>
          <w:szCs w:val="20"/>
          <w:color w:val="auto"/>
        </w:rPr>
      </w:pPr>
      <w:r>
        <w:rPr>
          <w:rFonts w:ascii="Times New Roman" w:cs="Times New Roman" w:eastAsia="Times New Roman" w:hAnsi="Times New Roman"/>
          <w:sz w:val="18"/>
          <w:szCs w:val="18"/>
          <w:b w:val="1"/>
          <w:bCs w:val="1"/>
          <w:u w:val="single" w:color="auto"/>
          <w:color w:val="auto"/>
        </w:rPr>
        <w:t>Response</w:t>
      </w:r>
      <w:r>
        <w:rPr>
          <w:rFonts w:ascii="Times New Roman" w:cs="Times New Roman" w:eastAsia="Times New Roman" w:hAnsi="Times New Roman"/>
          <w:sz w:val="18"/>
          <w:szCs w:val="18"/>
          <w:b w:val="1"/>
          <w:bCs w:val="1"/>
          <w:color w:val="auto"/>
        </w:rPr>
        <w:t>:</w:t>
      </w:r>
    </w:p>
    <w:p>
      <w:pPr>
        <w:spacing w:after="0" w:line="121" w:lineRule="exact"/>
        <w:rPr>
          <w:sz w:val="24"/>
          <w:szCs w:val="24"/>
          <w:color w:val="auto"/>
        </w:rPr>
      </w:pPr>
    </w:p>
    <w:p>
      <w:pPr>
        <w:ind w:left="4" w:right="80" w:firstLine="440"/>
        <w:spacing w:after="0" w:line="266" w:lineRule="auto"/>
        <w:rPr>
          <w:sz w:val="20"/>
          <w:szCs w:val="20"/>
          <w:color w:val="auto"/>
        </w:rPr>
      </w:pPr>
      <w:r>
        <w:rPr>
          <w:rFonts w:ascii="Times New Roman" w:cs="Times New Roman" w:eastAsia="Times New Roman" w:hAnsi="Times New Roman"/>
          <w:sz w:val="18"/>
          <w:szCs w:val="18"/>
          <w:color w:val="auto"/>
        </w:rPr>
        <w:t>The Company respectfully acknowledges the Staff’s comment and confirms and acknowledges that the Staff’s decision not to issue additional comments should not be interpreted to mean that the Staff either agrees or disagrees with the Company’s disclosure or responses. Further, the Company acknowledges and confirms that, with respect to the Company’s business operations, and in particular the</w:t>
      </w:r>
    </w:p>
    <w:p>
      <w:pPr>
        <w:spacing w:after="0" w:line="104" w:lineRule="exact"/>
        <w:rPr>
          <w:sz w:val="24"/>
          <w:szCs w:val="24"/>
          <w:color w:val="auto"/>
        </w:rPr>
      </w:pPr>
    </w:p>
    <w:p>
      <w:pPr>
        <w:jc w:val="center"/>
        <w:ind w:right="-43"/>
        <w:spacing w:after="0"/>
        <w:tabs>
          <w:tab w:leader="none" w:pos="120" w:val="left"/>
          <w:tab w:leader="none" w:pos="120" w:val="left"/>
          <w:tab w:leader="none" w:pos="140" w:val="left"/>
          <w:tab w:leader="none" w:pos="140" w:val="left"/>
          <w:tab w:leader="none" w:pos="80" w:val="left"/>
          <w:tab w:leader="none" w:pos="100" w:val="left"/>
          <w:tab w:leader="none" w:pos="80" w:val="left"/>
          <w:tab w:leader="none" w:pos="80" w:val="left"/>
          <w:tab w:leader="none" w:pos="100" w:val="left"/>
        </w:tabs>
        <w:rPr>
          <w:sz w:val="20"/>
          <w:szCs w:val="20"/>
          <w:color w:val="auto"/>
        </w:rPr>
      </w:pPr>
      <w:r>
        <w:rPr>
          <w:rFonts w:ascii="Times New Roman" w:cs="Times New Roman" w:eastAsia="Times New Roman" w:hAnsi="Times New Roman"/>
          <w:sz w:val="14"/>
          <w:szCs w:val="14"/>
          <w:color w:val="auto"/>
        </w:rPr>
        <w:t>AUSTIN </w:t>
        <w:tab/>
        <w:t>BEIJING </w:t>
        <w:tab/>
        <w:t>BOSTON </w:t>
        <w:tab/>
        <w:t>BOULDER </w:t>
        <w:tab/>
        <w:t>BRUSSELS  </w:t>
        <w:tab/>
        <w:t>HONG KONG  </w:t>
        <w:tab/>
        <w:t>LONDON  </w:t>
        <w:tab/>
        <w:t>LOS ANGELES  </w:t>
        <w:tab/>
        <w:t>NEW YORK  </w:t>
      </w:r>
      <w:r>
        <w:rPr>
          <w:sz w:val="20"/>
          <w:szCs w:val="20"/>
          <w:color w:val="auto"/>
        </w:rPr>
        <w:tab/>
      </w:r>
      <w:r>
        <w:rPr>
          <w:rFonts w:ascii="Times New Roman" w:cs="Times New Roman" w:eastAsia="Times New Roman" w:hAnsi="Times New Roman"/>
          <w:sz w:val="13"/>
          <w:szCs w:val="13"/>
          <w:color w:val="auto"/>
        </w:rPr>
        <w:t>PALO ALTO</w:t>
      </w:r>
    </w:p>
    <w:p>
      <w:pPr>
        <w:spacing w:after="0" w:line="96" w:lineRule="exact"/>
        <w:rPr>
          <w:sz w:val="24"/>
          <w:szCs w:val="24"/>
          <w:color w:val="auto"/>
        </w:rPr>
      </w:pPr>
    </w:p>
    <w:p>
      <w:pPr>
        <w:jc w:val="center"/>
        <w:ind w:right="-23"/>
        <w:spacing w:after="0"/>
        <w:tabs>
          <w:tab w:leader="none" w:pos="80" w:val="left"/>
          <w:tab w:leader="none" w:pos="100" w:val="left"/>
          <w:tab w:leader="none" w:pos="80" w:val="left"/>
          <w:tab w:leader="none" w:pos="100" w:val="left"/>
          <w:tab w:leader="none" w:pos="80" w:val="left"/>
          <w:tab w:leader="none" w:pos="80" w:val="left"/>
        </w:tabs>
        <w:rPr>
          <w:sz w:val="20"/>
          <w:szCs w:val="20"/>
          <w:color w:val="auto"/>
        </w:rPr>
      </w:pPr>
      <w:r>
        <w:rPr>
          <w:rFonts w:ascii="Times New Roman" w:cs="Times New Roman" w:eastAsia="Times New Roman" w:hAnsi="Times New Roman"/>
          <w:sz w:val="14"/>
          <w:szCs w:val="14"/>
          <w:color w:val="auto"/>
        </w:rPr>
        <w:t>SALT LAKE CITY  </w:t>
        <w:tab/>
        <w:t>SAN DIEGO  </w:t>
        <w:tab/>
        <w:t>SAN FRANCISCO  </w:t>
        <w:tab/>
        <w:t>SEATTLE  </w:t>
        <w:tab/>
        <w:t>SHANGHAI  </w:t>
        <w:tab/>
        <w:t>WASHINGTON, DC  </w:t>
        <w:tab/>
        <w:t>WILMINGTON, DE</w:t>
      </w:r>
    </w:p>
    <w:p>
      <w:pPr>
        <w:sectPr>
          <w:pgSz w:w="11900" w:h="16838" w:orient="portrait"/>
          <w:cols w:equalWidth="0" w:num="1">
            <w:col w:w="10984"/>
          </w:cols>
          <w:pgMar w:left="436" w:top="229" w:right="479" w:bottom="1440" w:gutter="0" w:footer="0" w:header="0"/>
        </w:sectPr>
      </w:pPr>
    </w:p>
    <w:bookmarkStart w:id="1" w:name="page2"/>
    <w:bookmarkEnd w:id="1"/>
    <w:p>
      <w:pPr>
        <w:ind w:left="4"/>
        <w:spacing w:after="0"/>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74865" cy="38735"/>
                    </a:xfrm>
                    <a:prstGeom prst="rect">
                      <a:avLst/>
                    </a:prstGeom>
                    <a:noFill/>
                  </pic:spPr>
                </pic:pic>
              </a:graphicData>
            </a:graphic>
          </wp:anchor>
        </w:drawing>
        <w:drawing>
          <wp:anchor simplePos="0" relativeHeight="251657728" behindDoc="1" locked="0" layoutInCell="0" allowOverlap="1">
            <wp:simplePos x="0" y="0"/>
            <wp:positionH relativeFrom="page">
              <wp:posOffset>276860</wp:posOffset>
            </wp:positionH>
            <wp:positionV relativeFrom="page">
              <wp:posOffset>183515</wp:posOffset>
            </wp:positionV>
            <wp:extent cx="548640" cy="20574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clrChange>
                        <a:clrFrom>
                          <a:srgbClr val="FFFFFF"/>
                        </a:clrFrom>
                        <a:clrTo>
                          <a:srgbClr val="FFFFFF">
                            <a:alpha val="0"/>
                          </a:srgbClr>
                        </a:clrTo>
                      </a:clrChange>
                      <a:extLst>
                        <a:ext uri="{28A0092B-C50C-407E-A947-70E740481C1C}"/>
                      </a:extLst>
                    </a:blip>
                    <a:srcRect/>
                    <a:stretch>
                      <a:fillRect/>
                    </a:stretch>
                  </pic:blipFill>
                  <pic:spPr bwMode="auto">
                    <a:xfrm>
                      <a:off x="0" y="0"/>
                      <a:ext cx="548640" cy="205740"/>
                    </a:xfrm>
                    <a:prstGeom prst="rect">
                      <a:avLst/>
                    </a:prstGeom>
                    <a:noFill/>
                  </pic:spPr>
                </pic:pic>
              </a:graphicData>
            </a:graphic>
          </wp:anchor>
        </w:drawing>
        <w:t>Securities and Exchange Commission</w:t>
      </w:r>
    </w:p>
    <w:p>
      <w:pPr>
        <w:spacing w:after="0" w:line="27" w:lineRule="exact"/>
        <w:rPr>
          <w:sz w:val="20"/>
          <w:szCs w:val="20"/>
          <w:color w:val="auto"/>
        </w:rPr>
      </w:pPr>
    </w:p>
    <w:p>
      <w:pPr>
        <w:ind w:left="4"/>
        <w:spacing w:after="0"/>
        <w:rPr>
          <w:sz w:val="20"/>
          <w:szCs w:val="20"/>
          <w:color w:val="auto"/>
        </w:rPr>
      </w:pPr>
      <w:r>
        <w:rPr>
          <w:rFonts w:ascii="Times New Roman" w:cs="Times New Roman" w:eastAsia="Times New Roman" w:hAnsi="Times New Roman"/>
          <w:sz w:val="18"/>
          <w:szCs w:val="18"/>
          <w:color w:val="auto"/>
        </w:rPr>
        <w:t>February 14, 2024</w:t>
      </w:r>
    </w:p>
    <w:p>
      <w:pPr>
        <w:spacing w:after="0" w:line="9" w:lineRule="exact"/>
        <w:rPr>
          <w:sz w:val="20"/>
          <w:szCs w:val="20"/>
          <w:color w:val="auto"/>
        </w:rPr>
      </w:pPr>
    </w:p>
    <w:p>
      <w:pPr>
        <w:ind w:left="4"/>
        <w:spacing w:after="0"/>
        <w:rPr>
          <w:sz w:val="20"/>
          <w:szCs w:val="20"/>
          <w:color w:val="auto"/>
        </w:rPr>
      </w:pPr>
      <w:r>
        <w:rPr>
          <w:rFonts w:ascii="Times New Roman" w:cs="Times New Roman" w:eastAsia="Times New Roman" w:hAnsi="Times New Roman"/>
          <w:sz w:val="18"/>
          <w:szCs w:val="18"/>
          <w:color w:val="auto"/>
        </w:rPr>
        <w:t>Page 2</w:t>
      </w:r>
    </w:p>
    <w:p>
      <w:pPr>
        <w:spacing w:after="0" w:line="139" w:lineRule="exact"/>
        <w:rPr>
          <w:sz w:val="20"/>
          <w:szCs w:val="20"/>
          <w:color w:val="auto"/>
        </w:rPr>
      </w:pPr>
    </w:p>
    <w:p>
      <w:pPr>
        <w:ind w:left="4"/>
        <w:spacing w:after="0" w:line="266" w:lineRule="auto"/>
        <w:rPr>
          <w:sz w:val="20"/>
          <w:szCs w:val="20"/>
          <w:color w:val="auto"/>
        </w:rPr>
      </w:pPr>
      <w:r>
        <w:rPr>
          <w:rFonts w:ascii="Times New Roman" w:cs="Times New Roman" w:eastAsia="Times New Roman" w:hAnsi="Times New Roman"/>
          <w:sz w:val="18"/>
          <w:szCs w:val="18"/>
          <w:color w:val="auto"/>
        </w:rPr>
        <w:t>Bakkt Crypto and Bakkt Marketplace platforms and the crypto assets the Company makes available for trading on those platforms, the Staff’s decision not to issue additional comments does not mean that the Staff either agrees or disagrees with any conclusions the Company has made, positions the Company has taken, or practices the Company has engaged in or may engage in.</w:t>
      </w:r>
    </w:p>
    <w:p>
      <w:pPr>
        <w:spacing w:after="0" w:line="176" w:lineRule="exact"/>
        <w:rPr>
          <w:sz w:val="20"/>
          <w:szCs w:val="20"/>
          <w:color w:val="auto"/>
        </w:rPr>
      </w:pPr>
    </w:p>
    <w:p>
      <w:pPr>
        <w:ind w:left="4" w:right="1100"/>
        <w:spacing w:after="0" w:line="282" w:lineRule="auto"/>
        <w:rPr>
          <w:sz w:val="20"/>
          <w:szCs w:val="20"/>
          <w:color w:val="auto"/>
        </w:rPr>
      </w:pPr>
      <w:r>
        <w:rPr>
          <w:rFonts w:ascii="Times New Roman" w:cs="Times New Roman" w:eastAsia="Times New Roman" w:hAnsi="Times New Roman"/>
          <w:sz w:val="18"/>
          <w:szCs w:val="18"/>
          <w:color w:val="auto"/>
        </w:rPr>
        <w:t>Please direct any questions regarding the Company’s responses or the Registration Statement to J. Matthew Lyons at (512) 338-5411 or mlyons@wsgr.com or Austin D. March at (512) 338-5410 or amarch@wsgr.com.</w:t>
      </w:r>
    </w:p>
    <w:p>
      <w:pPr>
        <w:sectPr>
          <w:pgSz w:w="11900" w:h="16838" w:orient="portrait"/>
          <w:cols w:equalWidth="0" w:num="1">
            <w:col w:w="10844"/>
          </w:cols>
          <w:pgMar w:left="436" w:top="810" w:right="61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4" w:lineRule="exact"/>
        <w:rPr>
          <w:sz w:val="20"/>
          <w:szCs w:val="20"/>
          <w:color w:val="auto"/>
        </w:rPr>
      </w:pPr>
    </w:p>
    <w:p>
      <w:pPr>
        <w:ind w:left="444" w:right="1400" w:hanging="444"/>
        <w:spacing w:after="0" w:line="289" w:lineRule="auto"/>
        <w:tabs>
          <w:tab w:leader="none" w:pos="436" w:val="left"/>
        </w:tabs>
        <w:numPr>
          <w:ilvl w:val="0"/>
          <w:numId w:val="2"/>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Gavin Michael, Bakkt Holdings, Inc. Marc D’Annunzio, Bakkt Holdings, Inc. Paul Simmons, Bakkt Holdings, Inc.</w:t>
      </w:r>
    </w:p>
    <w:p>
      <w:pPr>
        <w:spacing w:after="0" w:line="20" w:lineRule="exact"/>
        <w:rPr>
          <w:sz w:val="20"/>
          <w:szCs w:val="20"/>
          <w:color w:val="auto"/>
        </w:rPr>
      </w:pPr>
      <w:r>
        <w:rPr>
          <w:sz w:val="20"/>
          <w:szCs w:val="20"/>
          <w:color w:val="auto"/>
        </w:rPr>
        <w:br w:type="column"/>
      </w:r>
    </w:p>
    <w:p>
      <w:pPr>
        <w:spacing w:after="0" w:line="169" w:lineRule="exact"/>
        <w:rPr>
          <w:sz w:val="20"/>
          <w:szCs w:val="20"/>
          <w:color w:val="auto"/>
        </w:rPr>
      </w:pPr>
    </w:p>
    <w:p>
      <w:pPr>
        <w:ind w:left="1160"/>
        <w:spacing w:after="0"/>
        <w:rPr>
          <w:sz w:val="20"/>
          <w:szCs w:val="20"/>
          <w:color w:val="auto"/>
        </w:rPr>
      </w:pPr>
      <w:r>
        <w:rPr>
          <w:rFonts w:ascii="Times New Roman" w:cs="Times New Roman" w:eastAsia="Times New Roman" w:hAnsi="Times New Roman"/>
          <w:sz w:val="18"/>
          <w:szCs w:val="18"/>
          <w:color w:val="auto"/>
        </w:rPr>
        <w:t>Sincerely,</w:t>
      </w:r>
    </w:p>
    <w:p>
      <w:pPr>
        <w:spacing w:after="0" w:line="225" w:lineRule="exact"/>
        <w:rPr>
          <w:sz w:val="20"/>
          <w:szCs w:val="20"/>
          <w:color w:val="auto"/>
        </w:rPr>
      </w:pPr>
    </w:p>
    <w:p>
      <w:pPr>
        <w:ind w:left="1160"/>
        <w:spacing w:after="0"/>
        <w:rPr>
          <w:sz w:val="20"/>
          <w:szCs w:val="20"/>
          <w:color w:val="auto"/>
        </w:rPr>
      </w:pPr>
      <w:r>
        <w:rPr>
          <w:rFonts w:ascii="Times New Roman" w:cs="Times New Roman" w:eastAsia="Times New Roman" w:hAnsi="Times New Roman"/>
          <w:sz w:val="17"/>
          <w:szCs w:val="17"/>
          <w:color w:val="auto"/>
        </w:rPr>
        <w:t>/s/ Wilson Sonsini Goodrich &amp; Rosati, Professional</w:t>
      </w:r>
    </w:p>
    <w:p>
      <w:pPr>
        <w:spacing w:after="0" w:line="39" w:lineRule="exact"/>
        <w:rPr>
          <w:sz w:val="20"/>
          <w:szCs w:val="20"/>
          <w:color w:val="auto"/>
        </w:rPr>
      </w:pPr>
    </w:p>
    <w:p>
      <w:pPr>
        <w:ind w:left="1160"/>
        <w:spacing w:after="0"/>
        <w:rPr>
          <w:sz w:val="20"/>
          <w:szCs w:val="20"/>
          <w:color w:val="auto"/>
        </w:rPr>
      </w:pPr>
      <w:r>
        <w:rPr>
          <w:rFonts w:ascii="Times New Roman" w:cs="Times New Roman" w:eastAsia="Times New Roman" w:hAnsi="Times New Roman"/>
          <w:sz w:val="18"/>
          <w:szCs w:val="18"/>
          <w:color w:val="auto"/>
        </w:rPr>
        <w:t>Corporation</w:t>
      </w:r>
    </w:p>
    <w:p>
      <w:pPr>
        <w:spacing w:after="0" w:line="207" w:lineRule="exact"/>
        <w:rPr>
          <w:sz w:val="20"/>
          <w:szCs w:val="20"/>
          <w:color w:val="auto"/>
        </w:rPr>
      </w:pPr>
    </w:p>
    <w:p>
      <w:pPr>
        <w:ind w:left="1160"/>
        <w:spacing w:after="0"/>
        <w:rPr>
          <w:sz w:val="20"/>
          <w:szCs w:val="20"/>
          <w:color w:val="auto"/>
        </w:rPr>
      </w:pPr>
      <w:r>
        <w:rPr>
          <w:rFonts w:ascii="Times New Roman" w:cs="Times New Roman" w:eastAsia="Times New Roman" w:hAnsi="Times New Roman"/>
          <w:sz w:val="18"/>
          <w:szCs w:val="18"/>
          <w:color w:val="auto"/>
        </w:rPr>
        <w:t>WILSON SONSINI GOODRICH &amp; ROSATI,</w:t>
      </w:r>
    </w:p>
    <w:p>
      <w:pPr>
        <w:spacing w:after="0" w:line="27" w:lineRule="exact"/>
        <w:rPr>
          <w:sz w:val="20"/>
          <w:szCs w:val="20"/>
          <w:color w:val="auto"/>
        </w:rPr>
      </w:pPr>
    </w:p>
    <w:p>
      <w:pPr>
        <w:ind w:left="1160"/>
        <w:spacing w:after="0"/>
        <w:rPr>
          <w:sz w:val="20"/>
          <w:szCs w:val="20"/>
          <w:color w:val="auto"/>
        </w:rPr>
      </w:pPr>
      <w:r>
        <w:rPr>
          <w:rFonts w:ascii="Times New Roman" w:cs="Times New Roman" w:eastAsia="Times New Roman" w:hAnsi="Times New Roman"/>
          <w:sz w:val="18"/>
          <w:szCs w:val="18"/>
          <w:color w:val="auto"/>
        </w:rPr>
        <w:t>PROFESSIONAL CORPORATION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2</w:t>
      </w:r>
    </w:p>
    <w:sectPr>
      <w:pgSz w:w="11900" w:h="16838" w:orient="portrait"/>
      <w:cols w:equalWidth="0" w:num="2">
        <w:col w:w="4744" w:space="720"/>
        <w:col w:w="5380"/>
      </w:cols>
      <w:pgMar w:left="436" w:top="810" w:right="61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w="http://schemas.openxmlformats.org/wordprocessingml/2006/main">
  <w:abstractNum w:abstractNumId="0">
    <w:nsid w:val="643C9869"/>
    <w:multiLevelType w:val="hybridMultilevel"/>
    <w:lvl w:ilvl="0">
      <w:lvlJc w:val="left"/>
      <w:lvlText w:val="%1."/>
      <w:numFmt w:val="decimal"/>
      <w:start w:val="1"/>
    </w:lvl>
  </w:abstractNum>
  <w:abstractNum w:abstractNumId="1">
    <w:nsid w:val="66334873"/>
    <w:multiLevelType w:val="hybridMultilevel"/>
    <w:lvl w:ilvl="0">
      <w:lvlJc w:val="left"/>
      <w:lvlText w:val="%1:"/>
      <w:numFmt w:val="lowerLetter"/>
      <w:start w:val="29"/>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jpe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2024-03-14T23:11:29Z</dcterms:created>
  <dcterms:modified xsi:type="dcterms:W3CDTF">2024-03-14T23:11:29Z</dcterms:modified>
</cp:coreProperties>
</file>