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92054ds3.htm"/>
        <w:bookmarkStart w:id="1" w:name="ksd492054ds3"/>
        <w:bookmarkEnd w:id="0"/>
        <w:bookmarkEnd w:id="1"/>
        <w:r>
          <w:rPr>
            <w:rStyle w:val="InternetLink"/>
          </w:rPr>
          <w:t>Table of Contents</w:t>
        </w:r>
      </w:hyperlink>
    </w:p>
    <w:p>
      <w:pPr>
        <w:pStyle w:val="TextBody"/>
        <w:spacing w:before="0" w:after="0"/>
        <w:jc w:val="center"/>
        <w:rPr>
          <w:rFonts w:ascii="Times New Roman" w:hAnsi="Times New Roman"/>
          <w:b/>
          <w:sz w:val="18"/>
        </w:rPr>
      </w:pPr>
      <w:r>
        <w:rPr>
          <w:rFonts w:ascii="Times New Roman" w:hAnsi="Times New Roman"/>
          <w:b/>
          <w:sz w:val="18"/>
        </w:rPr>
        <w:t xml:space="preserve">As filed with the Securities and Exchange Commission on April 20, 2023 </w:t>
      </w:r>
    </w:p>
    <w:p>
      <w:pPr>
        <w:pStyle w:val="TextBody"/>
        <w:spacing w:before="0" w:after="0"/>
        <w:jc w:val="right"/>
        <w:rPr>
          <w:rFonts w:ascii="Times New Roman" w:hAnsi="Times New Roman"/>
          <w:b/>
          <w:sz w:val="18"/>
        </w:rPr>
      </w:pPr>
      <w:r>
        <w:rPr>
          <w:rFonts w:ascii="Times New Roman" w:hAnsi="Times New Roman"/>
          <w:b/>
          <w:sz w:val="18"/>
        </w:rPr>
        <w:t xml:space="preserve">Registration No. 333-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sz w:val="36"/>
        </w:rPr>
      </w:pPr>
      <w:r>
        <w:rPr>
          <w:rFonts w:ascii="Times New Roman" w:hAnsi="Times New Roman"/>
          <w:b/>
          <w:sz w:val="36"/>
        </w:rPr>
        <w:t xml:space="preserve">FORM S-3 </w:t>
      </w:r>
    </w:p>
    <w:p>
      <w:pPr>
        <w:pStyle w:val="TextBody"/>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spacing w:before="0" w:after="0"/>
        <w:jc w:val="center"/>
        <w:rPr>
          <w:rFonts w:ascii="Times New Roman" w:hAnsi="Times New Roman"/>
          <w:b/>
          <w:i/>
          <w:sz w:val="24"/>
        </w:rPr>
      </w:pPr>
      <w:r>
        <w:rPr>
          <w:rFonts w:ascii="Times New Roman" w:hAnsi="Times New Roman"/>
          <w:b/>
          <w:i/>
          <w:sz w:val="24"/>
        </w:rPr>
        <w:t xml:space="preserve">UNDER </w:t>
      </w:r>
    </w:p>
    <w:p>
      <w:pPr>
        <w:pStyle w:val="TextBody"/>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sz w:val="48"/>
        </w:rPr>
      </w:pPr>
      <w:r>
        <w:rPr>
          <w:rFonts w:ascii="Times New Roman" w:hAnsi="Times New Roman"/>
          <w:b/>
          <w:sz w:val="48"/>
        </w:rPr>
        <w:t xml:space="preserve">Bakkt Holdings, Inc. </w:t>
      </w:r>
    </w:p>
    <w:p>
      <w:pPr>
        <w:pStyle w:val="TextBody"/>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98-1550750</w:t>
            </w:r>
          </w:p>
        </w:tc>
      </w:tr>
      <w:tr>
        <w:trPr/>
        <w:tc>
          <w:tcPr>
            <w:tcW w:w="5154" w:type="dxa"/>
            <w:tcBorders/>
            <w:shd w:fill="auto" w:val="clear"/>
          </w:tcPr>
          <w:p>
            <w:pPr>
              <w:pStyle w:val="TableContents"/>
              <w:spacing w:before="0" w:after="283"/>
              <w:jc w:val="center"/>
              <w:rPr>
                <w:b/>
              </w:rPr>
            </w:pPr>
            <w:r>
              <w:rPr>
                <w:b/>
              </w:rPr>
              <w:t xml:space="preserve">(State or other jurisdiction of </w:t>
              <w:br/>
              <w:t>incorporation or organization)</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(I.R.S. Employer</w:t>
              <w:br/>
              <w:t>Identification Number)</w:t>
            </w:r>
          </w:p>
        </w:tc>
      </w:tr>
    </w:tbl>
    <w:p>
      <w:pPr>
        <w:pStyle w:val="TextBody"/>
        <w:spacing w:before="40" w:after="0"/>
        <w:jc w:val="center"/>
        <w:rPr>
          <w:rFonts w:ascii="Times New Roman" w:hAnsi="Times New Roman"/>
          <w:b/>
          <w:sz w:val="17"/>
        </w:rPr>
      </w:pPr>
      <w:r>
        <w:rPr>
          <w:rFonts w:ascii="Times New Roman" w:hAnsi="Times New Roman"/>
          <w:b/>
          <w:sz w:val="17"/>
        </w:rPr>
        <w:t xml:space="preserve">10000 Avalon Boulevard, Suite 1000 </w:t>
      </w:r>
    </w:p>
    <w:p>
      <w:pPr>
        <w:pStyle w:val="TextBody"/>
        <w:spacing w:before="0" w:after="0"/>
        <w:jc w:val="center"/>
        <w:rPr>
          <w:rFonts w:ascii="Times New Roman" w:hAnsi="Times New Roman"/>
          <w:b/>
          <w:sz w:val="17"/>
        </w:rPr>
      </w:pPr>
      <w:r>
        <w:rPr>
          <w:rFonts w:ascii="Times New Roman" w:hAnsi="Times New Roman"/>
          <w:b/>
          <w:sz w:val="17"/>
        </w:rPr>
        <w:t xml:space="preserve">Alpharetta, Georgia 30009 </w:t>
      </w:r>
    </w:p>
    <w:p>
      <w:pPr>
        <w:pStyle w:val="TextBody"/>
        <w:spacing w:before="0" w:after="0"/>
        <w:jc w:val="center"/>
        <w:rPr>
          <w:rFonts w:ascii="Times New Roman" w:hAnsi="Times New Roman"/>
          <w:b/>
          <w:sz w:val="17"/>
        </w:rPr>
      </w:pPr>
      <w:r>
        <w:rPr>
          <w:rFonts w:ascii="Times New Roman" w:hAnsi="Times New Roman"/>
          <w:b/>
          <w:sz w:val="17"/>
        </w:rPr>
        <w:t xml:space="preserve">(678) 534-5849 </w:t>
      </w:r>
    </w:p>
    <w:p>
      <w:pPr>
        <w:pStyle w:val="TextBody"/>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sz w:val="17"/>
        </w:rPr>
      </w:pPr>
      <w:r>
        <w:rPr>
          <w:rFonts w:ascii="Times New Roman" w:hAnsi="Times New Roman"/>
          <w:b/>
          <w:sz w:val="17"/>
        </w:rPr>
        <w:t xml:space="preserve">Gavin Michael </w:t>
      </w:r>
    </w:p>
    <w:p>
      <w:pPr>
        <w:pStyle w:val="TextBody"/>
        <w:spacing w:before="0" w:after="0"/>
        <w:jc w:val="center"/>
        <w:rPr>
          <w:rFonts w:ascii="Times New Roman" w:hAnsi="Times New Roman"/>
          <w:b/>
          <w:sz w:val="17"/>
        </w:rPr>
      </w:pPr>
      <w:r>
        <w:rPr>
          <w:rFonts w:ascii="Times New Roman" w:hAnsi="Times New Roman"/>
          <w:b/>
          <w:sz w:val="17"/>
        </w:rPr>
        <w:t xml:space="preserve">Chief Executive Officer </w:t>
      </w:r>
    </w:p>
    <w:p>
      <w:pPr>
        <w:pStyle w:val="TextBody"/>
        <w:spacing w:before="0" w:after="0"/>
        <w:jc w:val="center"/>
        <w:rPr>
          <w:rFonts w:ascii="Times New Roman" w:hAnsi="Times New Roman"/>
          <w:b/>
          <w:sz w:val="17"/>
        </w:rPr>
      </w:pPr>
      <w:r>
        <w:rPr>
          <w:rFonts w:ascii="Times New Roman" w:hAnsi="Times New Roman"/>
          <w:b/>
          <w:sz w:val="17"/>
        </w:rPr>
        <w:t xml:space="preserve">10000 Avalon Boulevard, Suite 1000 </w:t>
      </w:r>
    </w:p>
    <w:p>
      <w:pPr>
        <w:pStyle w:val="TextBody"/>
        <w:spacing w:before="0" w:after="0"/>
        <w:jc w:val="center"/>
        <w:rPr>
          <w:rFonts w:ascii="Times New Roman" w:hAnsi="Times New Roman"/>
          <w:b/>
          <w:sz w:val="17"/>
        </w:rPr>
      </w:pPr>
      <w:r>
        <w:rPr>
          <w:rFonts w:ascii="Times New Roman" w:hAnsi="Times New Roman"/>
          <w:b/>
          <w:sz w:val="17"/>
        </w:rPr>
        <w:t xml:space="preserve">Alpharetta, Georgia 30009 </w:t>
      </w:r>
    </w:p>
    <w:p>
      <w:pPr>
        <w:pStyle w:val="TextBody"/>
        <w:spacing w:before="0" w:after="0"/>
        <w:jc w:val="center"/>
        <w:rPr>
          <w:rFonts w:ascii="Times New Roman" w:hAnsi="Times New Roman"/>
          <w:b/>
          <w:sz w:val="17"/>
        </w:rPr>
      </w:pPr>
      <w:r>
        <w:rPr>
          <w:rFonts w:ascii="Times New Roman" w:hAnsi="Times New Roman"/>
          <w:b/>
          <w:sz w:val="17"/>
        </w:rPr>
        <w:t xml:space="preserve">(678) 534-5849 </w:t>
      </w:r>
    </w:p>
    <w:p>
      <w:pPr>
        <w:pStyle w:val="TextBody"/>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i/>
          <w:sz w:val="17"/>
        </w:rPr>
      </w:pPr>
      <w:r>
        <w:rPr>
          <w:rFonts w:ascii="Times New Roman" w:hAnsi="Times New Roman"/>
          <w:b/>
          <w:i/>
          <w:sz w:val="17"/>
        </w:rPr>
        <w:t xml:space="preserve">Copies to: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J. Matthew Lyons</w:t>
            </w:r>
          </w:p>
          <w:p>
            <w:pPr>
              <w:pStyle w:val="TableContents"/>
              <w:spacing w:before="0" w:after="0"/>
              <w:jc w:val="center"/>
              <w:rPr>
                <w:rFonts w:ascii="Times New Roman" w:hAnsi="Times New Roman"/>
                <w:b/>
                <w:sz w:val="17"/>
              </w:rPr>
            </w:pPr>
            <w:r>
              <w:rPr>
                <w:rFonts w:ascii="Times New Roman" w:hAnsi="Times New Roman"/>
                <w:b/>
                <w:sz w:val="17"/>
              </w:rPr>
              <w:t>Austin D. March</w:t>
            </w:r>
          </w:p>
          <w:p>
            <w:pPr>
              <w:pStyle w:val="TableContents"/>
              <w:spacing w:before="0" w:after="0"/>
              <w:jc w:val="center"/>
              <w:rPr>
                <w:rFonts w:ascii="Times New Roman" w:hAnsi="Times New Roman"/>
                <w:b/>
                <w:sz w:val="17"/>
              </w:rPr>
            </w:pPr>
            <w:r>
              <w:rPr>
                <w:rFonts w:ascii="Times New Roman" w:hAnsi="Times New Roman"/>
                <w:b/>
                <w:sz w:val="17"/>
              </w:rPr>
              <w:t>Wilson Sonsini Goodrich &amp; Rosati,</w:t>
            </w:r>
          </w:p>
          <w:p>
            <w:pPr>
              <w:pStyle w:val="TableContents"/>
              <w:spacing w:before="0" w:after="0"/>
              <w:jc w:val="center"/>
              <w:rPr>
                <w:rFonts w:ascii="Times New Roman" w:hAnsi="Times New Roman"/>
                <w:b/>
                <w:sz w:val="17"/>
              </w:rPr>
            </w:pPr>
            <w:r>
              <w:rPr>
                <w:rFonts w:ascii="Times New Roman" w:hAnsi="Times New Roman"/>
                <w:b/>
                <w:sz w:val="17"/>
              </w:rPr>
              <w:t>Professional Corporation</w:t>
            </w:r>
          </w:p>
          <w:p>
            <w:pPr>
              <w:pStyle w:val="TableContents"/>
              <w:spacing w:before="0" w:after="0"/>
              <w:jc w:val="center"/>
              <w:rPr>
                <w:rFonts w:ascii="Times New Roman" w:hAnsi="Times New Roman"/>
                <w:b/>
                <w:sz w:val="17"/>
              </w:rPr>
            </w:pPr>
            <w:r>
              <w:rPr>
                <w:rFonts w:ascii="Times New Roman" w:hAnsi="Times New Roman"/>
                <w:b/>
                <w:sz w:val="17"/>
              </w:rPr>
              <w:t>900 S. Capital of Texas Highway</w:t>
            </w:r>
          </w:p>
          <w:p>
            <w:pPr>
              <w:pStyle w:val="TableContents"/>
              <w:spacing w:before="0" w:after="0"/>
              <w:jc w:val="center"/>
              <w:rPr>
                <w:rFonts w:ascii="Times New Roman" w:hAnsi="Times New Roman"/>
                <w:b/>
                <w:sz w:val="17"/>
              </w:rPr>
            </w:pPr>
            <w:r>
              <w:rPr>
                <w:rFonts w:ascii="Times New Roman" w:hAnsi="Times New Roman"/>
                <w:b/>
                <w:sz w:val="17"/>
              </w:rPr>
              <w:t>Las Cimas IV, 5th Floor</w:t>
            </w:r>
          </w:p>
          <w:p>
            <w:pPr>
              <w:pStyle w:val="TableContents"/>
              <w:spacing w:before="0" w:after="0"/>
              <w:jc w:val="center"/>
              <w:rPr>
                <w:rFonts w:ascii="Times New Roman" w:hAnsi="Times New Roman"/>
                <w:b/>
                <w:sz w:val="17"/>
              </w:rPr>
            </w:pPr>
            <w:r>
              <w:rPr>
                <w:rFonts w:ascii="Times New Roman" w:hAnsi="Times New Roman"/>
                <w:b/>
                <w:sz w:val="17"/>
              </w:rPr>
              <w:t>Austin, TX 78746</w:t>
            </w:r>
          </w:p>
          <w:p>
            <w:pPr>
              <w:pStyle w:val="TableContents"/>
              <w:spacing w:before="0" w:after="20"/>
              <w:jc w:val="center"/>
              <w:rPr>
                <w:rFonts w:ascii="Times New Roman" w:hAnsi="Times New Roman"/>
                <w:b/>
                <w:sz w:val="17"/>
              </w:rPr>
            </w:pPr>
            <w:r>
              <w:rPr>
                <w:rFonts w:ascii="Times New Roman" w:hAnsi="Times New Roman"/>
                <w:b/>
                <w:sz w:val="17"/>
              </w:rPr>
              <w:t>(512) 338-5400</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Marc DAnnunzio</w:t>
            </w:r>
          </w:p>
          <w:p>
            <w:pPr>
              <w:pStyle w:val="TableContents"/>
              <w:spacing w:before="0" w:after="0"/>
              <w:jc w:val="center"/>
              <w:rPr>
                <w:rFonts w:ascii="Times New Roman" w:hAnsi="Times New Roman"/>
                <w:b/>
                <w:sz w:val="17"/>
              </w:rPr>
            </w:pPr>
            <w:r>
              <w:rPr>
                <w:rFonts w:ascii="Times New Roman" w:hAnsi="Times New Roman"/>
                <w:b/>
                <w:sz w:val="17"/>
              </w:rPr>
              <w:t>General Counsel</w:t>
            </w:r>
          </w:p>
          <w:p>
            <w:pPr>
              <w:pStyle w:val="TableContents"/>
              <w:spacing w:before="0" w:after="0"/>
              <w:jc w:val="center"/>
              <w:rPr>
                <w:rFonts w:ascii="Times New Roman" w:hAnsi="Times New Roman"/>
                <w:b/>
                <w:sz w:val="17"/>
              </w:rPr>
            </w:pPr>
            <w:r>
              <w:rPr>
                <w:rFonts w:ascii="Times New Roman" w:hAnsi="Times New Roman"/>
                <w:b/>
                <w:sz w:val="17"/>
              </w:rPr>
              <w:t>10000 Avalon Boulevard, Suite 1000</w:t>
            </w:r>
          </w:p>
          <w:p>
            <w:pPr>
              <w:pStyle w:val="TableContents"/>
              <w:spacing w:before="0" w:after="0"/>
              <w:jc w:val="center"/>
              <w:rPr>
                <w:rFonts w:ascii="Times New Roman" w:hAnsi="Times New Roman"/>
                <w:b/>
                <w:sz w:val="17"/>
              </w:rPr>
            </w:pPr>
            <w:r>
              <w:rPr>
                <w:rFonts w:ascii="Times New Roman" w:hAnsi="Times New Roman"/>
                <w:b/>
                <w:sz w:val="17"/>
              </w:rPr>
              <w:t>Alpharetta, Georgia 30009</w:t>
            </w:r>
          </w:p>
          <w:p>
            <w:pPr>
              <w:pStyle w:val="TableContents"/>
              <w:spacing w:before="0" w:after="20"/>
              <w:jc w:val="center"/>
              <w:rPr>
                <w:rFonts w:ascii="Times New Roman" w:hAnsi="Times New Roman"/>
                <w:b/>
                <w:sz w:val="17"/>
              </w:rPr>
            </w:pPr>
            <w:r>
              <w:rPr>
                <w:rFonts w:ascii="Times New Roman" w:hAnsi="Times New Roman"/>
                <w:b/>
                <w:sz w:val="17"/>
              </w:rPr>
              <w:t>(678) 534-5849</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sz w:val="17"/>
        </w:rPr>
      </w:pPr>
      <w:r>
        <w:rPr>
          <w:rFonts w:ascii="Times New Roman" w:hAnsi="Times New Roman"/>
          <w:b/>
          <w:sz w:val="17"/>
        </w:rPr>
        <w:t xml:space="preserve">From time to time after the effective date of this registration statement. </w:t>
      </w:r>
    </w:p>
    <w:p>
      <w:pPr>
        <w:pStyle w:val="TextBody"/>
        <w:spacing w:before="0" w:after="0"/>
        <w:jc w:val="center"/>
        <w:rPr>
          <w:rFonts w:ascii="Times New Roman" w:hAnsi="Times New Roman"/>
          <w:sz w:val="17"/>
        </w:rPr>
      </w:pPr>
      <w:r>
        <w:rPr>
          <w:rFonts w:ascii="Times New Roman" w:hAnsi="Times New Roman"/>
          <w:sz w:val="17"/>
        </w:rPr>
        <w:t xml:space="preserve">(Approximate date of commencement of proposed sale to the public) </w:t>
      </w:r>
    </w:p>
    <w:p>
      <w:pPr>
        <w:pStyle w:val="TextBody"/>
        <w:spacing w:before="40" w:after="0"/>
        <w:jc w:val="left"/>
        <w:rPr>
          <w:rFonts w:ascii="Times New Roman" w:hAnsi="Times New Roman"/>
          <w:sz w:val="17"/>
        </w:rPr>
      </w:pPr>
      <w:r>
        <w:rPr>
          <w:rFonts w:ascii="Times New Roman" w:hAnsi="Times New Roman"/>
          <w:sz w:val="17"/>
        </w:rPr>
        <w:t xml:space="preserve">If the only securities being registered on this Form are being offered pursuant to dividend or interest reinvestment plans, please check the following box:  ☐ </w:t>
      </w:r>
    </w:p>
    <w:p>
      <w:pPr>
        <w:pStyle w:val="TextBody"/>
        <w:spacing w:before="40" w:after="0"/>
        <w:jc w:val="left"/>
        <w:rPr>
          <w:rFonts w:ascii="Times New Roman" w:hAnsi="Times New Roman"/>
          <w:sz w:val="17"/>
        </w:rPr>
      </w:pPr>
      <w:r>
        <w:rPr>
          <w:rFonts w:ascii="Times New Roman" w:hAnsi="Times New Roman"/>
          <w:sz w:val="17"/>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spacing w:before="4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spacing w:before="40" w:after="0"/>
        <w:jc w:val="left"/>
        <w:rPr>
          <w:rFonts w:ascii="Times New Roman" w:hAnsi="Times New Roman"/>
          <w:sz w:val="17"/>
        </w:rPr>
      </w:pPr>
      <w:r>
        <w:rPr>
          <w:rFonts w:ascii="Times New Roman" w:hAnsi="Times New Roman"/>
          <w:sz w:val="17"/>
        </w:rPr>
        <w:t xml:space="preserve">If this Form is a post-effective amendment filed pursuant to Rule 462(c) under the Securities Act, please check the following box and list the Securities Act registration statement number of the earlier effective registration statement for the same offering.  ☐ </w:t>
      </w:r>
    </w:p>
    <w:p>
      <w:pPr>
        <w:pStyle w:val="TextBody"/>
        <w:spacing w:before="40" w:after="0"/>
        <w:jc w:val="left"/>
        <w:rPr>
          <w:rFonts w:ascii="Times New Roman" w:hAnsi="Times New Roman"/>
          <w:sz w:val="17"/>
        </w:rPr>
      </w:pPr>
      <w:r>
        <w:rPr>
          <w:rFonts w:ascii="Times New Roman" w:hAnsi="Times New Roman"/>
          <w:sz w:val="17"/>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spacing w:before="40" w:after="0"/>
        <w:jc w:val="left"/>
        <w:rPr>
          <w:rFonts w:ascii="Times New Roman" w:hAnsi="Times New Roman"/>
          <w:sz w:val="17"/>
        </w:rPr>
      </w:pPr>
      <w:r>
        <w:rPr>
          <w:rFonts w:ascii="Times New Roman" w:hAnsi="Times New Roman"/>
          <w:sz w:val="17"/>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spacing w:before="4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84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264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pPr>
            <w:r>
              <w:rPr/>
              <w:t>Large accelerated filer</w:t>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pPr>
            <w:r>
              <w:rPr/>
              <w:t>☐</w:t>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Accelerated filer</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r>
        <w:trPr>
          <w:trHeight w:val="60" w:hRule="atLeast"/>
        </w:trPr>
        <w:tc>
          <w:tcPr>
            <w:tcW w:w="2137" w:type="dxa"/>
            <w:tcBorders/>
            <w:shd w:fill="auto" w:val="clear"/>
            <w:vAlign w:val="center"/>
          </w:tcPr>
          <w:p>
            <w:pPr>
              <w:pStyle w:val="TableContents"/>
              <w:spacing w:before="0" w:after="283"/>
              <w:rPr>
                <w:sz w:val="4"/>
                <w:szCs w:val="4"/>
              </w:rPr>
            </w:pPr>
            <w:r>
              <w:rPr>
                <w:sz w:val="4"/>
                <w:szCs w:val="4"/>
              </w:rPr>
            </w:r>
          </w:p>
        </w:tc>
        <w:tc>
          <w:tcPr>
            <w:tcW w:w="4952"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3"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pPr>
            <w:r>
              <w:rPr/>
              <w:t>Non-accelerated filer</w:t>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pPr>
            <w:r>
              <w:rPr/>
              <w:t>☒</w:t>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Smaller reporting company</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r>
        <w:trPr>
          <w:trHeight w:val="60" w:hRule="atLeast"/>
        </w:trPr>
        <w:tc>
          <w:tcPr>
            <w:tcW w:w="2137" w:type="dxa"/>
            <w:tcBorders/>
            <w:shd w:fill="auto" w:val="clear"/>
            <w:vAlign w:val="center"/>
          </w:tcPr>
          <w:p>
            <w:pPr>
              <w:pStyle w:val="TableContents"/>
              <w:spacing w:before="0" w:after="283"/>
              <w:rPr>
                <w:sz w:val="4"/>
                <w:szCs w:val="4"/>
              </w:rPr>
            </w:pPr>
            <w:r>
              <w:rPr>
                <w:sz w:val="4"/>
                <w:szCs w:val="4"/>
              </w:rPr>
            </w:r>
          </w:p>
        </w:tc>
        <w:tc>
          <w:tcPr>
            <w:tcW w:w="4952"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3"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Emerging growth company</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bl>
    <w:p>
      <w:pPr>
        <w:pStyle w:val="TextBody"/>
        <w:spacing w:before="4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left"/>
        <w:rPr>
          <w:rFonts w:ascii="Times New Roman" w:hAnsi="Times New Roman"/>
          <w:b/>
          <w:sz w:val="17"/>
        </w:rPr>
      </w:pPr>
      <w:r>
        <w:rPr>
          <w:rFonts w:ascii="Times New Roman" w:hAnsi="Times New Roman"/>
          <w:b/>
          <w:sz w:val="17"/>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spacing w:before="0" w:after="0"/>
        <w:jc w:val="left"/>
        <w:rPr/>
      </w:pPr>
      <w:r>
        <w:rPr/>
        <w:t> </w:t>
      </w:r>
    </w:p>
    <w:p>
      <w:pPr>
        <w:pStyle w:val="TextBody"/>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April 20, 2023 </w:t>
      </w:r>
    </w:p>
    <w:p>
      <w:pPr>
        <w:pStyle w:val="TextBody"/>
        <w:spacing w:before="120" w:after="0"/>
        <w:jc w:val="left"/>
        <w:rPr>
          <w:rFonts w:ascii="Times New Roman" w:hAnsi="Times New Roman"/>
          <w:b/>
          <w:sz w:val="20"/>
        </w:rPr>
      </w:pPr>
      <w:r>
        <w:rPr>
          <w:rFonts w:ascii="Times New Roman" w:hAnsi="Times New Roman"/>
          <w:b/>
          <w:sz w:val="20"/>
        </w:rPr>
        <w:t xml:space="preserve">PROSPECTUS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100965" cy="38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965" cy="38100"/>
                    </a:xfrm>
                    <a:prstGeom prst="rect">
                      <a:avLst/>
                    </a:prstGeom>
                  </pic:spPr>
                </pic:pic>
              </a:graphicData>
            </a:graphic>
          </wp:inline>
        </w:drawing>
      </w:r>
      <w:r>
        <w:rPr/>
        <w:t xml:space="preserve"> </w:t>
      </w:r>
    </w:p>
    <w:p>
      <w:pPr>
        <w:pStyle w:val="TextBody"/>
        <w:spacing w:before="240" w:after="0"/>
        <w:jc w:val="center"/>
        <w:rPr>
          <w:rFonts w:ascii="Times New Roman" w:hAnsi="Times New Roman"/>
          <w:b/>
          <w:sz w:val="48"/>
        </w:rPr>
      </w:pPr>
      <w:r>
        <w:rPr>
          <w:rFonts w:ascii="Times New Roman" w:hAnsi="Times New Roman"/>
          <w:b/>
          <w:sz w:val="48"/>
        </w:rPr>
        <w:t xml:space="preserve">Bakkt Holdings, Inc. </w:t>
      </w:r>
    </w:p>
    <w:p>
      <w:pPr>
        <w:pStyle w:val="TextBody"/>
        <w:spacing w:before="240" w:after="0"/>
        <w:jc w:val="center"/>
        <w:rPr>
          <w:rFonts w:ascii="Times New Roman" w:hAnsi="Times New Roman"/>
          <w:b/>
          <w:sz w:val="36"/>
        </w:rPr>
      </w:pPr>
      <w:r>
        <w:rPr>
          <w:rFonts w:ascii="Times New Roman" w:hAnsi="Times New Roman"/>
          <w:b/>
          <w:sz w:val="36"/>
        </w:rPr>
        <w:t xml:space="preserve">$115,000,000 </w:t>
      </w:r>
    </w:p>
    <w:p>
      <w:pPr>
        <w:pStyle w:val="TextBody"/>
        <w:spacing w:before="240" w:after="0"/>
        <w:jc w:val="center"/>
        <w:rPr>
          <w:rFonts w:ascii="Times New Roman" w:hAnsi="Times New Roman"/>
          <w:b/>
          <w:sz w:val="28"/>
        </w:rPr>
      </w:pPr>
      <w:r>
        <w:rPr>
          <w:rFonts w:ascii="Times New Roman" w:hAnsi="Times New Roman"/>
          <w:b/>
          <w:sz w:val="28"/>
        </w:rPr>
        <w:t xml:space="preserve">Class A Common Stock </w:t>
      </w:r>
    </w:p>
    <w:p>
      <w:pPr>
        <w:pStyle w:val="TextBody"/>
        <w:spacing w:before="0" w:after="0"/>
        <w:jc w:val="center"/>
        <w:rPr>
          <w:rFonts w:ascii="Times New Roman" w:hAnsi="Times New Roman"/>
          <w:b/>
          <w:sz w:val="28"/>
        </w:rPr>
      </w:pPr>
      <w:r>
        <w:rPr>
          <w:rFonts w:ascii="Times New Roman" w:hAnsi="Times New Roman"/>
          <w:b/>
          <w:sz w:val="28"/>
        </w:rPr>
        <w:t xml:space="preserve">Preferred Stock </w:t>
      </w:r>
    </w:p>
    <w:p>
      <w:pPr>
        <w:pStyle w:val="TextBody"/>
        <w:spacing w:before="0" w:after="0"/>
        <w:jc w:val="center"/>
        <w:rPr>
          <w:rFonts w:ascii="Times New Roman" w:hAnsi="Times New Roman"/>
          <w:b/>
          <w:sz w:val="28"/>
        </w:rPr>
      </w:pPr>
      <w:r>
        <w:rPr>
          <w:rFonts w:ascii="Times New Roman" w:hAnsi="Times New Roman"/>
          <w:b/>
          <w:sz w:val="28"/>
        </w:rPr>
        <w:t xml:space="preserve">Debt Securities </w:t>
      </w:r>
    </w:p>
    <w:p>
      <w:pPr>
        <w:pStyle w:val="TextBody"/>
        <w:spacing w:before="0" w:after="0"/>
        <w:jc w:val="center"/>
        <w:rPr>
          <w:rFonts w:ascii="Times New Roman" w:hAnsi="Times New Roman"/>
          <w:b/>
          <w:sz w:val="28"/>
        </w:rPr>
      </w:pPr>
      <w:r>
        <w:rPr>
          <w:rFonts w:ascii="Times New Roman" w:hAnsi="Times New Roman"/>
          <w:b/>
          <w:sz w:val="28"/>
        </w:rPr>
        <w:t xml:space="preserve">Warrants </w:t>
      </w:r>
    </w:p>
    <w:p>
      <w:pPr>
        <w:pStyle w:val="TextBody"/>
        <w:spacing w:before="0" w:after="0"/>
        <w:jc w:val="center"/>
        <w:rPr>
          <w:rFonts w:ascii="Times New Roman" w:hAnsi="Times New Roman"/>
          <w:b/>
          <w:sz w:val="28"/>
        </w:rPr>
      </w:pPr>
      <w:r>
        <w:rPr>
          <w:rFonts w:ascii="Times New Roman" w:hAnsi="Times New Roman"/>
          <w:b/>
          <w:sz w:val="28"/>
        </w:rPr>
        <w:t xml:space="preserve">Units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$115,000,000. </w:t>
      </w:r>
    </w:p>
    <w:p>
      <w:pPr>
        <w:pStyle w:val="TextBody"/>
        <w:spacing w:before="240" w:after="0"/>
        <w:jc w:val="left"/>
        <w:rPr>
          <w:rFonts w:ascii="Times New Roman" w:hAnsi="Times New Roman"/>
          <w:sz w:val="20"/>
        </w:rPr>
      </w:pPr>
      <w:r>
        <w:rPr>
          <w:rFonts w:ascii="Times New Roman" w:hAnsi="Times New Roman"/>
          <w:sz w:val="20"/>
        </w:rPr>
        <w:t xml:space="preserve">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 </w:t>
      </w:r>
    </w:p>
    <w:p>
      <w:pPr>
        <w:pStyle w:val="TextBody"/>
        <w:spacing w:before="240" w:after="0"/>
        <w:jc w:val="left"/>
        <w:rPr>
          <w:rFonts w:ascii="Times New Roman" w:hAnsi="Times New Roman"/>
          <w:sz w:val="20"/>
        </w:rPr>
      </w:pPr>
      <w:r>
        <w:rPr>
          <w:rFonts w:ascii="Times New Roman" w:hAnsi="Times New Roman"/>
          <w:sz w:val="20"/>
        </w:rPr>
        <w:t xml:space="preserve">Our Class A common stock, par value $0.0001 per share (Class A Common Stock), and our public warrants to purchase Class A Common Stock are listed on the New York Stock Exchange (NYSE) under the symbols BKKT and BKKT WS, respectively. Each prospectus supplement will indicate whether the securities offered thereby will be listed on any securities exchange. </w:t>
      </w:r>
    </w:p>
    <w:p>
      <w:pPr>
        <w:pStyle w:val="TextBody"/>
        <w:spacing w:before="240" w:after="0"/>
        <w:jc w:val="left"/>
        <w:rPr>
          <w:rFonts w:ascii="Times New Roman" w:hAnsi="Times New Roman"/>
          <w:sz w:val="20"/>
        </w:rPr>
      </w:pPr>
      <w:r>
        <w:rPr>
          <w:rFonts w:ascii="Times New Roman" w:hAnsi="Times New Roman"/>
          <w:sz w:val="20"/>
        </w:rPr>
        <w:t xml:space="preserve">We are an emerging growth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Class A Common Stock on any securities exchange.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pPr>
      <w:r>
        <w:rPr>
          <w:rFonts w:ascii="Times New Roman" w:hAnsi="Times New Roman"/>
          <w:b/>
          <w:sz w:val="24"/>
        </w:rPr>
        <w:t>Investing in these securities involves risks. Please carefully read the information under the headings </w:t>
      </w:r>
      <w:hyperlink w:anchor="rom492054_3">
        <w:r>
          <w:rPr>
            <w:rStyle w:val="InternetLink"/>
            <w:rFonts w:ascii="Times New Roman" w:hAnsi="Times New Roman"/>
            <w:b/>
            <w:i/>
            <w:sz w:val="24"/>
          </w:rPr>
          <w:t>Risk Factors</w:t>
        </w:r>
      </w:hyperlink>
      <w:r>
        <w:rPr>
          <w:rFonts w:ascii="Times New Roman" w:hAnsi="Times New Roman"/>
          <w:b/>
          <w:sz w:val="24"/>
        </w:rPr>
        <w:t> beginning on page 4 of this prospectus and </w:t>
      </w:r>
      <w:r>
        <w:rPr>
          <w:rFonts w:ascii="Times New Roman" w:hAnsi="Times New Roman"/>
          <w:b/>
          <w:i/>
          <w:sz w:val="24"/>
        </w:rPr>
        <w:t>Item 1A  Risk Factors</w:t>
      </w:r>
      <w:r>
        <w:rPr>
          <w:rFonts w:ascii="Times New Roman" w:hAnsi="Times New Roman"/>
          <w:b/>
          <w:sz w:val="24"/>
        </w:rPr>
        <w:t xml:space="preserve"> of our most recent Annual Report on Form 10-K and any Quarterly Report on Form 10-Q filed subsequently to such Form 10-K that is incorporated by reference in this prospectus before you invest in our securities. </w:t>
      </w:r>
    </w:p>
    <w:p>
      <w:pPr>
        <w:pStyle w:val="TextBody"/>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spacing w:before="240" w:after="0"/>
        <w:jc w:val="center"/>
        <w:rPr>
          <w:rFonts w:ascii="Times New Roman" w:hAnsi="Times New Roman"/>
          <w:b/>
          <w:sz w:val="20"/>
        </w:rPr>
      </w:pPr>
      <w:r>
        <w:rPr>
          <w:rFonts w:ascii="Times New Roman" w:hAnsi="Times New Roman"/>
          <w:b/>
          <w:sz w:val="20"/>
        </w:rPr>
        <w:t xml:space="preserve">The date of this prospectus is      , 2023.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274"/>
        <w:gridCol w:w="352"/>
        <w:gridCol w:w="96"/>
        <w:gridCol w:w="420"/>
        <w:gridCol w:w="63"/>
      </w:tblGrid>
      <w:tr>
        <w:trPr/>
        <w:tc>
          <w:tcPr>
            <w:tcW w:w="9274"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274"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51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rom492054_1">
              <w:r>
                <w:rPr>
                  <w:rStyle w:val="InternetLink"/>
                  <w:rFonts w:ascii="Times New Roman" w:hAnsi="Times New Roman"/>
                  <w:sz w:val="20"/>
                </w:rPr>
                <w:t>About this Prospectus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ii</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rom492054_2">
              <w:r>
                <w:rPr>
                  <w:rStyle w:val="InternetLink"/>
                  <w:rFonts w:ascii="Times New Roman" w:hAnsi="Times New Roman"/>
                  <w:sz w:val="20"/>
                </w:rPr>
                <w:t>Prospectus Summary</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rom492054_3">
              <w:r>
                <w:rPr>
                  <w:rStyle w:val="InternetLink"/>
                  <w:rFonts w:ascii="Times New Roman" w:hAnsi="Times New Roman"/>
                  <w:sz w:val="20"/>
                </w:rPr>
                <w:t>Risk Factors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4</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rom492054_4">
              <w:r>
                <w:rPr>
                  <w:rStyle w:val="InternetLink"/>
                  <w:rFonts w:ascii="Times New Roman" w:hAnsi="Times New Roman"/>
                  <w:sz w:val="20"/>
                </w:rPr>
                <w:t>Forward-Looking Statements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4</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rom492054_5">
              <w:r>
                <w:rPr>
                  <w:rStyle w:val="InternetLink"/>
                  <w:rFonts w:ascii="Times New Roman" w:hAnsi="Times New Roman"/>
                  <w:sz w:val="20"/>
                </w:rPr>
                <w:t>Use of Proceeds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rom492054_6">
              <w:r>
                <w:rPr>
                  <w:rStyle w:val="InternetLink"/>
                  <w:rFonts w:ascii="Times New Roman" w:hAnsi="Times New Roman"/>
                  <w:sz w:val="20"/>
                </w:rPr>
                <w:t>Description of Capital Stock</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rom492054_7">
              <w:r>
                <w:rPr>
                  <w:rStyle w:val="InternetLink"/>
                  <w:rFonts w:ascii="Times New Roman" w:hAnsi="Times New Roman"/>
                  <w:sz w:val="20"/>
                </w:rPr>
                <w:t>Description of Debt Securities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rom492054_8">
              <w:r>
                <w:rPr>
                  <w:rStyle w:val="InternetLink"/>
                  <w:rFonts w:ascii="Times New Roman" w:hAnsi="Times New Roman"/>
                  <w:sz w:val="20"/>
                </w:rPr>
                <w:t>Description of Warrants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rom492054_9">
              <w:r>
                <w:rPr>
                  <w:rStyle w:val="InternetLink"/>
                  <w:rFonts w:ascii="Times New Roman" w:hAnsi="Times New Roman"/>
                  <w:sz w:val="20"/>
                </w:rPr>
                <w:t>Description of Units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rom492054_10">
              <w:r>
                <w:rPr>
                  <w:rStyle w:val="InternetLink"/>
                  <w:rFonts w:ascii="Times New Roman" w:hAnsi="Times New Roman"/>
                  <w:sz w:val="20"/>
                </w:rPr>
                <w:t>Plan of Distribution</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15</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rom492054_11">
              <w:r>
                <w:rPr>
                  <w:rStyle w:val="InternetLink"/>
                  <w:rFonts w:ascii="Times New Roman" w:hAnsi="Times New Roman"/>
                  <w:sz w:val="20"/>
                </w:rPr>
                <w:t>Legal Matters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rom492054_12">
              <w:r>
                <w:rPr>
                  <w:rStyle w:val="InternetLink"/>
                  <w:rFonts w:ascii="Times New Roman" w:hAnsi="Times New Roman"/>
                  <w:sz w:val="20"/>
                </w:rPr>
                <w:t>Experts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rom492054_13">
              <w:r>
                <w:rPr>
                  <w:rStyle w:val="InternetLink"/>
                  <w:rFonts w:ascii="Times New Roman" w:hAnsi="Times New Roman"/>
                  <w:sz w:val="20"/>
                </w:rPr>
                <w:t>Where You Can Find More Information</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rom492054_14">
              <w:r>
                <w:rPr>
                  <w:rStyle w:val="InternetLink"/>
                  <w:rFonts w:ascii="Times New Roman" w:hAnsi="Times New Roman"/>
                  <w:sz w:val="20"/>
                </w:rPr>
                <w:t>Incorporation by Reference</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rom492054_1"/>
      <w:bookmarkEnd w:id="3"/>
      <w:r>
        <w:rPr>
          <w:rFonts w:ascii="Times New Roman" w:hAnsi="Times New Roman"/>
          <w:b/>
          <w:sz w:val="20"/>
        </w:rPr>
        <w:t xml:space="preserve">ABOUT THIS PROSPECTUS </w:t>
      </w:r>
    </w:p>
    <w:p>
      <w:pPr>
        <w:pStyle w:val="TextBody"/>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(the SEC) using a shelf registration process. Under this shelf registration process, we may from time to time sell any combination of the securities described in this prospectus in one or more offerings. </w:t>
      </w:r>
    </w:p>
    <w:p>
      <w:pPr>
        <w:pStyle w:val="TextBody"/>
        <w:spacing w:before="240" w:after="0"/>
        <w:jc w:val="left"/>
        <w:rPr>
          <w:rFonts w:ascii="Times New Roman" w:hAnsi="Times New Roman"/>
          <w:sz w:val="20"/>
        </w:rPr>
      </w:pPr>
      <w:r>
        <w:rPr>
          <w:rFonts w:ascii="Times New Roman" w:hAnsi="Times New Roman"/>
          <w:sz w:val="20"/>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any applicable prospectus supplement together with the additional information described under the heading </w:t>
      </w:r>
      <w:r>
        <w:rPr>
          <w:rFonts w:ascii="Times New Roman" w:hAnsi="Times New Roman"/>
          <w:i/>
          <w:sz w:val="20"/>
        </w:rPr>
        <w:t>Where You Can Find More Information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4" w:name="rom492054_2"/>
      <w:bookmarkEnd w:id="4"/>
      <w:r>
        <w:rPr>
          <w:rFonts w:ascii="Times New Roman" w:hAnsi="Times New Roman"/>
          <w:b/>
          <w:sz w:val="20"/>
          <w:bdr w:val="single" w:sz="8" w:space="1" w:color="000000"/>
        </w:rPr>
        <w:t xml:space="preserve">PROSPECTUS SUMMARY </w:t>
      </w:r>
    </w:p>
    <w:p>
      <w:pPr>
        <w:pStyle w:val="TextBody"/>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 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interfaces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or are working to provide, simplified solutions focused in the following areas: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Crypto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Custody</w:t>
            </w:r>
            <w:r>
              <w:rPr>
                <w:rFonts w:ascii="Times New Roman" w:hAnsi="Times New Roman"/>
                <w:sz w:val="20"/>
              </w:rPr>
              <w:t xml:space="preserve">. Our institutional-grade qualified custody solution caters to more experienced market participants, offering a highly secure and compliance-focused infrastructure.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Crypto Connect</w:t>
            </w:r>
            <w:r>
              <w:rPr>
                <w:rFonts w:ascii="Times New Roman" w:hAnsi="Times New Roman"/>
                <w:sz w:val="20"/>
              </w:rPr>
              <w:t xml:space="preserve">. Our platform provides consumers, businesses and institutions with the ability to buy, sell and store crypto in a simple, intuitive digital experience accessed via APIs or embedded web experience.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Crypto Rewards</w:t>
            </w:r>
            <w:r>
              <w:rPr>
                <w:rFonts w:ascii="Times New Roman" w:hAnsi="Times New Roman"/>
                <w:sz w:val="20"/>
              </w:rPr>
              <w:t xml:space="preserve">. We are in the process of enabling clients of all sizes to offer loyalty and rewards to their customers in the form of crypto  either by earning crypto rewards, or by redeeming existing reward currencies, such as points or miles, into crypto.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Crypto Payouts</w:t>
            </w:r>
            <w:r>
              <w:rPr>
                <w:rFonts w:ascii="Times New Roman" w:hAnsi="Times New Roman"/>
                <w:sz w:val="20"/>
              </w:rPr>
              <w:t xml:space="preserve">. We are in the process of enabling consumers to automatically invest a portion of payments into crypto. Crypto payouts allow for new cases (for instance, for gig economy or marketplace participants such as freelancers, content providers, and delivery workers to receive their wages in crypto). </w:t>
            </w:r>
          </w:p>
        </w:tc>
      </w:tr>
    </w:tbl>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Loyalty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 </w:t>
            </w:r>
          </w:p>
        </w:tc>
      </w:tr>
    </w:tbl>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10000 Avalon Boulevard, Suite 1000, Alpharetta, Georgia 30009. Our telephone number is (678) 534-5849. Our website is </w:t>
      </w:r>
      <w:r>
        <w:rPr>
          <w:rFonts w:ascii="Times New Roman" w:hAnsi="Times New Roman"/>
          <w:i/>
          <w:sz w:val="20"/>
          <w:bdr w:val="single" w:sz="8" w:space="1" w:color="000000"/>
        </w:rPr>
        <w:t>https://www.bakkt.com</w:t>
      </w:r>
      <w:r>
        <w:rPr>
          <w:rFonts w:ascii="Times New Roman" w:hAnsi="Times New Roman"/>
          <w:sz w:val="20"/>
          <w:bdr w:val="single" w:sz="8" w:space="1" w:color="000000"/>
        </w:rPr>
        <w:t xml:space="preserve">. Information contained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on, or that can be accessed through, our website is not a part of, and is not incorporated into, this prospectus, and the inclusion of our website address in this prospectus is an inactive textual reference only.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That May Be Offered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or sell Class A Common Stock, preferred stock, debt securities, warrants and units in one or more offerings and in any combination. The aggregate offering price of the securities we sell pursuant to this prospectus will not exceed $115,000,000. Each time securities are offered with this prospectus, we will provide a prospectus supplement that will describe the specific amounts, prices and terms of the securities being offered and the net proceeds we expect to receive from that sale.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Class A Common Stock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shares of our Class A Common Stock either alone or underlying other registered securities convertible into our Class A Common Stock. 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Preferred Stock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Class A Common Stock.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Debt Securities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Class A Common Stock.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Warrants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warrants for the purchase of Class A Common Stock, preferred stock or debt securities. We may offer warrants independently or together with other securities.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Units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units comprised of one or more of the other classes of securities described in this prospectus in any combination. Each unit will be issued so that the holder of the unit is also the holder of each security included in the unit.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rom492054_3"/>
      <w:bookmarkEnd w:id="5"/>
      <w:r>
        <w:rPr>
          <w:rFonts w:ascii="Times New Roman" w:hAnsi="Times New Roman"/>
          <w:b/>
          <w:sz w:val="20"/>
        </w:rPr>
        <w:t xml:space="preserve">RISK FACTORS </w:t>
      </w:r>
    </w:p>
    <w:p>
      <w:pPr>
        <w:pStyle w:val="TextBody"/>
        <w:spacing w:before="240" w:after="0"/>
        <w:jc w:val="left"/>
        <w:rPr>
          <w:rFonts w:ascii="Times New Roman" w:hAnsi="Times New Roman"/>
          <w:sz w:val="20"/>
        </w:rPr>
      </w:pPr>
      <w:r>
        <w:rPr>
          <w:rFonts w:ascii="Times New Roman" w:hAnsi="Times New Roman"/>
          <w:sz w:val="20"/>
        </w:rPr>
        <w:t xml:space="preserve">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w:t>
      </w:r>
    </w:p>
    <w:p>
      <w:pPr>
        <w:pStyle w:val="TextBody"/>
        <w:spacing w:before="480" w:after="0"/>
        <w:jc w:val="center"/>
        <w:rPr>
          <w:rFonts w:ascii="Times New Roman" w:hAnsi="Times New Roman"/>
          <w:b/>
          <w:sz w:val="20"/>
        </w:rPr>
      </w:pPr>
      <w:bookmarkStart w:id="6" w:name="rom492054_4"/>
      <w:bookmarkEnd w:id="6"/>
      <w:r>
        <w:rPr>
          <w:rFonts w:ascii="Times New Roman" w:hAnsi="Times New Roman"/>
          <w:b/>
          <w:sz w:val="20"/>
        </w:rPr>
        <w:t xml:space="preserve">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future financial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the market for our products and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our acquisition of Apex Crypto, LLC (Apex Crypto);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expansion plans and opportunities. </w:t>
            </w:r>
          </w:p>
        </w:tc>
      </w:tr>
    </w:tbl>
    <w:p>
      <w:pPr>
        <w:pStyle w:val="TextBody"/>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they were made and reflect managements expectations, forecasts and assumptions as of such date,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 </w:t>
      </w:r>
    </w:p>
    <w:p>
      <w:pPr>
        <w:pStyle w:val="TextBody"/>
        <w:spacing w:before="240" w:after="0"/>
        <w:jc w:val="left"/>
        <w:rPr>
          <w:rFonts w:ascii="Times New Roman" w:hAnsi="Times New Roman"/>
          <w:sz w:val="20"/>
        </w:rPr>
      </w:pPr>
      <w:r>
        <w:rPr>
          <w:rFonts w:ascii="Times New Roman" w:hAnsi="Times New Roman"/>
          <w:sz w:val="20"/>
        </w:rPr>
        <w:t xml:space="preserve">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grow and manage growth profitably;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our business strategy;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the market in which we compete, including with respect to our competitive landscape, technology evolution or changes in applicable laws or regulations;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the markets that we target;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disruptions in the crypto market that subject us to additional risks, including the risk that banks may not provide banking services to 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possibility that we may be adversely affected by other economic, business, and/or competitive factors;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to launch new services and products or to profitably expand into new markets and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to execute our growth strategies, including identifying and executing acquisitions and our initiatives to add new clients;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successfully integrate the Apex Crypto business and employees, and to achieve the expected benefits from the acquisition;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failure to comply with extensive government regulation, oversight, licensure and appraisals;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uncertain regulatory regime governing blockchain technologies and crypto;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to develop and maintain effective internal controls and procedures;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exposure to any liability, protracted and costly litigation or reputational damage relating to our data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any goodwill or other intangible assets impairments on our operating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any pandemics or other public health emergencies;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inability to maintain the listing of our securities on the NYSE;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other risks and uncertainties indicated in this prospectus, including those set forth under </w:t>
            </w:r>
            <w:r>
              <w:rPr>
                <w:rFonts w:ascii="Times New Roman" w:hAnsi="Times New Roman"/>
                <w:i/>
                <w:sz w:val="20"/>
              </w:rPr>
              <w:t>Risk Factors</w:t>
            </w:r>
            <w:r>
              <w:rPr>
                <w:rFonts w:ascii="Times New Roman" w:hAnsi="Times New Roman"/>
                <w:sz w:val="20"/>
              </w:rPr>
              <w:t xml:space="preserve"> and any risk factors described in any amendments or supplements to this prospectus and in the documents incorporated by reference herein. </w:t>
            </w:r>
          </w:p>
        </w:tc>
      </w:tr>
    </w:tbl>
    <w:p>
      <w:pPr>
        <w:pStyle w:val="TextBody"/>
        <w:spacing w:before="480" w:after="0"/>
        <w:jc w:val="center"/>
        <w:rPr>
          <w:rFonts w:ascii="Times New Roman" w:hAnsi="Times New Roman"/>
          <w:b/>
          <w:sz w:val="20"/>
        </w:rPr>
      </w:pPr>
      <w:bookmarkStart w:id="7" w:name="rom492054_5"/>
      <w:bookmarkEnd w:id="7"/>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to us from the sale of our securities under this prospectus. Unless otherwise provided in the applicable prospectus supplement, we currently expect to use the net proceeds that we receive from this offering for working capital and other general corporate purposes. </w:t>
      </w:r>
    </w:p>
    <w:p>
      <w:pPr>
        <w:pStyle w:val="TextBody"/>
        <w:spacing w:before="480" w:after="0"/>
        <w:jc w:val="center"/>
        <w:rPr>
          <w:rFonts w:ascii="Times New Roman" w:hAnsi="Times New Roman"/>
          <w:b/>
          <w:sz w:val="20"/>
        </w:rPr>
      </w:pPr>
      <w:bookmarkStart w:id="8" w:name="rom492054_6"/>
      <w:bookmarkEnd w:id="8"/>
      <w:r>
        <w:rPr>
          <w:rFonts w:ascii="Times New Roman" w:hAnsi="Times New Roman"/>
          <w:b/>
          <w:sz w:val="20"/>
        </w:rPr>
        <w:t xml:space="preserve">DESCRIPTION OF CAPITAL STOCK </w:t>
      </w:r>
    </w:p>
    <w:p>
      <w:pPr>
        <w:pStyle w:val="TextBody"/>
        <w:spacing w:before="240" w:after="0"/>
        <w:jc w:val="left"/>
        <w:rPr>
          <w:rFonts w:ascii="Times New Roman" w:hAnsi="Times New Roman"/>
          <w:sz w:val="20"/>
        </w:rPr>
      </w:pPr>
      <w:r>
        <w:rPr>
          <w:rFonts w:ascii="Times New Roman" w:hAnsi="Times New Roman"/>
          <w:sz w:val="20"/>
        </w:rPr>
        <w:t xml:space="preserve">The description of our capital stock is incorporated by reference to Exhibit 4.7 to our Annual Report on Form 10-K for the fiscal year ended December 31, 2022, filed with the SEC on March 24, 2023. </w:t>
      </w:r>
    </w:p>
    <w:p>
      <w:pPr>
        <w:pStyle w:val="TextBody"/>
        <w:spacing w:before="480" w:after="0"/>
        <w:jc w:val="center"/>
        <w:rPr>
          <w:rFonts w:ascii="Times New Roman" w:hAnsi="Times New Roman"/>
          <w:b/>
          <w:sz w:val="20"/>
        </w:rPr>
      </w:pPr>
      <w:bookmarkStart w:id="9" w:name="rom492054_7"/>
      <w:bookmarkEnd w:id="9"/>
      <w:r>
        <w:rPr>
          <w:rFonts w:ascii="Times New Roman" w:hAnsi="Times New Roman"/>
          <w:b/>
          <w:sz w:val="20"/>
        </w:rPr>
        <w:t xml:space="preserve">DESCRIPTION OF DEBT SECURITIES </w:t>
      </w:r>
    </w:p>
    <w:p>
      <w:pPr>
        <w:pStyle w:val="TextBody"/>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spacing w:before="36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limit upon the aggregate principal amount of the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w:t>
            </w:r>
          </w:p>
        </w:tc>
      </w:tr>
    </w:tbl>
    <w:p>
      <w:pPr>
        <w:pStyle w:val="TextBody"/>
        <w:spacing w:before="24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spacing w:before="24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a clearing agency registered under the Securities Exchange Act of 1934, as amended (the Exchange Act), which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w:t>
      </w:r>
      <w:r>
        <w:rPr>
          <w:rFonts w:ascii="Times New Roman" w:hAnsi="Times New Roman"/>
          <w:i/>
          <w:sz w:val="20"/>
        </w:rPr>
        <w:t>Global Debt Securities and Book-Entry System</w:t>
      </w:r>
      <w:r>
        <w:rPr>
          <w:rFonts w:ascii="Times New Roman" w:hAnsi="Times New Roman"/>
          <w:sz w:val="20"/>
        </w:rPr>
        <w:t xml:space="preserve"> below, book-entry debt securities will not be issuable in certificated form. </w:t>
      </w:r>
    </w:p>
    <w:p>
      <w:pPr>
        <w:pStyle w:val="TextBody"/>
        <w:spacing w:before="360" w:after="0"/>
        <w:jc w:val="left"/>
        <w:rPr>
          <w:rFonts w:ascii="Times New Roman" w:hAnsi="Times New Roman"/>
          <w:b/>
          <w:i/>
          <w:sz w:val="20"/>
        </w:rPr>
      </w:pPr>
      <w:r>
        <w:rPr>
          <w:rFonts w:ascii="Times New Roman" w:hAnsi="Times New Roman"/>
          <w:b/>
          <w:i/>
          <w:sz w:val="20"/>
        </w:rPr>
        <w:t xml:space="preserve">Certificated Debt Securities </w:t>
      </w:r>
    </w:p>
    <w:p>
      <w:pPr>
        <w:pStyle w:val="TextBody"/>
        <w:spacing w:before="120" w:after="0"/>
        <w:jc w:val="left"/>
        <w:rPr>
          <w:rFonts w:ascii="Times New Roman" w:hAnsi="Times New Roman"/>
          <w:sz w:val="20"/>
        </w:rPr>
      </w:pPr>
      <w:r>
        <w:rPr>
          <w:rFonts w:ascii="Times New Roman" w:hAnsi="Times New Roman"/>
          <w:sz w:val="20"/>
        </w:rPr>
        <w:t xml:space="preserve">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spacing w:before="240" w:after="0"/>
        <w:jc w:val="left"/>
        <w:rPr>
          <w:rFonts w:ascii="Times New Roman" w:hAnsi="Times New Roman"/>
          <w:sz w:val="20"/>
        </w:rPr>
      </w:pPr>
      <w:r>
        <w:rPr>
          <w:rFonts w:ascii="Times New Roman" w:hAnsi="Times New Roman"/>
          <w:sz w:val="20"/>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spacing w:before="360" w:after="0"/>
        <w:jc w:val="left"/>
        <w:rPr>
          <w:rFonts w:ascii="Times New Roman" w:hAnsi="Times New Roman"/>
          <w:b/>
          <w:i/>
          <w:sz w:val="20"/>
        </w:rPr>
      </w:pPr>
      <w:r>
        <w:rPr>
          <w:rFonts w:ascii="Times New Roman" w:hAnsi="Times New Roman"/>
          <w:b/>
          <w:i/>
          <w:sz w:val="20"/>
        </w:rPr>
        <w:t xml:space="preserve">Global Debt Securities and Book-Entry System </w:t>
      </w:r>
    </w:p>
    <w:p>
      <w:pPr>
        <w:pStyle w:val="TextBody"/>
        <w:spacing w:before="120" w:after="0"/>
        <w:jc w:val="left"/>
        <w:rPr>
          <w:rFonts w:ascii="Times New Roman" w:hAnsi="Times New Roman"/>
          <w:sz w:val="20"/>
        </w:rPr>
      </w:pPr>
      <w:r>
        <w:rPr>
          <w:rFonts w:ascii="Times New Roman" w:hAnsi="Times New Roman"/>
          <w:sz w:val="20"/>
        </w:rPr>
        <w:t xml:space="preserve">Each global debt security representing book-entry debt securities will be deposited with, or on behalf of, the depositary, and registered in the name of the depositary or a nominee of the depositary. </w:t>
      </w:r>
    </w:p>
    <w:p>
      <w:pPr>
        <w:pStyle w:val="TextBody"/>
        <w:spacing w:before="360" w:after="0"/>
        <w:jc w:val="left"/>
        <w:rPr>
          <w:rFonts w:ascii="Times New Roman" w:hAnsi="Times New Roman"/>
          <w:b/>
          <w:sz w:val="20"/>
        </w:rPr>
      </w:pPr>
      <w:r>
        <w:rPr>
          <w:rFonts w:ascii="Times New Roman" w:hAnsi="Times New Roman"/>
          <w:b/>
          <w:sz w:val="20"/>
        </w:rPr>
        <w:t xml:space="preserve">Covenants </w:t>
      </w:r>
    </w:p>
    <w:p>
      <w:pPr>
        <w:pStyle w:val="TextBody"/>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w:t>
      </w:r>
    </w:p>
    <w:p>
      <w:pPr>
        <w:pStyle w:val="TextBody"/>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which we refer to as a successor person,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us) is a corporation organized and validly existing under the laws of any U.S. domestic jurisdiction and expressly assumes our obligations on the debt securities and under the indenture;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w:t>
            </w:r>
          </w:p>
        </w:tc>
      </w:tr>
    </w:tbl>
    <w:p>
      <w:pPr>
        <w:pStyle w:val="TextBody"/>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w:t>
      </w:r>
    </w:p>
    <w:p>
      <w:pPr>
        <w:pStyle w:val="TextBody"/>
        <w:spacing w:before="360" w:after="0"/>
        <w:jc w:val="left"/>
        <w:rPr>
          <w:rFonts w:ascii="Times New Roman" w:hAnsi="Times New Roman"/>
          <w:b/>
          <w:sz w:val="20"/>
        </w:rPr>
      </w:pPr>
      <w:r>
        <w:rPr>
          <w:rFonts w:ascii="Times New Roman" w:hAnsi="Times New Roman"/>
          <w:b/>
          <w:sz w:val="20"/>
        </w:rPr>
        <w:t xml:space="preserve">Events of Default </w:t>
      </w:r>
    </w:p>
    <w:p>
      <w:pPr>
        <w:pStyle w:val="TextBody"/>
        <w:spacing w:before="120" w:after="0"/>
        <w:jc w:val="left"/>
        <w:rPr>
          <w:rFonts w:ascii="Times New Roman" w:hAnsi="Times New Roman"/>
          <w:sz w:val="20"/>
        </w:rPr>
      </w:pPr>
      <w:r>
        <w:rPr>
          <w:rFonts w:ascii="Times New Roman" w:hAnsi="Times New Roman"/>
          <w:sz w:val="20"/>
        </w:rPr>
        <w:t xml:space="preserve">Event of Default means with respect to any series of debt securities, any of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5"/>
        <w:gridCol w:w="9290"/>
      </w:tblGrid>
      <w:tr>
        <w:trPr/>
        <w:tc>
          <w:tcPr>
            <w:tcW w:w="915" w:type="dxa"/>
            <w:tcBorders/>
            <w:shd w:fill="auto" w:val="clear"/>
            <w:vAlign w:val="center"/>
          </w:tcPr>
          <w:p>
            <w:pPr>
              <w:pStyle w:val="TableContents"/>
              <w:spacing w:before="0" w:after="283"/>
              <w:rPr/>
            </w:pPr>
            <w:r>
              <w:rPr/>
              <w:t> </w:t>
            </w:r>
          </w:p>
        </w:tc>
        <w:tc>
          <w:tcPr>
            <w:tcW w:w="9290"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payment is deposited by us with the trustee or with a paying agent prior to the expiration of the 30-day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us;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w:t>
            </w:r>
          </w:p>
        </w:tc>
      </w:tr>
    </w:tbl>
    <w:p>
      <w:pPr>
        <w:pStyle w:val="TextBody"/>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w:t>
      </w:r>
    </w:p>
    <w:p>
      <w:pPr>
        <w:pStyle w:val="TextBody"/>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spacing w:before="24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w:t>
      </w:r>
    </w:p>
    <w:p>
      <w:pPr>
        <w:pStyle w:val="TextBody"/>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to comply with covenants in the indenture described above under the heading </w:t>
            </w:r>
            <w:r>
              <w:rPr>
                <w:rFonts w:ascii="Times New Roman" w:hAnsi="Times New Roman"/>
                <w:i/>
                <w:sz w:val="20"/>
              </w:rPr>
              <w:t>Consolidation, Merger and Sale of Assets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spacing w:before="120" w:after="0"/>
        <w:jc w:val="left"/>
        <w:rPr>
          <w:rFonts w:ascii="Times New Roman" w:hAnsi="Times New Roman"/>
          <w:i/>
          <w:sz w:val="20"/>
        </w:rPr>
      </w:pPr>
      <w:r>
        <w:rPr>
          <w:rFonts w:ascii="Times New Roman" w:hAnsi="Times New Roman"/>
          <w:i/>
          <w:sz w:val="20"/>
        </w:rPr>
        <w:t xml:space="preserve">Legal Defeasance </w:t>
      </w:r>
    </w:p>
    <w:p>
      <w:pPr>
        <w:pStyle w:val="TextBody"/>
        <w:spacing w:before="120" w:after="0"/>
        <w:jc w:val="left"/>
        <w:rPr>
          <w:rFonts w:ascii="Times New Roman" w:hAnsi="Times New Roman"/>
          <w:sz w:val="20"/>
        </w:rPr>
      </w:pPr>
      <w:r>
        <w:rPr>
          <w:rFonts w:ascii="Times New Roman" w:hAnsi="Times New Roman"/>
          <w:sz w:val="20"/>
        </w:rPr>
        <w:t xml:space="preserve">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spacing w:before="360" w:after="0"/>
        <w:jc w:val="left"/>
        <w:rPr>
          <w:rFonts w:ascii="Times New Roman" w:hAnsi="Times New Roman"/>
          <w:i/>
          <w:sz w:val="20"/>
        </w:rPr>
      </w:pPr>
      <w:r>
        <w:rPr>
          <w:rFonts w:ascii="Times New Roman" w:hAnsi="Times New Roman"/>
          <w:i/>
          <w:sz w:val="20"/>
        </w:rPr>
        <w:t xml:space="preserve">Defeasance of Certain Covenants </w:t>
      </w:r>
    </w:p>
    <w:p>
      <w:pPr>
        <w:pStyle w:val="TextBody"/>
        <w:spacing w:before="120" w:after="0"/>
        <w:jc w:val="left"/>
        <w:rPr>
          <w:rFonts w:ascii="Times New Roman" w:hAnsi="Times New Roman"/>
          <w:sz w:val="20"/>
        </w:rPr>
      </w:pPr>
      <w:r>
        <w:rPr>
          <w:rFonts w:ascii="Times New Roman" w:hAnsi="Times New Roman"/>
          <w:sz w:val="20"/>
        </w:rPr>
        <w:t xml:space="preserve">The indenture provides that, unless otherwise provided by the terms of the applicable series of debt securities, upon compliance with certain conditions: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we may omit to comply with the covenant described under the heading </w:t>
            </w:r>
            <w:r>
              <w:rPr>
                <w:rFonts w:ascii="Times New Roman" w:hAnsi="Times New Roman"/>
                <w:i/>
                <w:sz w:val="20"/>
              </w:rPr>
              <w:t>Consolidation, Merger and Sale of Assets</w:t>
            </w:r>
            <w:r>
              <w:rPr>
                <w:rFonts w:ascii="Times New Roman" w:hAnsi="Times New Roman"/>
                <w:sz w:val="20"/>
              </w:rPr>
              <w:t xml:space="preserve"> and certain other covenants set forth in the indenture, as well as any additional covenants which may be set forth in the applicable prospectus supplement;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w:t>
            </w:r>
          </w:p>
        </w:tc>
      </w:tr>
    </w:tbl>
    <w:p>
      <w:pPr>
        <w:pStyle w:val="TextBody"/>
        <w:spacing w:before="240" w:after="0"/>
        <w:jc w:val="left"/>
        <w:rPr>
          <w:rFonts w:ascii="Times New Roman" w:hAnsi="Times New Roman"/>
          <w:sz w:val="20"/>
        </w:rPr>
      </w:pPr>
      <w:r>
        <w:rPr>
          <w:rFonts w:ascii="Times New Roman" w:hAnsi="Times New Roman"/>
          <w:sz w:val="20"/>
        </w:rPr>
        <w:t xml:space="preserve">We refer to this as covenant defeasance. The conditions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deposit will not result in a breach or violation of, or constitute a default under the indenture or any other agreement to which we are a party;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Default or Event of Default with respect to the applicable series of debt securities shall have occurred or is continuing on the date of such deposit;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w:t>
            </w:r>
          </w:p>
        </w:tc>
      </w:tr>
    </w:tbl>
    <w:p>
      <w:pPr>
        <w:pStyle w:val="TextBody"/>
        <w:spacing w:before="360" w:after="0"/>
        <w:jc w:val="left"/>
        <w:rPr>
          <w:rFonts w:ascii="Times New Roman" w:hAnsi="Times New Roman"/>
          <w:b/>
          <w:sz w:val="20"/>
        </w:rPr>
      </w:pPr>
      <w:r>
        <w:rPr>
          <w:rFonts w:ascii="Times New Roman" w:hAnsi="Times New Roman"/>
          <w:b/>
          <w:sz w:val="20"/>
        </w:rPr>
        <w:t xml:space="preserve">No Personal Liability of Directors, Officers, Employees or Stockholders </w:t>
      </w:r>
    </w:p>
    <w:p>
      <w:pPr>
        <w:pStyle w:val="TextBody"/>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Governing Law </w:t>
      </w:r>
    </w:p>
    <w:p>
      <w:pPr>
        <w:pStyle w:val="TextBody"/>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spacing w:before="480" w:after="0"/>
        <w:jc w:val="center"/>
        <w:rPr>
          <w:rFonts w:ascii="Times New Roman" w:hAnsi="Times New Roman"/>
          <w:b/>
          <w:sz w:val="20"/>
        </w:rPr>
      </w:pPr>
      <w:bookmarkStart w:id="10" w:name="rom492054_8"/>
      <w:bookmarkEnd w:id="10"/>
      <w:r>
        <w:rPr>
          <w:rFonts w:ascii="Times New Roman" w:hAnsi="Times New Roman"/>
          <w:b/>
          <w:sz w:val="20"/>
        </w:rPr>
        <w:t xml:space="preserve">DESCRIPTION OF WARRANTS </w:t>
      </w:r>
    </w:p>
    <w:p>
      <w:pPr>
        <w:pStyle w:val="TextBody"/>
        <w:spacing w:before="240" w:after="0"/>
        <w:jc w:val="left"/>
        <w:rPr>
          <w:rFonts w:ascii="Times New Roman" w:hAnsi="Times New Roman"/>
          <w:sz w:val="20"/>
        </w:rPr>
      </w:pPr>
      <w:r>
        <w:rPr>
          <w:rFonts w:ascii="Times New Roman" w:hAnsi="Times New Roman"/>
          <w:sz w:val="20"/>
        </w:rPr>
        <w:t xml:space="preserve">We may issue warrants to purchase debt securities, preferred stock or Class A Common Stock. We may offer warrants separately or together with one or more additional warrants, debt securities, preferred stock or Class A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applicable, the designation and terms of the debt securities, preferred stock or Class A Common Stock with which the warrants are issued and the number of warrants issued with each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debt securities, preferred stock or Class A Common Stock will be separately transferable;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shares of preferred stock or the number of shares of Class A Common Stock purchasable upon exercise of a warrant and the price at which those shares may be purchased;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antidilution provisions, and other provisions for changes to or adjustment in the exercise price, of the warrants, if 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spacing w:before="480" w:after="0"/>
        <w:jc w:val="center"/>
        <w:rPr>
          <w:rFonts w:ascii="Times New Roman" w:hAnsi="Times New Roman"/>
          <w:b/>
          <w:sz w:val="20"/>
        </w:rPr>
      </w:pPr>
      <w:bookmarkStart w:id="11" w:name="rom492054_9"/>
      <w:bookmarkEnd w:id="11"/>
      <w:r>
        <w:rPr>
          <w:rFonts w:ascii="Times New Roman" w:hAnsi="Times New Roman"/>
          <w:b/>
          <w:sz w:val="20"/>
        </w:rPr>
        <w:t xml:space="preserve">DESCRIPTION OF UNITS </w:t>
      </w:r>
    </w:p>
    <w:p>
      <w:pPr>
        <w:pStyle w:val="TextBody"/>
        <w:spacing w:before="240" w:after="0"/>
        <w:jc w:val="left"/>
        <w:rPr>
          <w:rFonts w:ascii="Times New Roman" w:hAnsi="Times New Roman"/>
          <w:sz w:val="20"/>
        </w:rPr>
      </w:pPr>
      <w:r>
        <w:rPr>
          <w:rFonts w:ascii="Times New Roman" w:hAnsi="Times New Roman"/>
          <w:sz w:val="20"/>
        </w:rPr>
        <w:t xml:space="preserve">We may issue units comprising two or more securities described in this prospectus in any combination. For example, we might issue units consisting of a combination of debt securities and warrants to purchase Class A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 </w:t>
      </w:r>
    </w:p>
    <w:p>
      <w:pPr>
        <w:pStyle w:val="TextBody"/>
        <w:spacing w:before="240" w:after="0"/>
        <w:jc w:val="left"/>
        <w:rPr>
          <w:rFonts w:ascii="Times New Roman" w:hAnsi="Times New Roman"/>
          <w:sz w:val="20"/>
        </w:rPr>
      </w:pPr>
      <w:r>
        <w:rPr>
          <w:rFonts w:ascii="Times New Roman" w:hAnsi="Times New Roman"/>
          <w:sz w:val="20"/>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titled </w:t>
      </w:r>
      <w:r>
        <w:rPr>
          <w:rFonts w:ascii="Times New Roman" w:hAnsi="Times New Roman"/>
          <w:i/>
          <w:sz w:val="20"/>
        </w:rPr>
        <w:t>Where You Can Find More Information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prospectus supplement relating to any particular issuance of units will describe the terms of those units, including, to the extent applicable,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designation and terms of the units and the securities comprising the units, including whether and under what circumstances those securities may be held or transferred separately;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provision for the issuance, payment, settlement, transfer or exchange of the units or of the securities comprising the units;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units will be issued in fully registered or global form.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rom492054_10"/>
      <w:bookmarkEnd w:id="12"/>
      <w:r>
        <w:rPr>
          <w:rFonts w:ascii="Times New Roman" w:hAnsi="Times New Roman"/>
          <w:b/>
          <w:sz w:val="20"/>
        </w:rPr>
        <w:t xml:space="preserve">PLAN OF DISTRIBUTION </w:t>
      </w:r>
    </w:p>
    <w:p>
      <w:pPr>
        <w:pStyle w:val="TextBody"/>
        <w:spacing w:before="240" w:after="0"/>
        <w:jc w:val="left"/>
        <w:rPr>
          <w:rFonts w:ascii="Times New Roman" w:hAnsi="Times New Roman"/>
          <w:sz w:val="20"/>
        </w:rPr>
      </w:pPr>
      <w:r>
        <w:rPr>
          <w:rFonts w:ascii="Times New Roman" w:hAnsi="Times New Roman"/>
          <w:sz w:val="20"/>
        </w:rPr>
        <w:t xml:space="preserve">We may sell securities: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underwriters;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directly to purchasers;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spacing w:before="240" w:after="0"/>
        <w:jc w:val="left"/>
        <w:rPr>
          <w:rFonts w:ascii="Times New Roman" w:hAnsi="Times New Roman"/>
          <w:sz w:val="20"/>
        </w:rPr>
      </w:pPr>
      <w:r>
        <w:rPr>
          <w:rFonts w:ascii="Times New Roman" w:hAnsi="Times New Roman"/>
          <w:sz w:val="20"/>
        </w:rPr>
        <w:t xml:space="preserve">In addition, we may issue the securities as a dividend or distribution or in a subscription rights offering to our existing securityholders. </w:t>
      </w:r>
    </w:p>
    <w:p>
      <w:pPr>
        <w:pStyle w:val="TextBody"/>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a fixed price or prices that may be changed from time to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public offering or purchase price;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applicable, the names of any selling securityholders;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discounts and commissions to be allowed or paid to the agent or underwriters;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discounts and commissions to be allowed or paid to dealers;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spacing w:before="240" w:after="0"/>
        <w:jc w:val="left"/>
        <w:rPr>
          <w:rFonts w:ascii="Times New Roman" w:hAnsi="Times New Roman"/>
          <w:sz w:val="20"/>
        </w:rPr>
      </w:pPr>
      <w:r>
        <w:rPr>
          <w:rFonts w:ascii="Times New Roman" w:hAnsi="Times New Roman"/>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spacing w:before="240" w:after="0"/>
        <w:jc w:val="left"/>
        <w:rPr>
          <w:rFonts w:ascii="Times New Roman" w:hAnsi="Times New Roman"/>
          <w:sz w:val="20"/>
        </w:rPr>
      </w:pPr>
      <w:r>
        <w:rPr>
          <w:rFonts w:ascii="Times New Roman" w:hAnsi="Times New Roman"/>
          <w:sz w:val="20"/>
        </w:rPr>
        <w:t xml:space="preserve">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Agents, underwriters, dealers and other persons may be entitled under agreements that they may enter into with us to indemnification by us against certain civil liabilities, including liabilities under the Securities Act. </w:t>
      </w:r>
    </w:p>
    <w:p>
      <w:pPr>
        <w:pStyle w:val="TextBody"/>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w:t>
            </w:r>
          </w:p>
        </w:tc>
      </w:tr>
    </w:tbl>
    <w:p>
      <w:pPr>
        <w:pStyle w:val="TextBody"/>
        <w:spacing w:before="240" w:after="0"/>
        <w:jc w:val="left"/>
        <w:rPr>
          <w:rFonts w:ascii="Times New Roman" w:hAnsi="Times New Roman"/>
          <w:sz w:val="20"/>
        </w:rPr>
      </w:pPr>
      <w:r>
        <w:rPr>
          <w:rFonts w:ascii="Times New Roman" w:hAnsi="Times New Roman"/>
          <w:sz w:val="20"/>
        </w:rPr>
        <w:t xml:space="preserve">The underwriters and other persons acting as agents will not have any responsibility in respect of the validity or performance of delayed delivery contracts. </w:t>
      </w:r>
    </w:p>
    <w:p>
      <w:pPr>
        <w:pStyle w:val="TextBody"/>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 </w:t>
      </w:r>
    </w:p>
    <w:p>
      <w:pPr>
        <w:pStyle w:val="TextBody"/>
        <w:spacing w:before="24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rom492054_11"/>
      <w:bookmarkEnd w:id="13"/>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Wilson Sonsini Goodrich &amp; Rosati, Professional Corporation, Austin, Texas. Additional legal matters may be passed on for us, or any underwriters, dealers or agents by counsel we will name in the applicable prospectus supplement. </w:t>
      </w:r>
    </w:p>
    <w:p>
      <w:pPr>
        <w:pStyle w:val="TextBody"/>
        <w:spacing w:before="480" w:after="0"/>
        <w:jc w:val="center"/>
        <w:rPr>
          <w:rFonts w:ascii="Times New Roman" w:hAnsi="Times New Roman"/>
          <w:b/>
          <w:sz w:val="20"/>
        </w:rPr>
      </w:pPr>
      <w:bookmarkStart w:id="14" w:name="rom492054_12"/>
      <w:bookmarkEnd w:id="14"/>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Bakkt Holdings, Inc., appearing in the Companys Annual Report (Form 10-K) for the year ended December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VPC Impact Acquisition Holdings as of October 14, 2021 and December 31, 2020 and for the period from January 1, 2021 through October 14, 2021 and for the period from July 31, 2020 (inception) through December 31, 2020 are incorporated by reference in this prospectus have been audited by WithumSmith+Brown, PC, the Companys independent registered public accounting firm prior to the Business Combination, as set forth in their report thereon, and have been incorporated herein in reliance on such report given on the authority of said firm as experts in accounting and auditing.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Apex Crypto, LLC as of December 31, 2022 and 2021 and for the years then ended incorporated by reference in this prospectus from the Current Report on Form 8-K/A filed by Bakkt Holdings, Inc. on April 18, 2023 have been audited by RSM US LLP, independent auditors, as stated in their report thereon, incorporated herein by reference. Such financial statements have been so incorporated in this prospectus in reliance upon such report and upon the authority of such firm as experts in accounting and auditing. </w:t>
      </w:r>
    </w:p>
    <w:p>
      <w:pPr>
        <w:pStyle w:val="TextBody"/>
        <w:spacing w:before="480" w:after="0"/>
        <w:jc w:val="center"/>
        <w:rPr>
          <w:rFonts w:ascii="Times New Roman" w:hAnsi="Times New Roman"/>
          <w:b/>
          <w:sz w:val="20"/>
        </w:rPr>
      </w:pPr>
      <w:bookmarkStart w:id="15" w:name="rom492054_13"/>
      <w:bookmarkEnd w:id="15"/>
      <w:r>
        <w:rPr>
          <w:rFonts w:ascii="Times New Roman" w:hAnsi="Times New Roman"/>
          <w:b/>
          <w:sz w:val="20"/>
        </w:rPr>
        <w:t xml:space="preserve">WHERE YOU CAN FIND MORE INFORMATION </w:t>
      </w:r>
    </w:p>
    <w:p>
      <w:pPr>
        <w:pStyle w:val="TextBody"/>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sz w:val="20"/>
        </w:rPr>
        <w:t>www.sec.gov</w:t>
      </w:r>
      <w:r>
        <w:rPr>
          <w:rFonts w:ascii="Times New Roman" w:hAnsi="Times New Roman"/>
          <w:sz w:val="20"/>
        </w:rPr>
        <w:t xml:space="preserve">. Copies of certain information filed by us with the SEC are also available on our website at </w:t>
      </w:r>
      <w:r>
        <w:rPr>
          <w:rFonts w:ascii="Times New Roman" w:hAnsi="Times New Roman"/>
          <w:i/>
          <w:sz w:val="20"/>
        </w:rPr>
        <w:t>investors.bakkt.com</w:t>
      </w:r>
      <w:r>
        <w:rPr>
          <w:rFonts w:ascii="Times New Roman" w:hAnsi="Times New Roman"/>
          <w:sz w:val="20"/>
        </w:rPr>
        <w:t xml:space="preserve">. Information accessible on or through our website is not a part of this prospectus. </w:t>
      </w:r>
    </w:p>
    <w:p>
      <w:pPr>
        <w:pStyle w:val="TextBody"/>
        <w:spacing w:before="240" w:after="0"/>
        <w:jc w:val="left"/>
        <w:rPr>
          <w:rFonts w:ascii="Times New Roman" w:hAnsi="Times New Roman"/>
          <w:sz w:val="20"/>
        </w:rPr>
      </w:pPr>
      <w:r>
        <w:rPr>
          <w:rFonts w:ascii="Times New Roman" w:hAnsi="Times New Roman"/>
          <w:sz w:val="20"/>
        </w:rPr>
        <w:t xml:space="preserve">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 </w:t>
      </w:r>
    </w:p>
    <w:p>
      <w:pPr>
        <w:pStyle w:val="TextBody"/>
        <w:spacing w:before="480" w:after="0"/>
        <w:jc w:val="center"/>
        <w:rPr>
          <w:rFonts w:ascii="Times New Roman" w:hAnsi="Times New Roman"/>
          <w:b/>
          <w:sz w:val="20"/>
        </w:rPr>
      </w:pPr>
      <w:bookmarkStart w:id="16" w:name="rom492054_14"/>
      <w:bookmarkEnd w:id="16"/>
      <w:r>
        <w:rPr>
          <w:rFonts w:ascii="Times New Roman" w:hAnsi="Times New Roman"/>
          <w:b/>
          <w:sz w:val="20"/>
        </w:rPr>
        <w:t xml:space="preserve">INCORPORATION BY REFERENCE </w:t>
      </w:r>
    </w:p>
    <w:p>
      <w:pPr>
        <w:pStyle w:val="TextBody"/>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that we file with the SEC, which means that we can disclose important information to you by referring you to those publicly available documents.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w:t>
            </w:r>
            <w:hyperlink r:id="rId3">
              <w:r>
                <w:rPr>
                  <w:rStyle w:val="InternetLink"/>
                  <w:rFonts w:ascii="Times New Roman" w:hAnsi="Times New Roman"/>
                  <w:sz w:val="20"/>
                </w:rPr>
                <w:t>Annual Report on Form 10-K</w:t>
              </w:r>
            </w:hyperlink>
            <w:r>
              <w:rPr>
                <w:rFonts w:ascii="Times New Roman" w:hAnsi="Times New Roman"/>
                <w:sz w:val="20"/>
              </w:rPr>
              <w:t xml:space="preserve"> for the year ended December 31, 2022, filed with the SEC on March 24, 2023 (our Annual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Current Reports on Form  8-K filed with the SEC on </w:t>
            </w:r>
            <w:hyperlink r:id="rId4">
              <w:r>
                <w:rPr>
                  <w:rStyle w:val="InternetLink"/>
                  <w:rFonts w:ascii="Times New Roman" w:hAnsi="Times New Roman"/>
                  <w:sz w:val="20"/>
                </w:rPr>
                <w:t>March  9, 2023</w:t>
              </w:r>
            </w:hyperlink>
            <w:r>
              <w:rPr>
                <w:rFonts w:ascii="Times New Roman" w:hAnsi="Times New Roman"/>
                <w:sz w:val="20"/>
              </w:rPr>
              <w:t xml:space="preserve">, </w:t>
            </w:r>
            <w:hyperlink r:id="rId5">
              <w:r>
                <w:rPr>
                  <w:rStyle w:val="InternetLink"/>
                  <w:rFonts w:ascii="Times New Roman" w:hAnsi="Times New Roman"/>
                  <w:sz w:val="20"/>
                </w:rPr>
                <w:t>April  3, 2023</w:t>
              </w:r>
            </w:hyperlink>
            <w:r>
              <w:rPr>
                <w:rFonts w:ascii="Times New Roman" w:hAnsi="Times New Roman"/>
                <w:sz w:val="20"/>
              </w:rPr>
              <w:t xml:space="preserve"> and </w:t>
            </w:r>
            <w:hyperlink r:id="rId6">
              <w:r>
                <w:rPr>
                  <w:rStyle w:val="InternetLink"/>
                  <w:rFonts w:ascii="Times New Roman" w:hAnsi="Times New Roman"/>
                  <w:sz w:val="20"/>
                </w:rPr>
                <w:t>April 19, 2023</w:t>
              </w:r>
            </w:hyperlink>
            <w:r>
              <w:rPr>
                <w:rFonts w:ascii="Times New Roman" w:hAnsi="Times New Roman"/>
                <w:sz w:val="20"/>
              </w:rPr>
              <w:t xml:space="preserve"> and on Form 8-K/A filed with the SEC on </w:t>
            </w:r>
            <w:hyperlink r:id="rId7">
              <w:r>
                <w:rPr>
                  <w:rStyle w:val="InternetLink"/>
                  <w:rFonts w:ascii="Times New Roman" w:hAnsi="Times New Roman"/>
                  <w:sz w:val="20"/>
                </w:rPr>
                <w:t>April  5, 2022</w:t>
              </w:r>
            </w:hyperlink>
            <w:r>
              <w:rPr>
                <w:rFonts w:ascii="Times New Roman" w:hAnsi="Times New Roman"/>
                <w:sz w:val="20"/>
              </w:rPr>
              <w:t xml:space="preserve"> and </w:t>
            </w:r>
            <w:hyperlink r:id="rId8">
              <w:r>
                <w:rPr>
                  <w:rStyle w:val="InternetLink"/>
                  <w:rFonts w:ascii="Times New Roman" w:hAnsi="Times New Roman"/>
                  <w:sz w:val="20"/>
                </w:rPr>
                <w:t>April 18, 2023</w:t>
              </w:r>
            </w:hyperlink>
            <w:r>
              <w:rPr>
                <w:rFonts w:ascii="Times New Roman" w:hAnsi="Times New Roman"/>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Times New Roman" w:hAnsi="Times New Roman"/>
                <w:sz w:val="20"/>
              </w:rPr>
              <w:t xml:space="preserve">the description of our securities contained in the Registration Statement on Form 8-A relating thereto, filed on </w:t>
            </w:r>
            <w:hyperlink r:id="rId9">
              <w:r>
                <w:rPr>
                  <w:rStyle w:val="InternetLink"/>
                  <w:rFonts w:ascii="Times New Roman" w:hAnsi="Times New Roman"/>
                  <w:sz w:val="20"/>
                </w:rPr>
                <w:t>October 15, 2021</w:t>
              </w:r>
            </w:hyperlink>
            <w:r>
              <w:rPr>
                <w:rFonts w:ascii="Times New Roman" w:hAnsi="Times New Roman"/>
                <w:sz w:val="20"/>
              </w:rPr>
              <w:t xml:space="preserve">, including any amendment or report filed for the purpose of updating such description. </w:t>
            </w:r>
          </w:p>
        </w:tc>
      </w:tr>
    </w:tbl>
    <w:p>
      <w:pPr>
        <w:pStyle w:val="TextBody"/>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w:t>
      </w:r>
    </w:p>
    <w:p>
      <w:pPr>
        <w:pStyle w:val="TextBody"/>
        <w:spacing w:before="480" w:after="0"/>
        <w:jc w:val="center"/>
        <w:rPr>
          <w:rFonts w:ascii="Times New Roman" w:hAnsi="Times New Roman"/>
          <w:b/>
          <w:sz w:val="20"/>
        </w:rPr>
      </w:pPr>
      <w:r>
        <w:rPr>
          <w:rFonts w:ascii="Times New Roman" w:hAnsi="Times New Roman"/>
          <w:b/>
          <w:sz w:val="20"/>
        </w:rPr>
        <w:t xml:space="preserve">10000 Avalon Boulevard, Suite 1000 </w:t>
      </w:r>
    </w:p>
    <w:p>
      <w:pPr>
        <w:pStyle w:val="TextBody"/>
        <w:spacing w:before="0" w:after="0"/>
        <w:jc w:val="center"/>
        <w:rPr>
          <w:rFonts w:ascii="Times New Roman" w:hAnsi="Times New Roman"/>
          <w:b/>
          <w:sz w:val="20"/>
        </w:rPr>
      </w:pPr>
      <w:r>
        <w:rPr>
          <w:rFonts w:ascii="Times New Roman" w:hAnsi="Times New Roman"/>
          <w:b/>
          <w:sz w:val="20"/>
        </w:rPr>
        <w:t xml:space="preserve">Alpharetta, Georgia 30009 </w:t>
      </w:r>
    </w:p>
    <w:p>
      <w:pPr>
        <w:pStyle w:val="TextBody"/>
        <w:spacing w:before="0" w:after="0"/>
        <w:jc w:val="center"/>
        <w:rPr>
          <w:rFonts w:ascii="Times New Roman" w:hAnsi="Times New Roman"/>
          <w:b/>
          <w:sz w:val="20"/>
        </w:rPr>
      </w:pPr>
      <w:r>
        <w:rPr>
          <w:rFonts w:ascii="Times New Roman" w:hAnsi="Times New Roman"/>
          <w:b/>
          <w:sz w:val="20"/>
        </w:rPr>
        <w:t xml:space="preserve">(678) 534-5849 </w:t>
      </w:r>
    </w:p>
    <w:p>
      <w:pPr>
        <w:pStyle w:val="TextBody"/>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b/>
              </w:rPr>
            </w:pPr>
            <w:r>
              <w:rPr>
                <w:b/>
              </w:rPr>
              <w:t>Item 14.</w:t>
            </w:r>
          </w:p>
        </w:tc>
        <w:tc>
          <w:tcPr>
            <w:tcW w:w="918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spacing w:before="120" w:after="0"/>
        <w:jc w:val="left"/>
        <w:rPr>
          <w:rFonts w:ascii="Times New Roman" w:hAnsi="Times New Roman"/>
          <w:sz w:val="20"/>
        </w:rPr>
      </w:pPr>
      <w:r>
        <w:rPr>
          <w:rFonts w:ascii="Times New Roman" w:hAnsi="Times New Roman"/>
          <w:sz w:val="20"/>
        </w:rPr>
        <w:t xml:space="preserve">The following table sets forth estimated expenses in connection with the issuance and distribution of the securities being registered: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259"/>
        <w:gridCol w:w="452"/>
        <w:gridCol w:w="179"/>
        <w:gridCol w:w="986"/>
        <w:gridCol w:w="63"/>
      </w:tblGrid>
      <w:tr>
        <w:trPr/>
        <w:tc>
          <w:tcPr>
            <w:tcW w:w="525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25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br/>
              <w:t>to be Paid</w:t>
            </w:r>
          </w:p>
        </w:tc>
        <w:tc>
          <w:tcPr>
            <w:tcW w:w="63" w:type="dxa"/>
            <w:tcBorders/>
            <w:shd w:fill="auto" w:val="clear"/>
            <w:vAlign w:val="bottom"/>
          </w:tcPr>
          <w:p>
            <w:pPr>
              <w:pStyle w:val="TableContents"/>
              <w:spacing w:before="0" w:after="283"/>
              <w:rPr/>
            </w:pPr>
            <w:r>
              <w:rPr/>
              <w:t> </w:t>
            </w:r>
          </w:p>
        </w:tc>
      </w:tr>
      <w:tr>
        <w:trPr/>
        <w:tc>
          <w:tcPr>
            <w:tcW w:w="5259" w:type="dxa"/>
            <w:tcBorders/>
            <w:shd w:fill="CCEEFF" w:val="clear"/>
          </w:tcPr>
          <w:p>
            <w:pPr>
              <w:pStyle w:val="TableContents"/>
              <w:spacing w:before="0" w:after="0"/>
              <w:rPr>
                <w:rFonts w:ascii="Times New Roman" w:hAnsi="Times New Roman"/>
                <w:sz w:val="20"/>
              </w:rPr>
            </w:pPr>
            <w:r>
              <w:rPr>
                <w:rFonts w:ascii="Times New Roman" w:hAnsi="Times New Roman"/>
                <w:sz w:val="20"/>
              </w:rPr>
              <w:t>SEC registration fee</w:t>
            </w:r>
          </w:p>
        </w:tc>
        <w:tc>
          <w:tcPr>
            <w:tcW w:w="452"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w:t>
            </w:r>
          </w:p>
        </w:tc>
        <w:tc>
          <w:tcPr>
            <w:tcW w:w="986" w:type="dxa"/>
            <w:tcBorders/>
            <w:shd w:fill="CCEEFF" w:val="clear"/>
            <w:vAlign w:val="bottom"/>
          </w:tcPr>
          <w:p>
            <w:pPr>
              <w:pStyle w:val="TableContents"/>
              <w:spacing w:before="0" w:after="283"/>
              <w:jc w:val="right"/>
              <w:rPr/>
            </w:pPr>
            <w:r>
              <w:rPr/>
              <w:t>12,673</w:t>
            </w:r>
          </w:p>
        </w:tc>
        <w:tc>
          <w:tcPr>
            <w:tcW w:w="63" w:type="dxa"/>
            <w:tcBorders/>
            <w:shd w:fill="CCEEFF" w:val="clear"/>
            <w:vAlign w:val="bottom"/>
          </w:tcPr>
          <w:p>
            <w:pPr>
              <w:pStyle w:val="TableContents"/>
              <w:spacing w:before="0" w:after="283"/>
              <w:rPr/>
            </w:pPr>
            <w:r>
              <w:rPr/>
              <w:t> </w:t>
            </w:r>
          </w:p>
        </w:tc>
      </w:tr>
      <w:tr>
        <w:trPr/>
        <w:tc>
          <w:tcPr>
            <w:tcW w:w="5259" w:type="dxa"/>
            <w:tcBorders/>
            <w:shd w:fill="auto" w:val="clear"/>
          </w:tcPr>
          <w:p>
            <w:pPr>
              <w:pStyle w:val="TableContents"/>
              <w:spacing w:before="0" w:after="0"/>
              <w:rPr>
                <w:rFonts w:ascii="Times New Roman" w:hAnsi="Times New Roman"/>
                <w:sz w:val="20"/>
              </w:rPr>
            </w:pPr>
            <w:r>
              <w:rPr>
                <w:rFonts w:ascii="Times New Roman" w:hAnsi="Times New Roman"/>
                <w:sz w:val="20"/>
              </w:rPr>
              <w:t>FINRA filing fee</w:t>
            </w:r>
          </w:p>
        </w:tc>
        <w:tc>
          <w:tcPr>
            <w:tcW w:w="452"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w:t>
            </w:r>
          </w:p>
        </w:tc>
        <w:tc>
          <w:tcPr>
            <w:tcW w:w="986" w:type="dxa"/>
            <w:tcBorders/>
            <w:shd w:fill="auto" w:val="clear"/>
            <w:vAlign w:val="bottom"/>
          </w:tcPr>
          <w:p>
            <w:pPr>
              <w:pStyle w:val="TableContents"/>
              <w:spacing w:before="0" w:after="283"/>
              <w:jc w:val="right"/>
              <w:rPr/>
            </w:pPr>
            <w:r>
              <w:rPr/>
              <w:t>17,750</w:t>
            </w:r>
          </w:p>
        </w:tc>
        <w:tc>
          <w:tcPr>
            <w:tcW w:w="63" w:type="dxa"/>
            <w:tcBorders/>
            <w:shd w:fill="auto" w:val="clear"/>
            <w:vAlign w:val="bottom"/>
          </w:tcPr>
          <w:p>
            <w:pPr>
              <w:pStyle w:val="TableContents"/>
              <w:spacing w:before="0" w:after="283"/>
              <w:rPr/>
            </w:pPr>
            <w:r>
              <w:rPr/>
              <w:t> </w:t>
            </w:r>
          </w:p>
        </w:tc>
      </w:tr>
      <w:tr>
        <w:trPr/>
        <w:tc>
          <w:tcPr>
            <w:tcW w:w="5259" w:type="dxa"/>
            <w:tcBorders/>
            <w:shd w:fill="CCEEFF" w:val="clear"/>
          </w:tcPr>
          <w:p>
            <w:pPr>
              <w:pStyle w:val="TableContents"/>
              <w:spacing w:before="0" w:after="0"/>
              <w:rPr>
                <w:rFonts w:ascii="Times New Roman" w:hAnsi="Times New Roman"/>
                <w:sz w:val="20"/>
              </w:rPr>
            </w:pPr>
            <w:r>
              <w:rPr>
                <w:rFonts w:ascii="Times New Roman" w:hAnsi="Times New Roman"/>
                <w:sz w:val="20"/>
              </w:rPr>
              <w:t>Stock exchange listing fee</w:t>
            </w:r>
          </w:p>
        </w:tc>
        <w:tc>
          <w:tcPr>
            <w:tcW w:w="452"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63" w:type="dxa"/>
            <w:tcBorders/>
            <w:shd w:fill="CCEEFF" w:val="clear"/>
            <w:vAlign w:val="bottom"/>
          </w:tcPr>
          <w:p>
            <w:pPr>
              <w:pStyle w:val="TableContents"/>
              <w:spacing w:before="0" w:after="283"/>
              <w:rPr/>
            </w:pPr>
            <w:r>
              <w:rPr/>
              <w:t> </w:t>
            </w:r>
          </w:p>
        </w:tc>
      </w:tr>
      <w:tr>
        <w:trPr/>
        <w:tc>
          <w:tcPr>
            <w:tcW w:w="5259" w:type="dxa"/>
            <w:tcBorders/>
            <w:shd w:fill="auto" w:val="clear"/>
          </w:tcPr>
          <w:p>
            <w:pPr>
              <w:pStyle w:val="TableContents"/>
              <w:spacing w:before="0" w:after="0"/>
              <w:rPr>
                <w:rFonts w:ascii="Times New Roman" w:hAnsi="Times New Roman"/>
                <w:sz w:val="20"/>
              </w:rPr>
            </w:pPr>
            <w:r>
              <w:rPr>
                <w:rFonts w:ascii="Times New Roman" w:hAnsi="Times New Roman"/>
                <w:sz w:val="20"/>
              </w:rPr>
              <w:t>Printing and engraving expenses</w:t>
            </w:r>
          </w:p>
        </w:tc>
        <w:tc>
          <w:tcPr>
            <w:tcW w:w="452"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w:t>
            </w:r>
          </w:p>
        </w:tc>
        <w:tc>
          <w:tcPr>
            <w:tcW w:w="63" w:type="dxa"/>
            <w:tcBorders/>
            <w:shd w:fill="auto" w:val="clear"/>
            <w:vAlign w:val="bottom"/>
          </w:tcPr>
          <w:p>
            <w:pPr>
              <w:pStyle w:val="TableContents"/>
              <w:spacing w:before="0" w:after="283"/>
              <w:rPr/>
            </w:pPr>
            <w:r>
              <w:rPr/>
              <w:t> </w:t>
            </w:r>
          </w:p>
        </w:tc>
      </w:tr>
      <w:tr>
        <w:trPr/>
        <w:tc>
          <w:tcPr>
            <w:tcW w:w="5259" w:type="dxa"/>
            <w:tcBorders/>
            <w:shd w:fill="CCEEFF" w:val="clear"/>
          </w:tcPr>
          <w:p>
            <w:pPr>
              <w:pStyle w:val="TableContents"/>
              <w:spacing w:before="0" w:after="0"/>
              <w:rPr>
                <w:rFonts w:ascii="Times New Roman" w:hAnsi="Times New Roman"/>
                <w:sz w:val="20"/>
              </w:rPr>
            </w:pPr>
            <w:r>
              <w:rPr>
                <w:rFonts w:ascii="Times New Roman" w:hAnsi="Times New Roman"/>
                <w:sz w:val="20"/>
              </w:rPr>
              <w:t>Accounting fees and expenses</w:t>
            </w:r>
          </w:p>
        </w:tc>
        <w:tc>
          <w:tcPr>
            <w:tcW w:w="452"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63" w:type="dxa"/>
            <w:tcBorders/>
            <w:shd w:fill="CCEEFF" w:val="clear"/>
            <w:vAlign w:val="bottom"/>
          </w:tcPr>
          <w:p>
            <w:pPr>
              <w:pStyle w:val="TableContents"/>
              <w:spacing w:before="0" w:after="283"/>
              <w:rPr/>
            </w:pPr>
            <w:r>
              <w:rPr/>
              <w:t> </w:t>
            </w:r>
          </w:p>
        </w:tc>
      </w:tr>
      <w:tr>
        <w:trPr/>
        <w:tc>
          <w:tcPr>
            <w:tcW w:w="5259" w:type="dxa"/>
            <w:tcBorders/>
            <w:shd w:fill="auto" w:val="clear"/>
          </w:tcPr>
          <w:p>
            <w:pPr>
              <w:pStyle w:val="TableContents"/>
              <w:spacing w:before="0" w:after="0"/>
              <w:rPr>
                <w:rFonts w:ascii="Times New Roman" w:hAnsi="Times New Roman"/>
                <w:sz w:val="20"/>
              </w:rPr>
            </w:pPr>
            <w:r>
              <w:rPr>
                <w:rFonts w:ascii="Times New Roman" w:hAnsi="Times New Roman"/>
                <w:sz w:val="20"/>
              </w:rPr>
              <w:t>Legal fees and expenses</w:t>
            </w:r>
          </w:p>
        </w:tc>
        <w:tc>
          <w:tcPr>
            <w:tcW w:w="452"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w:t>
            </w:r>
          </w:p>
        </w:tc>
        <w:tc>
          <w:tcPr>
            <w:tcW w:w="63" w:type="dxa"/>
            <w:tcBorders/>
            <w:shd w:fill="auto" w:val="clear"/>
            <w:vAlign w:val="bottom"/>
          </w:tcPr>
          <w:p>
            <w:pPr>
              <w:pStyle w:val="TableContents"/>
              <w:spacing w:before="0" w:after="283"/>
              <w:rPr/>
            </w:pPr>
            <w:r>
              <w:rPr/>
              <w:t> </w:t>
            </w:r>
          </w:p>
        </w:tc>
      </w:tr>
      <w:tr>
        <w:trPr/>
        <w:tc>
          <w:tcPr>
            <w:tcW w:w="5259" w:type="dxa"/>
            <w:tcBorders/>
            <w:shd w:fill="CCEEFF" w:val="clear"/>
          </w:tcPr>
          <w:p>
            <w:pPr>
              <w:pStyle w:val="TableContents"/>
              <w:spacing w:before="0" w:after="0"/>
              <w:rPr>
                <w:rFonts w:ascii="Times New Roman" w:hAnsi="Times New Roman"/>
                <w:sz w:val="20"/>
              </w:rPr>
            </w:pPr>
            <w:r>
              <w:rPr>
                <w:rFonts w:ascii="Times New Roman" w:hAnsi="Times New Roman"/>
                <w:sz w:val="20"/>
              </w:rPr>
              <w:t>Transfer agent and registrar fees and expenses</w:t>
            </w:r>
          </w:p>
        </w:tc>
        <w:tc>
          <w:tcPr>
            <w:tcW w:w="452"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63" w:type="dxa"/>
            <w:tcBorders/>
            <w:shd w:fill="CCEEFF" w:val="clear"/>
            <w:vAlign w:val="bottom"/>
          </w:tcPr>
          <w:p>
            <w:pPr>
              <w:pStyle w:val="TableContents"/>
              <w:spacing w:before="0" w:after="283"/>
              <w:rPr/>
            </w:pPr>
            <w:r>
              <w:rPr/>
              <w:t> </w:t>
            </w:r>
          </w:p>
        </w:tc>
      </w:tr>
      <w:tr>
        <w:trPr/>
        <w:tc>
          <w:tcPr>
            <w:tcW w:w="5259" w:type="dxa"/>
            <w:tcBorders/>
            <w:shd w:fill="auto" w:val="clear"/>
          </w:tcPr>
          <w:p>
            <w:pPr>
              <w:pStyle w:val="TableContents"/>
              <w:spacing w:before="0" w:after="0"/>
              <w:rPr>
                <w:rFonts w:ascii="Times New Roman" w:hAnsi="Times New Roman"/>
                <w:sz w:val="20"/>
              </w:rPr>
            </w:pPr>
            <w:r>
              <w:rPr>
                <w:rFonts w:ascii="Times New Roman" w:hAnsi="Times New Roman"/>
                <w:sz w:val="20"/>
              </w:rPr>
              <w:t>Trustees fees and expenses</w:t>
            </w:r>
          </w:p>
        </w:tc>
        <w:tc>
          <w:tcPr>
            <w:tcW w:w="452"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w:t>
            </w:r>
          </w:p>
        </w:tc>
        <w:tc>
          <w:tcPr>
            <w:tcW w:w="63" w:type="dxa"/>
            <w:tcBorders/>
            <w:shd w:fill="auto" w:val="clear"/>
            <w:vAlign w:val="bottom"/>
          </w:tcPr>
          <w:p>
            <w:pPr>
              <w:pStyle w:val="TableContents"/>
              <w:spacing w:before="0" w:after="283"/>
              <w:rPr/>
            </w:pPr>
            <w:r>
              <w:rPr/>
              <w:t> </w:t>
            </w:r>
          </w:p>
        </w:tc>
      </w:tr>
      <w:tr>
        <w:trPr/>
        <w:tc>
          <w:tcPr>
            <w:tcW w:w="5259" w:type="dxa"/>
            <w:tcBorders/>
            <w:shd w:fill="CCEEFF" w:val="clear"/>
          </w:tcPr>
          <w:p>
            <w:pPr>
              <w:pStyle w:val="TableContents"/>
              <w:spacing w:before="0" w:after="0"/>
              <w:rPr>
                <w:rFonts w:ascii="Times New Roman" w:hAnsi="Times New Roman"/>
                <w:sz w:val="20"/>
              </w:rPr>
            </w:pPr>
            <w:r>
              <w:rPr>
                <w:rFonts w:ascii="Times New Roman" w:hAnsi="Times New Roman"/>
                <w:sz w:val="20"/>
              </w:rPr>
              <w:t>Miscellaneous expenses</w:t>
            </w:r>
          </w:p>
        </w:tc>
        <w:tc>
          <w:tcPr>
            <w:tcW w:w="452"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63" w:type="dxa"/>
            <w:tcBorders/>
            <w:shd w:fill="CCEEFF" w:val="clear"/>
            <w:vAlign w:val="bottom"/>
          </w:tcPr>
          <w:p>
            <w:pPr>
              <w:pStyle w:val="TableContents"/>
              <w:spacing w:before="0" w:after="283"/>
              <w:rPr/>
            </w:pPr>
            <w:r>
              <w:rPr/>
              <w:t> </w:t>
            </w:r>
          </w:p>
        </w:tc>
      </w:tr>
      <w:tr>
        <w:trPr/>
        <w:tc>
          <w:tcPr>
            <w:tcW w:w="5259"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pBdr>
                <w:top w:val="single" w:sz="2" w:space="1" w:color="000000"/>
              </w:pBdr>
              <w:spacing w:before="0" w:after="0"/>
              <w:rPr/>
            </w:pPr>
            <w:r>
              <w:rPr/>
              <w:t> </w:t>
            </w:r>
          </w:p>
        </w:tc>
        <w:tc>
          <w:tcPr>
            <w:tcW w:w="986"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259" w:type="dxa"/>
            <w:tcBorders/>
            <w:shd w:fill="auto" w:val="clear"/>
          </w:tcPr>
          <w:p>
            <w:pPr>
              <w:pStyle w:val="TableContents"/>
              <w:spacing w:before="0" w:after="0"/>
              <w:rPr>
                <w:rFonts w:ascii="Times New Roman" w:hAnsi="Times New Roman"/>
                <w:sz w:val="20"/>
              </w:rPr>
            </w:pPr>
            <w:r>
              <w:rPr>
                <w:rFonts w:ascii="Times New Roman" w:hAnsi="Times New Roman"/>
                <w:sz w:val="20"/>
              </w:rPr>
              <w:t>Total</w:t>
            </w:r>
          </w:p>
        </w:tc>
        <w:tc>
          <w:tcPr>
            <w:tcW w:w="452"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w:t>
            </w:r>
          </w:p>
        </w:tc>
        <w:tc>
          <w:tcPr>
            <w:tcW w:w="986" w:type="dxa"/>
            <w:tcBorders/>
            <w:shd w:fill="auto" w:val="clear"/>
            <w:vAlign w:val="bottom"/>
          </w:tcPr>
          <w:p>
            <w:pPr>
              <w:pStyle w:val="TableContents"/>
              <w:spacing w:before="0" w:after="283"/>
              <w:jc w:val="right"/>
              <w:rPr/>
            </w:pPr>
            <w:r>
              <w:rPr/>
              <w:t>30,423</w:t>
            </w:r>
          </w:p>
        </w:tc>
        <w:tc>
          <w:tcPr>
            <w:tcW w:w="63"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pPr>
            <w:r>
              <w:rPr/>
              <w:t>*</w:t>
            </w:r>
          </w:p>
        </w:tc>
        <w:tc>
          <w:tcPr>
            <w:tcW w:w="1000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b/>
              </w:rPr>
            </w:pPr>
            <w:r>
              <w:rPr>
                <w:b/>
              </w:rPr>
              <w:t>Item 15.</w:t>
            </w:r>
          </w:p>
        </w:tc>
        <w:tc>
          <w:tcPr>
            <w:tcW w:w="918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spacing w:before="120" w:after="0"/>
        <w:jc w:val="left"/>
        <w:rPr>
          <w:rFonts w:ascii="Times New Roman" w:hAnsi="Times New Roman"/>
          <w:sz w:val="20"/>
        </w:rPr>
      </w:pPr>
      <w:r>
        <w:rPr>
          <w:rFonts w:ascii="Times New Roman" w:hAnsi="Times New Roman"/>
          <w:sz w:val="20"/>
        </w:rPr>
        <w:t xml:space="preserve">Section 145 of the Delaware General Corporation Law (DGCL) authorizes a corporations board of directors to grant, and authorizes a court to award, indemnity to officers, directors and other corporate agents. </w:t>
      </w:r>
    </w:p>
    <w:p>
      <w:pPr>
        <w:pStyle w:val="TextBody"/>
        <w:spacing w:before="240" w:after="0"/>
        <w:jc w:val="left"/>
        <w:rPr>
          <w:rFonts w:ascii="Times New Roman" w:hAnsi="Times New Roman"/>
          <w:sz w:val="20"/>
        </w:rPr>
      </w:pPr>
      <w:r>
        <w:rPr>
          <w:rFonts w:ascii="Times New Roman" w:hAnsi="Times New Roman"/>
          <w:sz w:val="20"/>
        </w:rPr>
        <w:t xml:space="preserve">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breach of their duty of loyalty to our company or our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as provided in Section 174 of the DGCL;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transaction from which they derived an improper personal benefit. </w:t>
            </w:r>
          </w:p>
        </w:tc>
      </w:tr>
    </w:tbl>
    <w:p>
      <w:pPr>
        <w:pStyle w:val="TextBody"/>
        <w:spacing w:before="240" w:after="0"/>
        <w:jc w:val="left"/>
        <w:rPr>
          <w:rFonts w:ascii="Times New Roman" w:hAnsi="Times New Roman"/>
          <w:sz w:val="20"/>
        </w:rPr>
      </w:pPr>
      <w:r>
        <w:rPr>
          <w:rFonts w:ascii="Times New Roman" w:hAnsi="Times New Roman"/>
          <w:sz w:val="20"/>
        </w:rPr>
        <w:t xml:space="preserve">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 </w:t>
      </w:r>
    </w:p>
    <w:p>
      <w:pPr>
        <w:pStyle w:val="TextBody"/>
        <w:spacing w:before="240" w:after="0"/>
        <w:jc w:val="left"/>
        <w:rPr>
          <w:rFonts w:ascii="Times New Roman" w:hAnsi="Times New Roman"/>
          <w:sz w:val="20"/>
        </w:rPr>
      </w:pPr>
      <w:r>
        <w:rPr>
          <w:rFonts w:ascii="Times New Roman" w:hAnsi="Times New Roman"/>
          <w:sz w:val="20"/>
        </w:rPr>
        <w:t xml:space="preserve">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 </w:t>
      </w:r>
    </w:p>
    <w:p>
      <w:pPr>
        <w:pStyle w:val="TextBody"/>
        <w:spacing w:before="240" w:after="0"/>
        <w:jc w:val="left"/>
        <w:rPr>
          <w:rFonts w:ascii="Times New Roman" w:hAnsi="Times New Roman"/>
          <w:sz w:val="20"/>
        </w:rPr>
      </w:pPr>
      <w:r>
        <w:rPr>
          <w:rFonts w:ascii="Times New Roman" w:hAnsi="Times New Roman"/>
          <w:sz w:val="20"/>
        </w:rPr>
        <w:t xml:space="preserve">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w:t>
      </w:r>
    </w:p>
    <w:p>
      <w:pPr>
        <w:pStyle w:val="TextBody"/>
        <w:spacing w:before="240" w:after="0"/>
        <w:jc w:val="left"/>
        <w:rPr>
          <w:rFonts w:ascii="Times New Roman" w:hAnsi="Times New Roman"/>
          <w:sz w:val="20"/>
        </w:rPr>
      </w:pPr>
      <w:r>
        <w:rPr>
          <w:rFonts w:ascii="Times New Roman" w:hAnsi="Times New Roman"/>
          <w:sz w:val="20"/>
        </w:rPr>
        <w:t xml:space="preserve">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w:t>
      </w:r>
    </w:p>
    <w:p>
      <w:pPr>
        <w:pStyle w:val="TextBody"/>
        <w:spacing w:before="240" w:after="0"/>
        <w:jc w:val="left"/>
        <w:rPr>
          <w:rFonts w:ascii="Times New Roman" w:hAnsi="Times New Roman"/>
          <w:sz w:val="20"/>
        </w:rPr>
      </w:pPr>
      <w:r>
        <w:rPr>
          <w:rFonts w:ascii="Times New Roman" w:hAnsi="Times New Roman"/>
          <w:sz w:val="20"/>
        </w:rPr>
        <w:t xml:space="preserve">Certain of our non-employee directors may, through their relationships with their employers, be insured and/or indemnified against certain liabilities incurred in their capacity as members of the Board. </w:t>
      </w:r>
    </w:p>
    <w:p>
      <w:pPr>
        <w:pStyle w:val="TextBody"/>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b/>
              </w:rPr>
            </w:pPr>
            <w:r>
              <w:rPr>
                <w:b/>
              </w:rPr>
              <w:t>Item 16.</w:t>
            </w:r>
          </w:p>
        </w:tc>
        <w:tc>
          <w:tcPr>
            <w:tcW w:w="918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spacing w:before="120" w:after="0"/>
        <w:jc w:val="left"/>
        <w:rPr>
          <w:rFonts w:ascii="Times New Roman" w:hAnsi="Times New Roman"/>
          <w:b/>
          <w:i/>
          <w:sz w:val="20"/>
        </w:rPr>
      </w:pPr>
      <w:r>
        <w:rPr>
          <w:rFonts w:ascii="Times New Roman" w:hAnsi="Times New Roman"/>
          <w:b/>
          <w:i/>
          <w:sz w:val="20"/>
        </w:rPr>
        <w:t xml:space="preserve">(a) Exhibits </w:t>
      </w:r>
    </w:p>
    <w:p>
      <w:pPr>
        <w:pStyle w:val="TextBody"/>
        <w:spacing w:before="48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13"/>
        <w:gridCol w:w="611"/>
        <w:gridCol w:w="8981"/>
      </w:tblGrid>
      <w:tr>
        <w:trPr/>
        <w:tc>
          <w:tcPr>
            <w:tcW w:w="613"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bottom"/>
          </w:tcPr>
          <w:p>
            <w:pPr>
              <w:pStyle w:val="TableContents"/>
              <w:spacing w:before="0" w:after="283"/>
              <w:rPr>
                <w:sz w:val="4"/>
                <w:szCs w:val="4"/>
              </w:rPr>
            </w:pPr>
            <w:r>
              <w:rPr>
                <w:sz w:val="4"/>
                <w:szCs w:val="4"/>
              </w:rPr>
            </w:r>
          </w:p>
        </w:tc>
        <w:tc>
          <w:tcPr>
            <w:tcW w:w="8981" w:type="dxa"/>
            <w:tcBorders/>
            <w:shd w:fill="auto" w:val="clear"/>
            <w:vAlign w:val="center"/>
          </w:tcPr>
          <w:p>
            <w:pPr>
              <w:pStyle w:val="TableContents"/>
              <w:spacing w:before="0" w:after="283"/>
              <w:rPr>
                <w:sz w:val="4"/>
                <w:szCs w:val="4"/>
              </w:rPr>
            </w:pPr>
            <w:r>
              <w:rPr>
                <w:sz w:val="4"/>
                <w:szCs w:val="4"/>
              </w:rPr>
            </w:r>
          </w:p>
        </w:tc>
      </w:tr>
      <w:tr>
        <w:trPr/>
        <w:tc>
          <w:tcPr>
            <w:tcW w:w="613"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Exhibit</w:t>
              <w:br/>
              <w:t>Number</w:t>
            </w:r>
          </w:p>
        </w:tc>
        <w:tc>
          <w:tcPr>
            <w:tcW w:w="611" w:type="dxa"/>
            <w:tcBorders/>
            <w:shd w:fill="auto" w:val="clear"/>
            <w:vAlign w:val="bottom"/>
          </w:tcPr>
          <w:p>
            <w:pPr>
              <w:pStyle w:val="TableContents"/>
              <w:spacing w:before="0" w:after="283"/>
              <w:rPr/>
            </w:pPr>
            <w:r>
              <w:rPr/>
              <w:t>  </w:t>
            </w:r>
          </w:p>
        </w:tc>
        <w:tc>
          <w:tcPr>
            <w:tcW w:w="8981"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613" w:type="dxa"/>
            <w:tcBorders/>
            <w:shd w:fill="auto" w:val="clear"/>
            <w:vAlign w:val="center"/>
          </w:tcPr>
          <w:p>
            <w:pPr>
              <w:pStyle w:val="TableContents"/>
              <w:spacing w:before="0" w:after="283"/>
              <w:rPr>
                <w:sz w:val="4"/>
                <w:szCs w:val="4"/>
              </w:rPr>
            </w:pPr>
            <w:r>
              <w:rPr>
                <w:sz w:val="4"/>
                <w:szCs w:val="4"/>
              </w:rPr>
            </w:r>
          </w:p>
        </w:tc>
        <w:tc>
          <w:tcPr>
            <w:tcW w:w="9592" w:type="dxa"/>
            <w:gridSpan w:val="2"/>
            <w:tcBorders/>
            <w:shd w:fill="auto" w:val="clear"/>
            <w:vAlign w:val="center"/>
          </w:tcPr>
          <w:p>
            <w:pPr>
              <w:pStyle w:val="TableContents"/>
              <w:spacing w:before="0" w:after="283"/>
              <w:rPr>
                <w:sz w:val="4"/>
                <w:szCs w:val="4"/>
              </w:rPr>
            </w:pPr>
            <w:r>
              <w:rPr>
                <w:sz w:val="4"/>
                <w:szCs w:val="4"/>
              </w:rPr>
            </w:r>
          </w:p>
        </w:tc>
      </w:tr>
      <w:tr>
        <w:trPr/>
        <w:tc>
          <w:tcPr>
            <w:tcW w:w="613" w:type="dxa"/>
            <w:tcBorders/>
            <w:shd w:fill="auto" w:val="clear"/>
          </w:tcPr>
          <w:p>
            <w:pPr>
              <w:pStyle w:val="TableContents"/>
              <w:spacing w:before="0" w:after="283"/>
              <w:rPr/>
            </w:pPr>
            <w:r>
              <w:rPr/>
              <w:t>  </w:t>
            </w:r>
            <w:r>
              <w:rPr/>
              <w:t>1.1*</w:t>
            </w:r>
          </w:p>
        </w:tc>
        <w:tc>
          <w:tcPr>
            <w:tcW w:w="611" w:type="dxa"/>
            <w:tcBorders/>
            <w:shd w:fill="auto" w:val="clear"/>
            <w:vAlign w:val="bottom"/>
          </w:tcPr>
          <w:p>
            <w:pPr>
              <w:pStyle w:val="TableContents"/>
              <w:spacing w:before="0" w:after="283"/>
              <w:rPr/>
            </w:pPr>
            <w:r>
              <w:rPr/>
              <w:t>  </w:t>
            </w:r>
          </w:p>
        </w:tc>
        <w:tc>
          <w:tcPr>
            <w:tcW w:w="8981" w:type="dxa"/>
            <w:tcBorders/>
            <w:shd w:fill="auto" w:val="clear"/>
          </w:tcPr>
          <w:p>
            <w:pPr>
              <w:pStyle w:val="TableContents"/>
              <w:spacing w:before="0" w:after="283"/>
              <w:rPr/>
            </w:pPr>
            <w:r>
              <w:rPr/>
              <w:t>Form of Underwriting Agreement</w:t>
            </w:r>
          </w:p>
        </w:tc>
      </w:tr>
      <w:tr>
        <w:trPr>
          <w:trHeight w:val="120" w:hRule="atLeast"/>
        </w:trPr>
        <w:tc>
          <w:tcPr>
            <w:tcW w:w="613" w:type="dxa"/>
            <w:tcBorders/>
            <w:shd w:fill="auto" w:val="clear"/>
            <w:vAlign w:val="center"/>
          </w:tcPr>
          <w:p>
            <w:pPr>
              <w:pStyle w:val="TableContents"/>
              <w:spacing w:before="0" w:after="283"/>
              <w:rPr>
                <w:sz w:val="4"/>
                <w:szCs w:val="4"/>
              </w:rPr>
            </w:pPr>
            <w:r>
              <w:rPr>
                <w:sz w:val="4"/>
                <w:szCs w:val="4"/>
              </w:rPr>
            </w:r>
          </w:p>
        </w:tc>
        <w:tc>
          <w:tcPr>
            <w:tcW w:w="9592" w:type="dxa"/>
            <w:gridSpan w:val="2"/>
            <w:tcBorders/>
            <w:shd w:fill="auto" w:val="clear"/>
            <w:vAlign w:val="center"/>
          </w:tcPr>
          <w:p>
            <w:pPr>
              <w:pStyle w:val="TableContents"/>
              <w:spacing w:before="0" w:after="283"/>
              <w:rPr>
                <w:sz w:val="4"/>
                <w:szCs w:val="4"/>
              </w:rPr>
            </w:pPr>
            <w:r>
              <w:rPr>
                <w:sz w:val="4"/>
                <w:szCs w:val="4"/>
              </w:rPr>
            </w:r>
          </w:p>
        </w:tc>
      </w:tr>
      <w:tr>
        <w:trPr/>
        <w:tc>
          <w:tcPr>
            <w:tcW w:w="613" w:type="dxa"/>
            <w:tcBorders/>
            <w:shd w:fill="auto" w:val="clear"/>
          </w:tcPr>
          <w:p>
            <w:pPr>
              <w:pStyle w:val="TableContents"/>
              <w:spacing w:before="0" w:after="283"/>
              <w:rPr/>
            </w:pPr>
            <w:r>
              <w:rPr/>
              <w:t>  </w:t>
            </w:r>
            <w:r>
              <w:rPr/>
              <w:t>3.1</w:t>
            </w:r>
          </w:p>
        </w:tc>
        <w:tc>
          <w:tcPr>
            <w:tcW w:w="611" w:type="dxa"/>
            <w:tcBorders/>
            <w:shd w:fill="auto" w:val="clear"/>
            <w:vAlign w:val="bottom"/>
          </w:tcPr>
          <w:p>
            <w:pPr>
              <w:pStyle w:val="TableContents"/>
              <w:spacing w:before="0" w:after="283"/>
              <w:rPr/>
            </w:pPr>
            <w:r>
              <w:rPr/>
              <w:t>  </w:t>
            </w:r>
          </w:p>
        </w:tc>
        <w:tc>
          <w:tcPr>
            <w:tcW w:w="8981" w:type="dxa"/>
            <w:tcBorders/>
            <w:shd w:fill="auto" w:val="clear"/>
          </w:tcPr>
          <w:p>
            <w:pPr>
              <w:pStyle w:val="TableContents"/>
              <w:spacing w:before="0" w:after="283"/>
              <w:rPr/>
            </w:pPr>
            <w:hyperlink r:id="rId10">
              <w:r>
                <w:rPr>
                  <w:rStyle w:val="InternetLink"/>
                </w:rPr>
                <w:t>Certificate of Incorporation of the Company, as currently in effect (incorporated by reference to Exhibit 3.1 to the Companys Form  8-K filed with the SEC on October 21, 2021)</w:t>
              </w:r>
            </w:hyperlink>
          </w:p>
        </w:tc>
      </w:tr>
      <w:tr>
        <w:trPr>
          <w:trHeight w:val="120" w:hRule="atLeast"/>
        </w:trPr>
        <w:tc>
          <w:tcPr>
            <w:tcW w:w="613" w:type="dxa"/>
            <w:tcBorders/>
            <w:shd w:fill="auto" w:val="clear"/>
            <w:vAlign w:val="center"/>
          </w:tcPr>
          <w:p>
            <w:pPr>
              <w:pStyle w:val="TableContents"/>
              <w:spacing w:before="0" w:after="283"/>
              <w:rPr>
                <w:sz w:val="4"/>
                <w:szCs w:val="4"/>
              </w:rPr>
            </w:pPr>
            <w:r>
              <w:rPr>
                <w:sz w:val="4"/>
                <w:szCs w:val="4"/>
              </w:rPr>
            </w:r>
          </w:p>
        </w:tc>
        <w:tc>
          <w:tcPr>
            <w:tcW w:w="9592" w:type="dxa"/>
            <w:gridSpan w:val="2"/>
            <w:tcBorders/>
            <w:shd w:fill="auto" w:val="clear"/>
            <w:vAlign w:val="center"/>
          </w:tcPr>
          <w:p>
            <w:pPr>
              <w:pStyle w:val="TableContents"/>
              <w:spacing w:before="0" w:after="283"/>
              <w:rPr>
                <w:sz w:val="4"/>
                <w:szCs w:val="4"/>
              </w:rPr>
            </w:pPr>
            <w:r>
              <w:rPr>
                <w:sz w:val="4"/>
                <w:szCs w:val="4"/>
              </w:rPr>
            </w:r>
          </w:p>
        </w:tc>
      </w:tr>
      <w:tr>
        <w:trPr/>
        <w:tc>
          <w:tcPr>
            <w:tcW w:w="613" w:type="dxa"/>
            <w:tcBorders/>
            <w:shd w:fill="auto" w:val="clear"/>
          </w:tcPr>
          <w:p>
            <w:pPr>
              <w:pStyle w:val="TableContents"/>
              <w:spacing w:before="0" w:after="283"/>
              <w:rPr/>
            </w:pPr>
            <w:r>
              <w:rPr/>
              <w:t>  </w:t>
            </w:r>
            <w:r>
              <w:rPr/>
              <w:t>3.2</w:t>
            </w:r>
          </w:p>
        </w:tc>
        <w:tc>
          <w:tcPr>
            <w:tcW w:w="611" w:type="dxa"/>
            <w:tcBorders/>
            <w:shd w:fill="auto" w:val="clear"/>
            <w:vAlign w:val="bottom"/>
          </w:tcPr>
          <w:p>
            <w:pPr>
              <w:pStyle w:val="TableContents"/>
              <w:spacing w:before="0" w:after="283"/>
              <w:rPr/>
            </w:pPr>
            <w:r>
              <w:rPr/>
              <w:t>  </w:t>
            </w:r>
          </w:p>
        </w:tc>
        <w:tc>
          <w:tcPr>
            <w:tcW w:w="8981" w:type="dxa"/>
            <w:tcBorders/>
            <w:shd w:fill="auto" w:val="clear"/>
          </w:tcPr>
          <w:p>
            <w:pPr>
              <w:pStyle w:val="TableContents"/>
              <w:spacing w:before="0" w:after="283"/>
              <w:rPr/>
            </w:pPr>
            <w:hyperlink r:id="rId11">
              <w:r>
                <w:rPr>
                  <w:rStyle w:val="InternetLink"/>
                </w:rPr>
                <w:t>By-Laws of the Company, as currently in effect (incorporated by reference to Exhibit 3.2 to the Companys Form 8-K filed with the SEC on October 21, 2021)</w:t>
              </w:r>
            </w:hyperlink>
          </w:p>
        </w:tc>
      </w:tr>
      <w:tr>
        <w:trPr>
          <w:trHeight w:val="120" w:hRule="atLeast"/>
        </w:trPr>
        <w:tc>
          <w:tcPr>
            <w:tcW w:w="613" w:type="dxa"/>
            <w:tcBorders/>
            <w:shd w:fill="auto" w:val="clear"/>
            <w:vAlign w:val="center"/>
          </w:tcPr>
          <w:p>
            <w:pPr>
              <w:pStyle w:val="TableContents"/>
              <w:spacing w:before="0" w:after="283"/>
              <w:rPr>
                <w:sz w:val="4"/>
                <w:szCs w:val="4"/>
              </w:rPr>
            </w:pPr>
            <w:r>
              <w:rPr>
                <w:sz w:val="4"/>
                <w:szCs w:val="4"/>
              </w:rPr>
            </w:r>
          </w:p>
        </w:tc>
        <w:tc>
          <w:tcPr>
            <w:tcW w:w="9592" w:type="dxa"/>
            <w:gridSpan w:val="2"/>
            <w:tcBorders/>
            <w:shd w:fill="auto" w:val="clear"/>
            <w:vAlign w:val="center"/>
          </w:tcPr>
          <w:p>
            <w:pPr>
              <w:pStyle w:val="TableContents"/>
              <w:spacing w:before="0" w:after="283"/>
              <w:rPr>
                <w:sz w:val="4"/>
                <w:szCs w:val="4"/>
              </w:rPr>
            </w:pPr>
            <w:r>
              <w:rPr>
                <w:sz w:val="4"/>
                <w:szCs w:val="4"/>
              </w:rPr>
            </w:r>
          </w:p>
        </w:tc>
      </w:tr>
      <w:tr>
        <w:trPr/>
        <w:tc>
          <w:tcPr>
            <w:tcW w:w="613" w:type="dxa"/>
            <w:tcBorders/>
            <w:shd w:fill="auto" w:val="clear"/>
          </w:tcPr>
          <w:p>
            <w:pPr>
              <w:pStyle w:val="TableContents"/>
              <w:spacing w:before="0" w:after="283"/>
              <w:rPr/>
            </w:pPr>
            <w:r>
              <w:rPr/>
              <w:t>  </w:t>
            </w:r>
            <w:r>
              <w:rPr/>
              <w:t>4.1</w:t>
            </w:r>
          </w:p>
        </w:tc>
        <w:tc>
          <w:tcPr>
            <w:tcW w:w="611" w:type="dxa"/>
            <w:tcBorders/>
            <w:shd w:fill="auto" w:val="clear"/>
            <w:vAlign w:val="bottom"/>
          </w:tcPr>
          <w:p>
            <w:pPr>
              <w:pStyle w:val="TableContents"/>
              <w:spacing w:before="0" w:after="283"/>
              <w:rPr/>
            </w:pPr>
            <w:r>
              <w:rPr/>
              <w:t>  </w:t>
            </w:r>
          </w:p>
        </w:tc>
        <w:tc>
          <w:tcPr>
            <w:tcW w:w="8981" w:type="dxa"/>
            <w:tcBorders/>
            <w:shd w:fill="auto" w:val="clear"/>
          </w:tcPr>
          <w:p>
            <w:pPr>
              <w:pStyle w:val="TableContents"/>
              <w:spacing w:before="0" w:after="283"/>
              <w:rPr/>
            </w:pPr>
            <w:hyperlink r:id="rId12">
              <w:r>
                <w:rPr>
                  <w:rStyle w:val="InternetLink"/>
                </w:rPr>
                <w:t>Specimen Warrant Certificate of the Company (incorporated by reference to Exhibit 4.2 to the Companys Form 8-K filed with the SEC on October 21, 2021)</w:t>
              </w:r>
            </w:hyperlink>
          </w:p>
        </w:tc>
      </w:tr>
      <w:tr>
        <w:trPr>
          <w:trHeight w:val="120" w:hRule="atLeast"/>
        </w:trPr>
        <w:tc>
          <w:tcPr>
            <w:tcW w:w="613" w:type="dxa"/>
            <w:tcBorders/>
            <w:shd w:fill="auto" w:val="clear"/>
            <w:vAlign w:val="center"/>
          </w:tcPr>
          <w:p>
            <w:pPr>
              <w:pStyle w:val="TableContents"/>
              <w:spacing w:before="0" w:after="283"/>
              <w:rPr>
                <w:sz w:val="4"/>
                <w:szCs w:val="4"/>
              </w:rPr>
            </w:pPr>
            <w:r>
              <w:rPr>
                <w:sz w:val="4"/>
                <w:szCs w:val="4"/>
              </w:rPr>
            </w:r>
          </w:p>
        </w:tc>
        <w:tc>
          <w:tcPr>
            <w:tcW w:w="9592" w:type="dxa"/>
            <w:gridSpan w:val="2"/>
            <w:tcBorders/>
            <w:shd w:fill="auto" w:val="clear"/>
            <w:vAlign w:val="center"/>
          </w:tcPr>
          <w:p>
            <w:pPr>
              <w:pStyle w:val="TableContents"/>
              <w:spacing w:before="0" w:after="283"/>
              <w:rPr>
                <w:sz w:val="4"/>
                <w:szCs w:val="4"/>
              </w:rPr>
            </w:pPr>
            <w:r>
              <w:rPr>
                <w:sz w:val="4"/>
                <w:szCs w:val="4"/>
              </w:rPr>
            </w:r>
          </w:p>
        </w:tc>
      </w:tr>
      <w:tr>
        <w:trPr/>
        <w:tc>
          <w:tcPr>
            <w:tcW w:w="613" w:type="dxa"/>
            <w:tcBorders/>
            <w:shd w:fill="auto" w:val="clear"/>
          </w:tcPr>
          <w:p>
            <w:pPr>
              <w:pStyle w:val="TableContents"/>
              <w:spacing w:before="0" w:after="283"/>
              <w:rPr/>
            </w:pPr>
            <w:r>
              <w:rPr/>
              <w:t>  </w:t>
            </w:r>
            <w:r>
              <w:rPr/>
              <w:t>4.2*</w:t>
            </w:r>
          </w:p>
        </w:tc>
        <w:tc>
          <w:tcPr>
            <w:tcW w:w="611" w:type="dxa"/>
            <w:tcBorders/>
            <w:shd w:fill="auto" w:val="clear"/>
            <w:vAlign w:val="bottom"/>
          </w:tcPr>
          <w:p>
            <w:pPr>
              <w:pStyle w:val="TableContents"/>
              <w:spacing w:before="0" w:after="283"/>
              <w:rPr/>
            </w:pPr>
            <w:r>
              <w:rPr/>
              <w:t>  </w:t>
            </w:r>
          </w:p>
        </w:tc>
        <w:tc>
          <w:tcPr>
            <w:tcW w:w="8981" w:type="dxa"/>
            <w:tcBorders/>
            <w:shd w:fill="auto" w:val="clear"/>
          </w:tcPr>
          <w:p>
            <w:pPr>
              <w:pStyle w:val="TableContents"/>
              <w:spacing w:before="0" w:after="283"/>
              <w:rPr/>
            </w:pPr>
            <w:r>
              <w:rPr/>
              <w:t>Form of Preferred Stock Certificate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696"/>
        <w:gridCol w:w="670"/>
        <w:gridCol w:w="8839"/>
      </w:tblGrid>
      <w:tr>
        <w:trPr/>
        <w:tc>
          <w:tcPr>
            <w:tcW w:w="696"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bottom"/>
          </w:tcPr>
          <w:p>
            <w:pPr>
              <w:pStyle w:val="TableContents"/>
              <w:spacing w:before="0" w:after="283"/>
              <w:rPr>
                <w:sz w:val="4"/>
                <w:szCs w:val="4"/>
              </w:rPr>
            </w:pPr>
            <w:r>
              <w:rPr>
                <w:sz w:val="4"/>
                <w:szCs w:val="4"/>
              </w:rPr>
            </w:r>
          </w:p>
        </w:tc>
        <w:tc>
          <w:tcPr>
            <w:tcW w:w="8839" w:type="dxa"/>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Exhibit</w:t>
              <w:br/>
              <w:t>Number</w:t>
            </w:r>
          </w:p>
        </w:tc>
        <w:tc>
          <w:tcPr>
            <w:tcW w:w="670" w:type="dxa"/>
            <w:tcBorders/>
            <w:shd w:fill="auto" w:val="clear"/>
            <w:vAlign w:val="bottom"/>
          </w:tcPr>
          <w:p>
            <w:pPr>
              <w:pStyle w:val="TableContents"/>
              <w:spacing w:before="0" w:after="283"/>
              <w:rPr/>
            </w:pPr>
            <w:r>
              <w:rPr/>
              <w:t>  </w:t>
            </w:r>
          </w:p>
        </w:tc>
        <w:tc>
          <w:tcPr>
            <w:tcW w:w="883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696" w:type="dxa"/>
            <w:tcBorders/>
            <w:shd w:fill="auto" w:val="clear"/>
            <w:vAlign w:val="center"/>
          </w:tcPr>
          <w:p>
            <w:pPr>
              <w:pStyle w:val="TableContents"/>
              <w:spacing w:before="0" w:after="283"/>
              <w:rPr>
                <w:sz w:val="4"/>
                <w:szCs w:val="4"/>
              </w:rPr>
            </w:pPr>
            <w:r>
              <w:rPr>
                <w:sz w:val="4"/>
                <w:szCs w:val="4"/>
              </w:rPr>
            </w:r>
          </w:p>
        </w:tc>
        <w:tc>
          <w:tcPr>
            <w:tcW w:w="9509" w:type="dxa"/>
            <w:gridSpan w:val="2"/>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tcPr>
          <w:p>
            <w:pPr>
              <w:pStyle w:val="TableContents"/>
              <w:spacing w:before="0" w:after="283"/>
              <w:rPr/>
            </w:pPr>
            <w:r>
              <w:rPr/>
              <w:t>  </w:t>
            </w:r>
            <w:r>
              <w:rPr/>
              <w:t>4.3</w:t>
            </w:r>
          </w:p>
        </w:tc>
        <w:tc>
          <w:tcPr>
            <w:tcW w:w="670" w:type="dxa"/>
            <w:tcBorders/>
            <w:shd w:fill="auto" w:val="clear"/>
            <w:vAlign w:val="bottom"/>
          </w:tcPr>
          <w:p>
            <w:pPr>
              <w:pStyle w:val="TableContents"/>
              <w:spacing w:before="0" w:after="283"/>
              <w:rPr/>
            </w:pPr>
            <w:r>
              <w:rPr/>
              <w:t>  </w:t>
            </w:r>
          </w:p>
        </w:tc>
        <w:tc>
          <w:tcPr>
            <w:tcW w:w="8839" w:type="dxa"/>
            <w:tcBorders/>
            <w:shd w:fill="auto" w:val="clear"/>
          </w:tcPr>
          <w:p>
            <w:pPr>
              <w:pStyle w:val="TableContents"/>
              <w:spacing w:before="0" w:after="283"/>
              <w:rPr/>
            </w:pPr>
            <w:hyperlink r:id="rId13">
              <w:r>
                <w:rPr>
                  <w:rStyle w:val="InternetLink"/>
                </w:rPr>
                <w:t>Warrant Agreement, dated September 22, 2020, by and between the Company and Continental Stock Transfer  &amp; Trust Company, as warrant agent (incorporated by reference to Exhibit 4.1 of the Companys Form 8-K filed with the SEC on September 28, 2020)</w:t>
              </w:r>
            </w:hyperlink>
          </w:p>
        </w:tc>
      </w:tr>
      <w:tr>
        <w:trPr>
          <w:trHeight w:val="120" w:hRule="atLeast"/>
        </w:trPr>
        <w:tc>
          <w:tcPr>
            <w:tcW w:w="696" w:type="dxa"/>
            <w:tcBorders/>
            <w:shd w:fill="auto" w:val="clear"/>
            <w:vAlign w:val="center"/>
          </w:tcPr>
          <w:p>
            <w:pPr>
              <w:pStyle w:val="TableContents"/>
              <w:spacing w:before="0" w:after="283"/>
              <w:rPr>
                <w:sz w:val="4"/>
                <w:szCs w:val="4"/>
              </w:rPr>
            </w:pPr>
            <w:r>
              <w:rPr>
                <w:sz w:val="4"/>
                <w:szCs w:val="4"/>
              </w:rPr>
            </w:r>
          </w:p>
        </w:tc>
        <w:tc>
          <w:tcPr>
            <w:tcW w:w="9509" w:type="dxa"/>
            <w:gridSpan w:val="2"/>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tcPr>
          <w:p>
            <w:pPr>
              <w:pStyle w:val="TableContents"/>
              <w:spacing w:before="0" w:after="283"/>
              <w:rPr/>
            </w:pPr>
            <w:r>
              <w:rPr/>
              <w:t>  </w:t>
            </w:r>
            <w:r>
              <w:rPr/>
              <w:t>4.4</w:t>
            </w:r>
          </w:p>
        </w:tc>
        <w:tc>
          <w:tcPr>
            <w:tcW w:w="670" w:type="dxa"/>
            <w:tcBorders/>
            <w:shd w:fill="auto" w:val="clear"/>
            <w:vAlign w:val="bottom"/>
          </w:tcPr>
          <w:p>
            <w:pPr>
              <w:pStyle w:val="TableContents"/>
              <w:spacing w:before="0" w:after="283"/>
              <w:rPr/>
            </w:pPr>
            <w:r>
              <w:rPr/>
              <w:t>  </w:t>
            </w:r>
          </w:p>
        </w:tc>
        <w:tc>
          <w:tcPr>
            <w:tcW w:w="8839" w:type="dxa"/>
            <w:tcBorders/>
            <w:shd w:fill="auto" w:val="clear"/>
          </w:tcPr>
          <w:p>
            <w:pPr>
              <w:pStyle w:val="TableContents"/>
              <w:spacing w:before="0" w:after="283"/>
              <w:rPr/>
            </w:pPr>
            <w:hyperlink r:id="rId14">
              <w:r>
                <w:rPr>
                  <w:rStyle w:val="InternetLink"/>
                </w:rPr>
                <w:t>Third Amended and Restated Limited Liability Company Agreement, dated October  15, 2021, by and among Opco and the Opco Equity Holders (incorporated by reference to Exhibit 4.3 to the Companys Form 8-K filed with the SEC on October 21, 2021)</w:t>
              </w:r>
            </w:hyperlink>
          </w:p>
        </w:tc>
      </w:tr>
      <w:tr>
        <w:trPr>
          <w:trHeight w:val="120" w:hRule="atLeast"/>
        </w:trPr>
        <w:tc>
          <w:tcPr>
            <w:tcW w:w="696" w:type="dxa"/>
            <w:tcBorders/>
            <w:shd w:fill="auto" w:val="clear"/>
            <w:vAlign w:val="center"/>
          </w:tcPr>
          <w:p>
            <w:pPr>
              <w:pStyle w:val="TableContents"/>
              <w:spacing w:before="0" w:after="283"/>
              <w:rPr>
                <w:sz w:val="4"/>
                <w:szCs w:val="4"/>
              </w:rPr>
            </w:pPr>
            <w:r>
              <w:rPr>
                <w:sz w:val="4"/>
                <w:szCs w:val="4"/>
              </w:rPr>
            </w:r>
          </w:p>
        </w:tc>
        <w:tc>
          <w:tcPr>
            <w:tcW w:w="9509" w:type="dxa"/>
            <w:gridSpan w:val="2"/>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tcPr>
          <w:p>
            <w:pPr>
              <w:pStyle w:val="TableContents"/>
              <w:spacing w:before="0" w:after="283"/>
              <w:rPr/>
            </w:pPr>
            <w:r>
              <w:rPr/>
              <w:t>  </w:t>
            </w:r>
            <w:r>
              <w:rPr/>
              <w:t>4.5</w:t>
            </w:r>
          </w:p>
        </w:tc>
        <w:tc>
          <w:tcPr>
            <w:tcW w:w="670" w:type="dxa"/>
            <w:tcBorders/>
            <w:shd w:fill="auto" w:val="clear"/>
            <w:vAlign w:val="bottom"/>
          </w:tcPr>
          <w:p>
            <w:pPr>
              <w:pStyle w:val="TableContents"/>
              <w:spacing w:before="0" w:after="283"/>
              <w:rPr/>
            </w:pPr>
            <w:r>
              <w:rPr/>
              <w:t>  </w:t>
            </w:r>
          </w:p>
        </w:tc>
        <w:tc>
          <w:tcPr>
            <w:tcW w:w="8839" w:type="dxa"/>
            <w:tcBorders/>
            <w:shd w:fill="auto" w:val="clear"/>
          </w:tcPr>
          <w:p>
            <w:pPr>
              <w:pStyle w:val="TableContents"/>
              <w:spacing w:before="0" w:after="283"/>
              <w:rPr/>
            </w:pPr>
            <w:hyperlink w:anchor="d492054dex45.htm">
              <w:r>
                <w:rPr>
                  <w:rStyle w:val="InternetLink"/>
                </w:rPr>
                <w:t xml:space="preserve">Form of Indenture </w:t>
              </w:r>
            </w:hyperlink>
          </w:p>
        </w:tc>
      </w:tr>
      <w:tr>
        <w:trPr>
          <w:trHeight w:val="120" w:hRule="atLeast"/>
        </w:trPr>
        <w:tc>
          <w:tcPr>
            <w:tcW w:w="696" w:type="dxa"/>
            <w:tcBorders/>
            <w:shd w:fill="auto" w:val="clear"/>
            <w:vAlign w:val="center"/>
          </w:tcPr>
          <w:p>
            <w:pPr>
              <w:pStyle w:val="TableContents"/>
              <w:spacing w:before="0" w:after="283"/>
              <w:rPr>
                <w:sz w:val="4"/>
                <w:szCs w:val="4"/>
              </w:rPr>
            </w:pPr>
            <w:r>
              <w:rPr>
                <w:sz w:val="4"/>
                <w:szCs w:val="4"/>
              </w:rPr>
            </w:r>
          </w:p>
        </w:tc>
        <w:tc>
          <w:tcPr>
            <w:tcW w:w="9509" w:type="dxa"/>
            <w:gridSpan w:val="2"/>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tcPr>
          <w:p>
            <w:pPr>
              <w:pStyle w:val="TableContents"/>
              <w:spacing w:before="0" w:after="283"/>
              <w:rPr/>
            </w:pPr>
            <w:r>
              <w:rPr/>
              <w:t>  </w:t>
            </w:r>
            <w:r>
              <w:rPr/>
              <w:t>4.6*</w:t>
            </w:r>
          </w:p>
        </w:tc>
        <w:tc>
          <w:tcPr>
            <w:tcW w:w="670" w:type="dxa"/>
            <w:tcBorders/>
            <w:shd w:fill="auto" w:val="clear"/>
            <w:vAlign w:val="bottom"/>
          </w:tcPr>
          <w:p>
            <w:pPr>
              <w:pStyle w:val="TableContents"/>
              <w:spacing w:before="0" w:after="283"/>
              <w:rPr/>
            </w:pPr>
            <w:r>
              <w:rPr/>
              <w:t>  </w:t>
            </w:r>
          </w:p>
        </w:tc>
        <w:tc>
          <w:tcPr>
            <w:tcW w:w="8839" w:type="dxa"/>
            <w:tcBorders/>
            <w:shd w:fill="auto" w:val="clear"/>
          </w:tcPr>
          <w:p>
            <w:pPr>
              <w:pStyle w:val="TableContents"/>
              <w:spacing w:before="0" w:after="283"/>
              <w:rPr/>
            </w:pPr>
            <w:r>
              <w:rPr/>
              <w:t>Form of Debt Security</w:t>
            </w:r>
          </w:p>
        </w:tc>
      </w:tr>
      <w:tr>
        <w:trPr>
          <w:trHeight w:val="120" w:hRule="atLeast"/>
        </w:trPr>
        <w:tc>
          <w:tcPr>
            <w:tcW w:w="696" w:type="dxa"/>
            <w:tcBorders/>
            <w:shd w:fill="auto" w:val="clear"/>
            <w:vAlign w:val="center"/>
          </w:tcPr>
          <w:p>
            <w:pPr>
              <w:pStyle w:val="TableContents"/>
              <w:spacing w:before="0" w:after="283"/>
              <w:rPr>
                <w:sz w:val="4"/>
                <w:szCs w:val="4"/>
              </w:rPr>
            </w:pPr>
            <w:r>
              <w:rPr>
                <w:sz w:val="4"/>
                <w:szCs w:val="4"/>
              </w:rPr>
            </w:r>
          </w:p>
        </w:tc>
        <w:tc>
          <w:tcPr>
            <w:tcW w:w="9509" w:type="dxa"/>
            <w:gridSpan w:val="2"/>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tcPr>
          <w:p>
            <w:pPr>
              <w:pStyle w:val="TableContents"/>
              <w:spacing w:before="0" w:after="283"/>
              <w:rPr/>
            </w:pPr>
            <w:r>
              <w:rPr/>
              <w:t>  </w:t>
            </w:r>
            <w:r>
              <w:rPr/>
              <w:t>4.7*</w:t>
            </w:r>
          </w:p>
        </w:tc>
        <w:tc>
          <w:tcPr>
            <w:tcW w:w="670" w:type="dxa"/>
            <w:tcBorders/>
            <w:shd w:fill="auto" w:val="clear"/>
            <w:vAlign w:val="bottom"/>
          </w:tcPr>
          <w:p>
            <w:pPr>
              <w:pStyle w:val="TableContents"/>
              <w:spacing w:before="0" w:after="283"/>
              <w:rPr/>
            </w:pPr>
            <w:r>
              <w:rPr/>
              <w:t>  </w:t>
            </w:r>
          </w:p>
        </w:tc>
        <w:tc>
          <w:tcPr>
            <w:tcW w:w="8839" w:type="dxa"/>
            <w:tcBorders/>
            <w:shd w:fill="auto" w:val="clear"/>
          </w:tcPr>
          <w:p>
            <w:pPr>
              <w:pStyle w:val="TableContents"/>
              <w:spacing w:before="0" w:after="283"/>
              <w:rPr/>
            </w:pPr>
            <w:r>
              <w:rPr/>
              <w:t>Form of Warrant Agreement</w:t>
            </w:r>
          </w:p>
        </w:tc>
      </w:tr>
      <w:tr>
        <w:trPr>
          <w:trHeight w:val="120" w:hRule="atLeast"/>
        </w:trPr>
        <w:tc>
          <w:tcPr>
            <w:tcW w:w="696" w:type="dxa"/>
            <w:tcBorders/>
            <w:shd w:fill="auto" w:val="clear"/>
            <w:vAlign w:val="center"/>
          </w:tcPr>
          <w:p>
            <w:pPr>
              <w:pStyle w:val="TableContents"/>
              <w:spacing w:before="0" w:after="283"/>
              <w:rPr>
                <w:sz w:val="4"/>
                <w:szCs w:val="4"/>
              </w:rPr>
            </w:pPr>
            <w:r>
              <w:rPr>
                <w:sz w:val="4"/>
                <w:szCs w:val="4"/>
              </w:rPr>
            </w:r>
          </w:p>
        </w:tc>
        <w:tc>
          <w:tcPr>
            <w:tcW w:w="9509" w:type="dxa"/>
            <w:gridSpan w:val="2"/>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tcPr>
          <w:p>
            <w:pPr>
              <w:pStyle w:val="TableContents"/>
              <w:spacing w:before="0" w:after="283"/>
              <w:rPr/>
            </w:pPr>
            <w:r>
              <w:rPr/>
              <w:t>  </w:t>
            </w:r>
            <w:r>
              <w:rPr/>
              <w:t>4.8*</w:t>
            </w:r>
          </w:p>
        </w:tc>
        <w:tc>
          <w:tcPr>
            <w:tcW w:w="670" w:type="dxa"/>
            <w:tcBorders/>
            <w:shd w:fill="auto" w:val="clear"/>
            <w:vAlign w:val="bottom"/>
          </w:tcPr>
          <w:p>
            <w:pPr>
              <w:pStyle w:val="TableContents"/>
              <w:spacing w:before="0" w:after="283"/>
              <w:rPr/>
            </w:pPr>
            <w:r>
              <w:rPr/>
              <w:t>  </w:t>
            </w:r>
          </w:p>
        </w:tc>
        <w:tc>
          <w:tcPr>
            <w:tcW w:w="8839" w:type="dxa"/>
            <w:tcBorders/>
            <w:shd w:fill="auto" w:val="clear"/>
          </w:tcPr>
          <w:p>
            <w:pPr>
              <w:pStyle w:val="TableContents"/>
              <w:spacing w:before="0" w:after="283"/>
              <w:rPr/>
            </w:pPr>
            <w:r>
              <w:rPr/>
              <w:t>Form of Unit Agreement</w:t>
            </w:r>
          </w:p>
        </w:tc>
      </w:tr>
      <w:tr>
        <w:trPr>
          <w:trHeight w:val="120" w:hRule="atLeast"/>
        </w:trPr>
        <w:tc>
          <w:tcPr>
            <w:tcW w:w="696" w:type="dxa"/>
            <w:tcBorders/>
            <w:shd w:fill="auto" w:val="clear"/>
            <w:vAlign w:val="center"/>
          </w:tcPr>
          <w:p>
            <w:pPr>
              <w:pStyle w:val="TableContents"/>
              <w:spacing w:before="0" w:after="283"/>
              <w:rPr>
                <w:sz w:val="4"/>
                <w:szCs w:val="4"/>
              </w:rPr>
            </w:pPr>
            <w:r>
              <w:rPr>
                <w:sz w:val="4"/>
                <w:szCs w:val="4"/>
              </w:rPr>
            </w:r>
          </w:p>
        </w:tc>
        <w:tc>
          <w:tcPr>
            <w:tcW w:w="9509" w:type="dxa"/>
            <w:gridSpan w:val="2"/>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tcPr>
          <w:p>
            <w:pPr>
              <w:pStyle w:val="TableContents"/>
              <w:spacing w:before="0" w:after="283"/>
              <w:rPr/>
            </w:pPr>
            <w:r>
              <w:rPr/>
              <w:t>  </w:t>
            </w:r>
            <w:r>
              <w:rPr/>
              <w:t>4.9*</w:t>
            </w:r>
          </w:p>
        </w:tc>
        <w:tc>
          <w:tcPr>
            <w:tcW w:w="670" w:type="dxa"/>
            <w:tcBorders/>
            <w:shd w:fill="auto" w:val="clear"/>
            <w:vAlign w:val="bottom"/>
          </w:tcPr>
          <w:p>
            <w:pPr>
              <w:pStyle w:val="TableContents"/>
              <w:spacing w:before="0" w:after="283"/>
              <w:rPr/>
            </w:pPr>
            <w:r>
              <w:rPr/>
              <w:t>  </w:t>
            </w:r>
          </w:p>
        </w:tc>
        <w:tc>
          <w:tcPr>
            <w:tcW w:w="8839" w:type="dxa"/>
            <w:tcBorders/>
            <w:shd w:fill="auto" w:val="clear"/>
          </w:tcPr>
          <w:p>
            <w:pPr>
              <w:pStyle w:val="TableContents"/>
              <w:spacing w:before="0" w:after="283"/>
              <w:rPr/>
            </w:pPr>
            <w:r>
              <w:rPr/>
              <w:t>Form of Unit</w:t>
            </w:r>
          </w:p>
        </w:tc>
      </w:tr>
      <w:tr>
        <w:trPr>
          <w:trHeight w:val="120" w:hRule="atLeast"/>
        </w:trPr>
        <w:tc>
          <w:tcPr>
            <w:tcW w:w="696" w:type="dxa"/>
            <w:tcBorders/>
            <w:shd w:fill="auto" w:val="clear"/>
            <w:vAlign w:val="center"/>
          </w:tcPr>
          <w:p>
            <w:pPr>
              <w:pStyle w:val="TableContents"/>
              <w:spacing w:before="0" w:after="283"/>
              <w:rPr>
                <w:sz w:val="4"/>
                <w:szCs w:val="4"/>
              </w:rPr>
            </w:pPr>
            <w:r>
              <w:rPr>
                <w:sz w:val="4"/>
                <w:szCs w:val="4"/>
              </w:rPr>
            </w:r>
          </w:p>
        </w:tc>
        <w:tc>
          <w:tcPr>
            <w:tcW w:w="9509" w:type="dxa"/>
            <w:gridSpan w:val="2"/>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tcPr>
          <w:p>
            <w:pPr>
              <w:pStyle w:val="TableContents"/>
              <w:spacing w:before="0" w:after="283"/>
              <w:rPr/>
            </w:pPr>
            <w:r>
              <w:rPr/>
              <w:t>  </w:t>
            </w:r>
            <w:r>
              <w:rPr/>
              <w:t>5.1</w:t>
            </w:r>
          </w:p>
        </w:tc>
        <w:tc>
          <w:tcPr>
            <w:tcW w:w="670" w:type="dxa"/>
            <w:tcBorders/>
            <w:shd w:fill="auto" w:val="clear"/>
            <w:vAlign w:val="bottom"/>
          </w:tcPr>
          <w:p>
            <w:pPr>
              <w:pStyle w:val="TableContents"/>
              <w:spacing w:before="0" w:after="283"/>
              <w:rPr/>
            </w:pPr>
            <w:r>
              <w:rPr/>
              <w:t>  </w:t>
            </w:r>
          </w:p>
        </w:tc>
        <w:tc>
          <w:tcPr>
            <w:tcW w:w="8839" w:type="dxa"/>
            <w:tcBorders/>
            <w:shd w:fill="auto" w:val="clear"/>
          </w:tcPr>
          <w:p>
            <w:pPr>
              <w:pStyle w:val="TableContents"/>
              <w:spacing w:before="0" w:after="283"/>
              <w:rPr/>
            </w:pPr>
            <w:hyperlink w:anchor="d492054dex51.htm">
              <w:r>
                <w:rPr>
                  <w:rStyle w:val="InternetLink"/>
                </w:rPr>
                <w:t xml:space="preserve">Opinion of Wilson Sonsini Goodrich &amp; Rosati, Professional Corporation </w:t>
              </w:r>
            </w:hyperlink>
          </w:p>
        </w:tc>
      </w:tr>
      <w:tr>
        <w:trPr>
          <w:trHeight w:val="120" w:hRule="atLeast"/>
        </w:trPr>
        <w:tc>
          <w:tcPr>
            <w:tcW w:w="696" w:type="dxa"/>
            <w:tcBorders/>
            <w:shd w:fill="auto" w:val="clear"/>
            <w:vAlign w:val="center"/>
          </w:tcPr>
          <w:p>
            <w:pPr>
              <w:pStyle w:val="TableContents"/>
              <w:spacing w:before="0" w:after="283"/>
              <w:rPr>
                <w:sz w:val="4"/>
                <w:szCs w:val="4"/>
              </w:rPr>
            </w:pPr>
            <w:r>
              <w:rPr>
                <w:sz w:val="4"/>
                <w:szCs w:val="4"/>
              </w:rPr>
            </w:r>
          </w:p>
        </w:tc>
        <w:tc>
          <w:tcPr>
            <w:tcW w:w="9509" w:type="dxa"/>
            <w:gridSpan w:val="2"/>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tcPr>
          <w:p>
            <w:pPr>
              <w:pStyle w:val="TableContents"/>
              <w:spacing w:before="0" w:after="283"/>
              <w:rPr/>
            </w:pPr>
            <w:r>
              <w:rPr/>
              <w:t>23.1</w:t>
            </w:r>
          </w:p>
        </w:tc>
        <w:tc>
          <w:tcPr>
            <w:tcW w:w="670" w:type="dxa"/>
            <w:tcBorders/>
            <w:shd w:fill="auto" w:val="clear"/>
            <w:vAlign w:val="bottom"/>
          </w:tcPr>
          <w:p>
            <w:pPr>
              <w:pStyle w:val="TableContents"/>
              <w:spacing w:before="0" w:after="283"/>
              <w:rPr/>
            </w:pPr>
            <w:r>
              <w:rPr/>
              <w:t>  </w:t>
            </w:r>
          </w:p>
        </w:tc>
        <w:tc>
          <w:tcPr>
            <w:tcW w:w="8839" w:type="dxa"/>
            <w:tcBorders/>
            <w:shd w:fill="auto" w:val="clear"/>
          </w:tcPr>
          <w:p>
            <w:pPr>
              <w:pStyle w:val="TableContents"/>
              <w:spacing w:before="0" w:after="283"/>
              <w:rPr/>
            </w:pPr>
            <w:hyperlink w:anchor="d492054dex231.htm">
              <w:r>
                <w:rPr>
                  <w:rStyle w:val="InternetLink"/>
                </w:rPr>
                <w:t xml:space="preserve">Consent of Ernst &amp; Young LLP, independent registered public accounting firm of the Company </w:t>
              </w:r>
            </w:hyperlink>
          </w:p>
        </w:tc>
      </w:tr>
      <w:tr>
        <w:trPr>
          <w:trHeight w:val="120" w:hRule="atLeast"/>
        </w:trPr>
        <w:tc>
          <w:tcPr>
            <w:tcW w:w="696" w:type="dxa"/>
            <w:tcBorders/>
            <w:shd w:fill="auto" w:val="clear"/>
            <w:vAlign w:val="center"/>
          </w:tcPr>
          <w:p>
            <w:pPr>
              <w:pStyle w:val="TableContents"/>
              <w:spacing w:before="0" w:after="283"/>
              <w:rPr>
                <w:sz w:val="4"/>
                <w:szCs w:val="4"/>
              </w:rPr>
            </w:pPr>
            <w:r>
              <w:rPr>
                <w:sz w:val="4"/>
                <w:szCs w:val="4"/>
              </w:rPr>
            </w:r>
          </w:p>
        </w:tc>
        <w:tc>
          <w:tcPr>
            <w:tcW w:w="9509" w:type="dxa"/>
            <w:gridSpan w:val="2"/>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tcPr>
          <w:p>
            <w:pPr>
              <w:pStyle w:val="TableContents"/>
              <w:spacing w:before="0" w:after="283"/>
              <w:rPr/>
            </w:pPr>
            <w:r>
              <w:rPr/>
              <w:t>23.2</w:t>
            </w:r>
          </w:p>
        </w:tc>
        <w:tc>
          <w:tcPr>
            <w:tcW w:w="670" w:type="dxa"/>
            <w:tcBorders/>
            <w:shd w:fill="auto" w:val="clear"/>
            <w:vAlign w:val="bottom"/>
          </w:tcPr>
          <w:p>
            <w:pPr>
              <w:pStyle w:val="TableContents"/>
              <w:spacing w:before="0" w:after="283"/>
              <w:rPr/>
            </w:pPr>
            <w:r>
              <w:rPr/>
              <w:t>  </w:t>
            </w:r>
          </w:p>
        </w:tc>
        <w:tc>
          <w:tcPr>
            <w:tcW w:w="8839" w:type="dxa"/>
            <w:tcBorders/>
            <w:shd w:fill="auto" w:val="clear"/>
          </w:tcPr>
          <w:p>
            <w:pPr>
              <w:pStyle w:val="TableContents"/>
              <w:spacing w:before="0" w:after="283"/>
              <w:rPr/>
            </w:pPr>
            <w:hyperlink w:anchor="d492054dex232.htm">
              <w:r>
                <w:rPr>
                  <w:rStyle w:val="InternetLink"/>
                </w:rPr>
                <w:t xml:space="preserve">Consent of WithumSmith+Brown, PC, independent registered public accounting firm of VPC Impact Acquisition Holdings </w:t>
              </w:r>
            </w:hyperlink>
          </w:p>
        </w:tc>
      </w:tr>
      <w:tr>
        <w:trPr>
          <w:trHeight w:val="120" w:hRule="atLeast"/>
        </w:trPr>
        <w:tc>
          <w:tcPr>
            <w:tcW w:w="696" w:type="dxa"/>
            <w:tcBorders/>
            <w:shd w:fill="auto" w:val="clear"/>
            <w:vAlign w:val="center"/>
          </w:tcPr>
          <w:p>
            <w:pPr>
              <w:pStyle w:val="TableContents"/>
              <w:spacing w:before="0" w:after="283"/>
              <w:rPr>
                <w:sz w:val="4"/>
                <w:szCs w:val="4"/>
              </w:rPr>
            </w:pPr>
            <w:r>
              <w:rPr>
                <w:sz w:val="4"/>
                <w:szCs w:val="4"/>
              </w:rPr>
            </w:r>
          </w:p>
        </w:tc>
        <w:tc>
          <w:tcPr>
            <w:tcW w:w="9509" w:type="dxa"/>
            <w:gridSpan w:val="2"/>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tcPr>
          <w:p>
            <w:pPr>
              <w:pStyle w:val="TableContents"/>
              <w:spacing w:before="0" w:after="283"/>
              <w:rPr/>
            </w:pPr>
            <w:r>
              <w:rPr/>
              <w:t>23.3</w:t>
            </w:r>
          </w:p>
        </w:tc>
        <w:tc>
          <w:tcPr>
            <w:tcW w:w="670" w:type="dxa"/>
            <w:tcBorders/>
            <w:shd w:fill="auto" w:val="clear"/>
            <w:vAlign w:val="bottom"/>
          </w:tcPr>
          <w:p>
            <w:pPr>
              <w:pStyle w:val="TableContents"/>
              <w:spacing w:before="0" w:after="283"/>
              <w:rPr/>
            </w:pPr>
            <w:r>
              <w:rPr/>
              <w:t>  </w:t>
            </w:r>
          </w:p>
        </w:tc>
        <w:tc>
          <w:tcPr>
            <w:tcW w:w="8839" w:type="dxa"/>
            <w:tcBorders/>
            <w:shd w:fill="auto" w:val="clear"/>
          </w:tcPr>
          <w:p>
            <w:pPr>
              <w:pStyle w:val="TableContents"/>
              <w:spacing w:before="0" w:after="283"/>
              <w:rPr/>
            </w:pPr>
            <w:hyperlink w:anchor="d492054dex233.htm">
              <w:r>
                <w:rPr>
                  <w:rStyle w:val="InternetLink"/>
                </w:rPr>
                <w:t xml:space="preserve">Consent of RSM US LLP, independent auditors of Apex Crypto, LLC </w:t>
              </w:r>
            </w:hyperlink>
          </w:p>
        </w:tc>
      </w:tr>
      <w:tr>
        <w:trPr>
          <w:trHeight w:val="120" w:hRule="atLeast"/>
        </w:trPr>
        <w:tc>
          <w:tcPr>
            <w:tcW w:w="696" w:type="dxa"/>
            <w:tcBorders/>
            <w:shd w:fill="auto" w:val="clear"/>
            <w:vAlign w:val="center"/>
          </w:tcPr>
          <w:p>
            <w:pPr>
              <w:pStyle w:val="TableContents"/>
              <w:spacing w:before="0" w:after="283"/>
              <w:rPr>
                <w:sz w:val="4"/>
                <w:szCs w:val="4"/>
              </w:rPr>
            </w:pPr>
            <w:r>
              <w:rPr>
                <w:sz w:val="4"/>
                <w:szCs w:val="4"/>
              </w:rPr>
            </w:r>
          </w:p>
        </w:tc>
        <w:tc>
          <w:tcPr>
            <w:tcW w:w="9509" w:type="dxa"/>
            <w:gridSpan w:val="2"/>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tcPr>
          <w:p>
            <w:pPr>
              <w:pStyle w:val="TableContents"/>
              <w:spacing w:before="0" w:after="283"/>
              <w:rPr/>
            </w:pPr>
            <w:r>
              <w:rPr/>
              <w:t>23.4</w:t>
            </w:r>
          </w:p>
        </w:tc>
        <w:tc>
          <w:tcPr>
            <w:tcW w:w="670" w:type="dxa"/>
            <w:tcBorders/>
            <w:shd w:fill="auto" w:val="clear"/>
            <w:vAlign w:val="bottom"/>
          </w:tcPr>
          <w:p>
            <w:pPr>
              <w:pStyle w:val="TableContents"/>
              <w:spacing w:before="0" w:after="283"/>
              <w:rPr/>
            </w:pPr>
            <w:r>
              <w:rPr/>
              <w:t>  </w:t>
            </w:r>
          </w:p>
        </w:tc>
        <w:tc>
          <w:tcPr>
            <w:tcW w:w="8839" w:type="dxa"/>
            <w:tcBorders/>
            <w:shd w:fill="auto" w:val="clear"/>
          </w:tcPr>
          <w:p>
            <w:pPr>
              <w:pStyle w:val="TableContents"/>
              <w:spacing w:before="0" w:after="283"/>
              <w:rPr/>
            </w:pPr>
            <w:hyperlink w:anchor="d492054dex51.htm">
              <w:r>
                <w:rPr>
                  <w:rStyle w:val="InternetLink"/>
                </w:rPr>
                <w:t xml:space="preserve">Consent of Wilson Sonsini Goodrich &amp; Rosati, Professional Corporation (included in the opinion filed as Exhibit 5.1 to this registration statement) </w:t>
              </w:r>
            </w:hyperlink>
          </w:p>
        </w:tc>
      </w:tr>
      <w:tr>
        <w:trPr>
          <w:trHeight w:val="120" w:hRule="atLeast"/>
        </w:trPr>
        <w:tc>
          <w:tcPr>
            <w:tcW w:w="696" w:type="dxa"/>
            <w:tcBorders/>
            <w:shd w:fill="auto" w:val="clear"/>
            <w:vAlign w:val="center"/>
          </w:tcPr>
          <w:p>
            <w:pPr>
              <w:pStyle w:val="TableContents"/>
              <w:spacing w:before="0" w:after="283"/>
              <w:rPr>
                <w:sz w:val="4"/>
                <w:szCs w:val="4"/>
              </w:rPr>
            </w:pPr>
            <w:r>
              <w:rPr>
                <w:sz w:val="4"/>
                <w:szCs w:val="4"/>
              </w:rPr>
            </w:r>
          </w:p>
        </w:tc>
        <w:tc>
          <w:tcPr>
            <w:tcW w:w="9509" w:type="dxa"/>
            <w:gridSpan w:val="2"/>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tcPr>
          <w:p>
            <w:pPr>
              <w:pStyle w:val="TableContents"/>
              <w:spacing w:before="0" w:after="283"/>
              <w:rPr/>
            </w:pPr>
            <w:r>
              <w:rPr/>
              <w:t>24.1</w:t>
            </w:r>
          </w:p>
        </w:tc>
        <w:tc>
          <w:tcPr>
            <w:tcW w:w="670" w:type="dxa"/>
            <w:tcBorders/>
            <w:shd w:fill="auto" w:val="clear"/>
            <w:vAlign w:val="bottom"/>
          </w:tcPr>
          <w:p>
            <w:pPr>
              <w:pStyle w:val="TableContents"/>
              <w:spacing w:before="0" w:after="283"/>
              <w:rPr/>
            </w:pPr>
            <w:r>
              <w:rPr/>
              <w:t>  </w:t>
            </w:r>
          </w:p>
        </w:tc>
        <w:tc>
          <w:tcPr>
            <w:tcW w:w="8839" w:type="dxa"/>
            <w:tcBorders/>
            <w:shd w:fill="auto" w:val="clear"/>
          </w:tcPr>
          <w:p>
            <w:pPr>
              <w:pStyle w:val="TableContents"/>
              <w:spacing w:before="0" w:after="283"/>
              <w:rPr/>
            </w:pPr>
            <w:hyperlink w:anchor="sig">
              <w:r>
                <w:rPr>
                  <w:rStyle w:val="InternetLink"/>
                </w:rPr>
                <w:t xml:space="preserve">Powers of Attorney (included on the signature page to this registration statement) </w:t>
              </w:r>
            </w:hyperlink>
          </w:p>
        </w:tc>
      </w:tr>
      <w:tr>
        <w:trPr>
          <w:trHeight w:val="120" w:hRule="atLeast"/>
        </w:trPr>
        <w:tc>
          <w:tcPr>
            <w:tcW w:w="696" w:type="dxa"/>
            <w:tcBorders/>
            <w:shd w:fill="auto" w:val="clear"/>
            <w:vAlign w:val="center"/>
          </w:tcPr>
          <w:p>
            <w:pPr>
              <w:pStyle w:val="TableContents"/>
              <w:spacing w:before="0" w:after="283"/>
              <w:rPr>
                <w:sz w:val="4"/>
                <w:szCs w:val="4"/>
              </w:rPr>
            </w:pPr>
            <w:r>
              <w:rPr>
                <w:sz w:val="4"/>
                <w:szCs w:val="4"/>
              </w:rPr>
            </w:r>
          </w:p>
        </w:tc>
        <w:tc>
          <w:tcPr>
            <w:tcW w:w="9509" w:type="dxa"/>
            <w:gridSpan w:val="2"/>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tcPr>
          <w:p>
            <w:pPr>
              <w:pStyle w:val="TableContents"/>
              <w:spacing w:before="0" w:after="283"/>
              <w:rPr/>
            </w:pPr>
            <w:r>
              <w:rPr/>
              <w:t>25.1**</w:t>
            </w:r>
          </w:p>
        </w:tc>
        <w:tc>
          <w:tcPr>
            <w:tcW w:w="670" w:type="dxa"/>
            <w:tcBorders/>
            <w:shd w:fill="auto" w:val="clear"/>
            <w:vAlign w:val="bottom"/>
          </w:tcPr>
          <w:p>
            <w:pPr>
              <w:pStyle w:val="TableContents"/>
              <w:spacing w:before="0" w:after="283"/>
              <w:rPr/>
            </w:pPr>
            <w:r>
              <w:rPr/>
              <w:t>  </w:t>
            </w:r>
          </w:p>
        </w:tc>
        <w:tc>
          <w:tcPr>
            <w:tcW w:w="8839" w:type="dxa"/>
            <w:tcBorders/>
            <w:shd w:fill="auto" w:val="clear"/>
          </w:tcPr>
          <w:p>
            <w:pPr>
              <w:pStyle w:val="TableContents"/>
              <w:spacing w:before="0" w:after="283"/>
              <w:rPr/>
            </w:pPr>
            <w:r>
              <w:rPr/>
              <w:t>Form T-1 Statement of Eligibility of Trustee for Indenture under the Trust Indenture Act of 1939</w:t>
            </w:r>
          </w:p>
        </w:tc>
      </w:tr>
      <w:tr>
        <w:trPr>
          <w:trHeight w:val="120" w:hRule="atLeast"/>
        </w:trPr>
        <w:tc>
          <w:tcPr>
            <w:tcW w:w="696" w:type="dxa"/>
            <w:tcBorders/>
            <w:shd w:fill="auto" w:val="clear"/>
            <w:vAlign w:val="center"/>
          </w:tcPr>
          <w:p>
            <w:pPr>
              <w:pStyle w:val="TableContents"/>
              <w:spacing w:before="0" w:after="283"/>
              <w:rPr>
                <w:sz w:val="4"/>
                <w:szCs w:val="4"/>
              </w:rPr>
            </w:pPr>
            <w:r>
              <w:rPr>
                <w:sz w:val="4"/>
                <w:szCs w:val="4"/>
              </w:rPr>
            </w:r>
          </w:p>
        </w:tc>
        <w:tc>
          <w:tcPr>
            <w:tcW w:w="9509" w:type="dxa"/>
            <w:gridSpan w:val="2"/>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tcPr>
          <w:p>
            <w:pPr>
              <w:pStyle w:val="TableContents"/>
              <w:spacing w:before="0" w:after="283"/>
              <w:rPr/>
            </w:pPr>
            <w:r>
              <w:rPr/>
              <w:t>107</w:t>
            </w:r>
          </w:p>
        </w:tc>
        <w:tc>
          <w:tcPr>
            <w:tcW w:w="670" w:type="dxa"/>
            <w:tcBorders/>
            <w:shd w:fill="auto" w:val="clear"/>
            <w:vAlign w:val="bottom"/>
          </w:tcPr>
          <w:p>
            <w:pPr>
              <w:pStyle w:val="TableContents"/>
              <w:spacing w:before="0" w:after="283"/>
              <w:rPr/>
            </w:pPr>
            <w:r>
              <w:rPr/>
              <w:t>  </w:t>
            </w:r>
          </w:p>
        </w:tc>
        <w:tc>
          <w:tcPr>
            <w:tcW w:w="8839" w:type="dxa"/>
            <w:tcBorders/>
            <w:shd w:fill="auto" w:val="clear"/>
          </w:tcPr>
          <w:p>
            <w:pPr>
              <w:pStyle w:val="TableContents"/>
              <w:spacing w:before="0" w:after="283"/>
              <w:rPr/>
            </w:pPr>
            <w:hyperlink w:anchor="d492054dexfilingfees.htm">
              <w:r>
                <w:rPr>
                  <w:rStyle w:val="InternetLink"/>
                </w:rPr>
                <w:t xml:space="preserve">Filing Fee Table </w:t>
              </w:r>
            </w:hyperlink>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be filed, if applicable, by amendment or incorporated by reference pursuant to a Current Report on Form 8-K.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be filed pursuant to Section 305(b)(2) of the Trust Indenture Act of 1939, as amended.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b/>
              </w:rPr>
            </w:pPr>
            <w:r>
              <w:rPr>
                <w:b/>
              </w:rPr>
              <w:t>Item 17.</w:t>
            </w:r>
          </w:p>
        </w:tc>
        <w:tc>
          <w:tcPr>
            <w:tcW w:w="918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spacing w:before="24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spacing w:before="24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 </w:t>
      </w:r>
    </w:p>
    <w:p>
      <w:pPr>
        <w:pStyle w:val="TextBody"/>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spacing w:before="24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spacing w:before="240" w:after="0"/>
        <w:jc w:val="left"/>
        <w:rPr>
          <w:rFonts w:ascii="Times New Roman" w:hAnsi="Times New Roman"/>
          <w:sz w:val="20"/>
        </w:rPr>
      </w:pPr>
      <w:r>
        <w:rPr>
          <w:rFonts w:ascii="Times New Roman" w:hAnsi="Times New Roman"/>
          <w:sz w:val="20"/>
        </w:rPr>
        <w:t xml:space="preserve">(5) 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spacing w:before="24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spacing w:before="24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spacing w:before="24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spacing w:before="240" w:after="0"/>
        <w:jc w:val="left"/>
        <w:rPr>
          <w:rFonts w:ascii="Times New Roman" w:hAnsi="Times New Roman"/>
          <w:sz w:val="20"/>
        </w:rPr>
      </w:pPr>
      <w:r>
        <w:rPr>
          <w:rFonts w:ascii="Times New Roman" w:hAnsi="Times New Roman"/>
          <w:sz w:val="20"/>
        </w:rPr>
        <w:t xml:space="preserve">(6)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spacing w:before="240" w:after="0"/>
        <w:jc w:val="left"/>
        <w:rPr>
          <w:rFonts w:ascii="Times New Roman" w:hAnsi="Times New Roman"/>
          <w:sz w:val="20"/>
        </w:rPr>
      </w:pPr>
      <w:r>
        <w:rPr>
          <w:rFonts w:ascii="Times New Roman" w:hAnsi="Times New Roman"/>
          <w:sz w:val="20"/>
        </w:rPr>
        <w:t xml:space="preserve">(7) to file an application for the purpose of determining the eligibility of the trustee to act under subsection (a) of Section 310 of the Trust Indenture Act in accordance with the rules and regulations prescribed by the Commission under Section 305(b)(2) of the Trust Indenture Act. </w:t>
      </w:r>
    </w:p>
    <w:p>
      <w:pPr>
        <w:pStyle w:val="TextBody"/>
        <w:spacing w:before="240" w:after="0"/>
        <w:jc w:val="left"/>
        <w:rPr>
          <w:rFonts w:ascii="Times New Roman" w:hAnsi="Times New Roman"/>
          <w:sz w:val="20"/>
        </w:rPr>
      </w:pPr>
      <w:r>
        <w:rPr>
          <w:rFonts w:ascii="Times New Roman" w:hAnsi="Times New Roman"/>
          <w:sz w:val="20"/>
        </w:rPr>
        <w:t xml:space="preserve">(b)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sig"/>
      <w:bookmarkEnd w:id="17"/>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Alpharetta, State of Georgia, on April 20,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276"/>
        <w:gridCol w:w="60"/>
        <w:gridCol w:w="3746"/>
      </w:tblGrid>
      <w:tr>
        <w:trPr/>
        <w:tc>
          <w:tcPr>
            <w:tcW w:w="2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74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BAKKT HOLDINGS, INC.</w:t>
            </w:r>
          </w:p>
        </w:tc>
      </w:tr>
      <w:tr>
        <w:trPr>
          <w:trHeight w:val="240" w:hRule="atLeast"/>
        </w:trPr>
        <w:tc>
          <w:tcPr>
            <w:tcW w:w="276" w:type="dxa"/>
            <w:tcBorders/>
            <w:shd w:fill="auto" w:val="clear"/>
            <w:vAlign w:val="center"/>
          </w:tcPr>
          <w:p>
            <w:pPr>
              <w:pStyle w:val="TableContents"/>
              <w:spacing w:before="0" w:after="283"/>
              <w:rPr>
                <w:sz w:val="4"/>
                <w:szCs w:val="4"/>
              </w:rPr>
            </w:pPr>
            <w:r>
              <w:rPr>
                <w:sz w:val="4"/>
                <w:szCs w:val="4"/>
              </w:rPr>
            </w:r>
          </w:p>
        </w:tc>
        <w:tc>
          <w:tcPr>
            <w:tcW w:w="3806" w:type="dxa"/>
            <w:gridSpan w:val="2"/>
            <w:tcBorders/>
            <w:shd w:fill="auto" w:val="clear"/>
            <w:vAlign w:val="center"/>
          </w:tcPr>
          <w:p>
            <w:pPr>
              <w:pStyle w:val="TableContents"/>
              <w:spacing w:before="0" w:after="283"/>
              <w:rPr>
                <w:sz w:val="4"/>
                <w:szCs w:val="4"/>
              </w:rPr>
            </w:pPr>
            <w:r>
              <w:rPr>
                <w:sz w:val="4"/>
                <w:szCs w:val="4"/>
              </w:rPr>
            </w:r>
          </w:p>
        </w:tc>
      </w:tr>
      <w:tr>
        <w:trPr/>
        <w:tc>
          <w:tcPr>
            <w:tcW w:w="276" w:type="dxa"/>
            <w:tcBorders/>
            <w:shd w:fill="auto" w:val="clear"/>
          </w:tcPr>
          <w:p>
            <w:pPr>
              <w:pStyle w:val="TableContents"/>
              <w:spacing w:before="0" w:after="0"/>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746"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Gavin Michael</w:t>
            </w:r>
          </w:p>
        </w:tc>
      </w:tr>
      <w:tr>
        <w:trPr/>
        <w:tc>
          <w:tcPr>
            <w:tcW w:w="27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46" w:type="dxa"/>
            <w:tcBorders/>
            <w:shd w:fill="auto" w:val="clear"/>
            <w:vAlign w:val="bottom"/>
          </w:tcPr>
          <w:p>
            <w:pPr>
              <w:pStyle w:val="TableContents"/>
              <w:spacing w:before="0" w:after="283"/>
              <w:rPr/>
            </w:pPr>
            <w:r>
              <w:rPr/>
              <w:t>Gavin Michael</w:t>
            </w:r>
          </w:p>
        </w:tc>
      </w:tr>
      <w:tr>
        <w:trPr/>
        <w:tc>
          <w:tcPr>
            <w:tcW w:w="27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46" w:type="dxa"/>
            <w:tcBorders/>
            <w:shd w:fill="auto" w:val="clear"/>
            <w:vAlign w:val="bottom"/>
          </w:tcPr>
          <w:p>
            <w:pPr>
              <w:pStyle w:val="TableContents"/>
              <w:spacing w:before="0" w:after="283"/>
              <w:rPr/>
            </w:pPr>
            <w:r>
              <w:rPr/>
              <w:t>Chief Executive Officer and Director</w:t>
            </w:r>
          </w:p>
        </w:tc>
      </w:tr>
    </w:tbl>
    <w:p>
      <w:pPr>
        <w:pStyle w:val="TextBody"/>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Gavin Michael, Karen Alexander and Marc DAnnunzio,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under the Securities Act,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April 20, 2023.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86"/>
        <w:gridCol w:w="207"/>
        <w:gridCol w:w="5312"/>
      </w:tblGrid>
      <w:tr>
        <w:trPr/>
        <w:tc>
          <w:tcPr>
            <w:tcW w:w="468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5312" w:type="dxa"/>
            <w:tcBorders/>
            <w:shd w:fill="auto" w:val="clear"/>
            <w:vAlign w:val="center"/>
          </w:tcPr>
          <w:p>
            <w:pPr>
              <w:pStyle w:val="TableContents"/>
              <w:spacing w:before="0" w:after="283"/>
              <w:rPr>
                <w:sz w:val="4"/>
                <w:szCs w:val="4"/>
              </w:rPr>
            </w:pPr>
            <w:r>
              <w:rPr>
                <w:sz w:val="4"/>
                <w:szCs w:val="4"/>
              </w:rPr>
            </w:r>
          </w:p>
        </w:tc>
      </w:tr>
      <w:tr>
        <w:trPr/>
        <w:tc>
          <w:tcPr>
            <w:tcW w:w="468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Signature</w:t>
            </w:r>
          </w:p>
        </w:tc>
        <w:tc>
          <w:tcPr>
            <w:tcW w:w="207" w:type="dxa"/>
            <w:tcBorders/>
            <w:shd w:fill="auto" w:val="clear"/>
            <w:vAlign w:val="bottom"/>
          </w:tcPr>
          <w:p>
            <w:pPr>
              <w:pStyle w:val="TableContents"/>
              <w:spacing w:before="0" w:after="283"/>
              <w:rPr/>
            </w:pPr>
            <w:r>
              <w:rPr/>
              <w:t>  </w:t>
            </w:r>
          </w:p>
        </w:tc>
        <w:tc>
          <w:tcPr>
            <w:tcW w:w="531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Gavin Michael</w:t>
            </w:r>
          </w:p>
          <w:p>
            <w:pPr>
              <w:pStyle w:val="TableContents"/>
              <w:spacing w:before="0" w:after="20"/>
              <w:jc w:val="center"/>
              <w:rPr>
                <w:rFonts w:ascii="Times New Roman" w:hAnsi="Times New Roman"/>
                <w:sz w:val="20"/>
              </w:rPr>
            </w:pPr>
            <w:r>
              <w:rPr>
                <w:rFonts w:ascii="Times New Roman" w:hAnsi="Times New Roman"/>
                <w:sz w:val="20"/>
              </w:rPr>
              <w:t>Gavin Michael</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283"/>
              <w:rPr/>
            </w:pPr>
            <w:r>
              <w:rPr/>
              <w:t xml:space="preserve">Chief Executive Officer and Director </w:t>
              <w:br/>
              <w:t>(Principal Executive Officer)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Karen Alexander</w:t>
            </w:r>
          </w:p>
          <w:p>
            <w:pPr>
              <w:pStyle w:val="TableContents"/>
              <w:spacing w:before="0" w:after="20"/>
              <w:jc w:val="center"/>
              <w:rPr>
                <w:rFonts w:ascii="Times New Roman" w:hAnsi="Times New Roman"/>
                <w:sz w:val="20"/>
              </w:rPr>
            </w:pPr>
            <w:r>
              <w:rPr>
                <w:rFonts w:ascii="Times New Roman" w:hAnsi="Times New Roman"/>
                <w:sz w:val="20"/>
              </w:rPr>
              <w:t>Karen Alexander</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283"/>
              <w:rPr/>
            </w:pPr>
            <w:r>
              <w:rPr/>
              <w:t xml:space="preserve">Chief Financial Officer </w:t>
              <w:br/>
              <w:t>(Principal Financial Officer)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Charles Goodroe</w:t>
            </w:r>
          </w:p>
          <w:p>
            <w:pPr>
              <w:pStyle w:val="TableContents"/>
              <w:spacing w:before="0" w:after="20"/>
              <w:jc w:val="center"/>
              <w:rPr>
                <w:rFonts w:ascii="Times New Roman" w:hAnsi="Times New Roman"/>
                <w:sz w:val="20"/>
              </w:rPr>
            </w:pPr>
            <w:r>
              <w:rPr>
                <w:rFonts w:ascii="Times New Roman" w:hAnsi="Times New Roman"/>
                <w:sz w:val="20"/>
              </w:rPr>
              <w:t>Charles Goodroe</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283"/>
              <w:rPr/>
            </w:pPr>
            <w:r>
              <w:rPr/>
              <w:t xml:space="preserve">Chief Accounting Officer </w:t>
              <w:br/>
              <w:t>(Principal Accounting Officer)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Sean Collins</w:t>
            </w:r>
          </w:p>
          <w:p>
            <w:pPr>
              <w:pStyle w:val="TableContents"/>
              <w:spacing w:before="0" w:after="20"/>
              <w:jc w:val="center"/>
              <w:rPr>
                <w:rFonts w:ascii="Times New Roman" w:hAnsi="Times New Roman"/>
                <w:sz w:val="20"/>
              </w:rPr>
            </w:pPr>
            <w:r>
              <w:rPr>
                <w:rFonts w:ascii="Times New Roman" w:hAnsi="Times New Roman"/>
                <w:sz w:val="20"/>
              </w:rPr>
              <w:t>Sean Collins</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0"/>
              <w:rPr>
                <w:rFonts w:ascii="Times New Roman" w:hAnsi="Times New Roman"/>
                <w:sz w:val="20"/>
              </w:rPr>
            </w:pPr>
            <w:r>
              <w:rPr>
                <w:rFonts w:ascii="Times New Roman" w:hAnsi="Times New Roman"/>
                <w:sz w:val="20"/>
              </w:rPr>
              <w:t>Chair of the Board of Directors</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David C. Clifton</w:t>
            </w:r>
          </w:p>
          <w:p>
            <w:pPr>
              <w:pStyle w:val="TableContents"/>
              <w:spacing w:before="0" w:after="20"/>
              <w:jc w:val="center"/>
              <w:rPr>
                <w:rFonts w:ascii="Times New Roman" w:hAnsi="Times New Roman"/>
                <w:sz w:val="20"/>
              </w:rPr>
            </w:pPr>
            <w:r>
              <w:rPr>
                <w:rFonts w:ascii="Times New Roman" w:hAnsi="Times New Roman"/>
                <w:sz w:val="20"/>
              </w:rPr>
              <w:t>David C. Clifton</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0"/>
              <w:rPr>
                <w:rFonts w:ascii="Times New Roman" w:hAnsi="Times New Roman"/>
                <w:sz w:val="20"/>
              </w:rPr>
            </w:pPr>
            <w:r>
              <w:rPr>
                <w:rFonts w:ascii="Times New Roman" w:hAnsi="Times New Roman"/>
                <w:sz w:val="20"/>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DeAna Dow</w:t>
            </w:r>
          </w:p>
          <w:p>
            <w:pPr>
              <w:pStyle w:val="TableContents"/>
              <w:spacing w:before="0" w:after="20"/>
              <w:jc w:val="center"/>
              <w:rPr>
                <w:rFonts w:ascii="Times New Roman" w:hAnsi="Times New Roman"/>
                <w:sz w:val="20"/>
              </w:rPr>
            </w:pPr>
            <w:r>
              <w:rPr>
                <w:rFonts w:ascii="Times New Roman" w:hAnsi="Times New Roman"/>
                <w:sz w:val="20"/>
              </w:rPr>
              <w:t>DeAna Dow</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0"/>
              <w:rPr>
                <w:rFonts w:ascii="Times New Roman" w:hAnsi="Times New Roman"/>
                <w:sz w:val="20"/>
              </w:rPr>
            </w:pPr>
            <w:r>
              <w:rPr>
                <w:rFonts w:ascii="Times New Roman" w:hAnsi="Times New Roman"/>
                <w:sz w:val="20"/>
              </w:rPr>
              <w:t>Director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686"/>
        <w:gridCol w:w="207"/>
        <w:gridCol w:w="5312"/>
      </w:tblGrid>
      <w:tr>
        <w:trPr/>
        <w:tc>
          <w:tcPr>
            <w:tcW w:w="468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5312" w:type="dxa"/>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Michelle J. Goldberg</w:t>
            </w:r>
          </w:p>
          <w:p>
            <w:pPr>
              <w:pStyle w:val="TableContents"/>
              <w:spacing w:before="0" w:after="20"/>
              <w:jc w:val="center"/>
              <w:rPr>
                <w:rFonts w:ascii="Times New Roman" w:hAnsi="Times New Roman"/>
                <w:sz w:val="20"/>
              </w:rPr>
            </w:pPr>
            <w:r>
              <w:rPr>
                <w:rFonts w:ascii="Times New Roman" w:hAnsi="Times New Roman"/>
                <w:sz w:val="20"/>
              </w:rPr>
              <w:t>Michelle J. Goldberg</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0"/>
              <w:rPr>
                <w:rFonts w:ascii="Times New Roman" w:hAnsi="Times New Roman"/>
                <w:sz w:val="20"/>
              </w:rPr>
            </w:pPr>
            <w:r>
              <w:rPr>
                <w:rFonts w:ascii="Times New Roman" w:hAnsi="Times New Roman"/>
                <w:sz w:val="20"/>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Richard Lumb</w:t>
            </w:r>
          </w:p>
          <w:p>
            <w:pPr>
              <w:pStyle w:val="TableContents"/>
              <w:spacing w:before="0" w:after="20"/>
              <w:jc w:val="center"/>
              <w:rPr>
                <w:rFonts w:ascii="Times New Roman" w:hAnsi="Times New Roman"/>
                <w:sz w:val="20"/>
              </w:rPr>
            </w:pPr>
            <w:r>
              <w:rPr>
                <w:rFonts w:ascii="Times New Roman" w:hAnsi="Times New Roman"/>
                <w:sz w:val="20"/>
              </w:rPr>
              <w:t>Richard Lumb</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0"/>
              <w:rPr>
                <w:rFonts w:ascii="Times New Roman" w:hAnsi="Times New Roman"/>
                <w:sz w:val="20"/>
              </w:rPr>
            </w:pPr>
            <w:r>
              <w:rPr>
                <w:rFonts w:ascii="Times New Roman" w:hAnsi="Times New Roman"/>
                <w:sz w:val="20"/>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Andrew A. Main</w:t>
            </w:r>
          </w:p>
          <w:p>
            <w:pPr>
              <w:pStyle w:val="TableContents"/>
              <w:spacing w:before="0" w:after="20"/>
              <w:jc w:val="center"/>
              <w:rPr>
                <w:rFonts w:ascii="Times New Roman" w:hAnsi="Times New Roman"/>
                <w:sz w:val="20"/>
              </w:rPr>
            </w:pPr>
            <w:r>
              <w:rPr>
                <w:rFonts w:ascii="Times New Roman" w:hAnsi="Times New Roman"/>
                <w:sz w:val="20"/>
              </w:rPr>
              <w:t>Andrew A. Main</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0"/>
              <w:rPr>
                <w:rFonts w:ascii="Times New Roman" w:hAnsi="Times New Roman"/>
                <w:sz w:val="20"/>
              </w:rPr>
            </w:pPr>
            <w:r>
              <w:rPr>
                <w:rFonts w:ascii="Times New Roman" w:hAnsi="Times New Roman"/>
                <w:sz w:val="20"/>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Jill Simeone</w:t>
            </w:r>
          </w:p>
          <w:p>
            <w:pPr>
              <w:pStyle w:val="TableContents"/>
              <w:spacing w:before="0" w:after="20"/>
              <w:jc w:val="center"/>
              <w:rPr>
                <w:rFonts w:ascii="Times New Roman" w:hAnsi="Times New Roman"/>
                <w:sz w:val="20"/>
              </w:rPr>
            </w:pPr>
            <w:r>
              <w:rPr>
                <w:rFonts w:ascii="Times New Roman" w:hAnsi="Times New Roman"/>
                <w:sz w:val="20"/>
              </w:rPr>
              <w:t>Jill Simeone</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0"/>
              <w:rPr>
                <w:rFonts w:ascii="Times New Roman" w:hAnsi="Times New Roman"/>
                <w:sz w:val="20"/>
              </w:rPr>
            </w:pPr>
            <w:r>
              <w:rPr>
                <w:rFonts w:ascii="Times New Roman" w:hAnsi="Times New Roman"/>
                <w:sz w:val="20"/>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Gordon Watson</w:t>
            </w:r>
          </w:p>
          <w:p>
            <w:pPr>
              <w:pStyle w:val="TableContents"/>
              <w:spacing w:before="0" w:after="20"/>
              <w:jc w:val="center"/>
              <w:rPr>
                <w:rFonts w:ascii="Times New Roman" w:hAnsi="Times New Roman"/>
                <w:sz w:val="20"/>
              </w:rPr>
            </w:pPr>
            <w:r>
              <w:rPr>
                <w:rFonts w:ascii="Times New Roman" w:hAnsi="Times New Roman"/>
                <w:sz w:val="20"/>
              </w:rPr>
              <w:t>Gordon Watson</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0"/>
              <w:rPr>
                <w:rFonts w:ascii="Times New Roman" w:hAnsi="Times New Roman"/>
                <w:sz w:val="20"/>
              </w:rPr>
            </w:pPr>
            <w:r>
              <w:rPr>
                <w:rFonts w:ascii="Times New Roman" w:hAnsi="Times New Roman"/>
                <w:sz w:val="20"/>
              </w:rPr>
              <w:t>Director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II-7 </w:t>
      </w:r>
      <w:r>
        <w:br w:type="page"/>
      </w:r>
    </w:p>
    <w:p>
      <w:pPr>
        <w:pStyle w:val="TextBody"/>
        <w:spacing w:before="0" w:after="0"/>
        <w:jc w:val="right"/>
        <w:rPr>
          <w:rFonts w:ascii="Times New Roman" w:hAnsi="Times New Roman"/>
          <w:b/>
          <w:sz w:val="20"/>
        </w:rPr>
      </w:pPr>
      <w:bookmarkStart w:id="18" w:name="d492054dex45.htm"/>
      <w:bookmarkStart w:id="19" w:name="ksd492054dex45"/>
      <w:bookmarkEnd w:id="18"/>
      <w:bookmarkEnd w:id="19"/>
      <w:r>
        <w:rPr>
          <w:rFonts w:ascii="Times New Roman" w:hAnsi="Times New Roman"/>
          <w:b/>
          <w:sz w:val="20"/>
        </w:rPr>
        <w:t xml:space="preserve">Exhibit 4.5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BAKKT HOLDINGS, INC.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INDENTURE </w:t>
      </w:r>
    </w:p>
    <w:p>
      <w:pPr>
        <w:pStyle w:val="TextBody"/>
        <w:spacing w:before="240" w:after="0"/>
        <w:jc w:val="center"/>
        <w:rPr>
          <w:rFonts w:ascii="Times New Roman" w:hAnsi="Times New Roman"/>
          <w:sz w:val="20"/>
        </w:rPr>
      </w:pPr>
      <w:r>
        <w:rPr>
          <w:rFonts w:ascii="Times New Roman" w:hAnsi="Times New Roman"/>
          <w:sz w:val="20"/>
        </w:rPr>
        <w:t xml:space="preserve">Dated as of    , 20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[__________] </w:t>
      </w:r>
    </w:p>
    <w:p>
      <w:pPr>
        <w:pStyle w:val="TextBody"/>
        <w:spacing w:before="240" w:after="0"/>
        <w:jc w:val="center"/>
        <w:rPr>
          <w:rFonts w:ascii="Times New Roman" w:hAnsi="Times New Roman"/>
          <w:sz w:val="20"/>
        </w:rPr>
      </w:pPr>
      <w:r>
        <w:rPr>
          <w:rFonts w:ascii="Times New Roman" w:hAnsi="Times New Roman"/>
          <w:sz w:val="20"/>
        </w:rPr>
        <w:t xml:space="preserve">Trustee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366"/>
        <w:gridCol w:w="97"/>
        <w:gridCol w:w="8012"/>
        <w:gridCol w:w="151"/>
        <w:gridCol w:w="96"/>
        <w:gridCol w:w="420"/>
        <w:gridCol w:w="63"/>
      </w:tblGrid>
      <w:tr>
        <w:trPr/>
        <w:tc>
          <w:tcPr>
            <w:tcW w:w="1366"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801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1366"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1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c>
          <w:tcPr>
            <w:tcW w:w="947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 DEFINITIONS AND INCORPORATION BY REFERENCE</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rHeight w:val="120" w:hRule="atLeast"/>
        </w:trPr>
        <w:tc>
          <w:tcPr>
            <w:tcW w:w="1366" w:type="dxa"/>
            <w:tcBorders/>
            <w:shd w:fill="auto" w:val="clear"/>
            <w:vAlign w:val="center"/>
          </w:tcPr>
          <w:p>
            <w:pPr>
              <w:pStyle w:val="TableContents"/>
              <w:spacing w:before="0" w:after="283"/>
              <w:rPr>
                <w:sz w:val="4"/>
                <w:szCs w:val="4"/>
              </w:rPr>
            </w:pPr>
            <w:r>
              <w:rPr>
                <w:sz w:val="4"/>
                <w:szCs w:val="4"/>
              </w:rPr>
            </w:r>
          </w:p>
        </w:tc>
        <w:tc>
          <w:tcPr>
            <w:tcW w:w="8109" w:type="dxa"/>
            <w:gridSpan w:val="2"/>
            <w:tcBorders/>
            <w:shd w:fill="auto" w:val="clear"/>
            <w:vAlign w:val="center"/>
          </w:tcPr>
          <w:p>
            <w:pPr>
              <w:pStyle w:val="TableContents"/>
              <w:spacing w:before="0" w:after="283"/>
              <w:rPr>
                <w:sz w:val="4"/>
                <w:szCs w:val="4"/>
              </w:rPr>
            </w:pPr>
            <w:r>
              <w:rPr>
                <w:sz w:val="4"/>
                <w:szCs w:val="4"/>
              </w:rPr>
            </w:r>
          </w:p>
        </w:tc>
        <w:tc>
          <w:tcPr>
            <w:tcW w:w="730" w:type="dxa"/>
            <w:gridSpan w:val="4"/>
            <w:tcBorders/>
            <w:shd w:fill="auto" w:val="clear"/>
            <w:vAlign w:val="center"/>
          </w:tcPr>
          <w:p>
            <w:pPr>
              <w:pStyle w:val="TableContents"/>
              <w:spacing w:before="0" w:after="283"/>
              <w:rPr>
                <w:sz w:val="4"/>
                <w:szCs w:val="4"/>
              </w:rPr>
            </w:pPr>
            <w:r>
              <w:rPr>
                <w:sz w:val="4"/>
                <w:szCs w:val="4"/>
              </w:rPr>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1.1</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Definitions</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1.2</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Other Definitions</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4</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1.3</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Incorporation by Reference of Trust Indenture Act</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1.4</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Rules of Construction</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rHeight w:val="120" w:hRule="atLeast"/>
        </w:trPr>
        <w:tc>
          <w:tcPr>
            <w:tcW w:w="9475" w:type="dxa"/>
            <w:gridSpan w:val="3"/>
            <w:tcBorders/>
            <w:shd w:fill="auto" w:val="clear"/>
            <w:vAlign w:val="center"/>
          </w:tcPr>
          <w:p>
            <w:pPr>
              <w:pStyle w:val="TableContents"/>
              <w:spacing w:before="0" w:after="283"/>
              <w:rPr>
                <w:sz w:val="4"/>
                <w:szCs w:val="4"/>
              </w:rPr>
            </w:pPr>
            <w:r>
              <w:rPr>
                <w:sz w:val="4"/>
                <w:szCs w:val="4"/>
              </w:rPr>
            </w:r>
          </w:p>
        </w:tc>
        <w:tc>
          <w:tcPr>
            <w:tcW w:w="730" w:type="dxa"/>
            <w:gridSpan w:val="4"/>
            <w:tcBorders/>
            <w:shd w:fill="auto" w:val="clear"/>
            <w:vAlign w:val="center"/>
          </w:tcPr>
          <w:p>
            <w:pPr>
              <w:pStyle w:val="TableContents"/>
              <w:spacing w:before="0" w:after="283"/>
              <w:rPr>
                <w:sz w:val="4"/>
                <w:szCs w:val="4"/>
              </w:rPr>
            </w:pPr>
            <w:r>
              <w:rPr>
                <w:sz w:val="4"/>
                <w:szCs w:val="4"/>
              </w:rPr>
            </w:r>
          </w:p>
        </w:tc>
      </w:tr>
      <w:tr>
        <w:trPr/>
        <w:tc>
          <w:tcPr>
            <w:tcW w:w="947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II THE SECURITIES</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6</w:t>
            </w:r>
          </w:p>
        </w:tc>
        <w:tc>
          <w:tcPr>
            <w:tcW w:w="63" w:type="dxa"/>
            <w:tcBorders/>
            <w:shd w:fill="auto" w:val="clear"/>
            <w:vAlign w:val="bottom"/>
          </w:tcPr>
          <w:p>
            <w:pPr>
              <w:pStyle w:val="TableContents"/>
              <w:spacing w:before="0" w:after="283"/>
              <w:rPr/>
            </w:pPr>
            <w:r>
              <w:rPr/>
              <w:t> </w:t>
            </w:r>
          </w:p>
        </w:tc>
      </w:tr>
      <w:tr>
        <w:trPr>
          <w:trHeight w:val="120" w:hRule="atLeast"/>
        </w:trPr>
        <w:tc>
          <w:tcPr>
            <w:tcW w:w="1366" w:type="dxa"/>
            <w:tcBorders/>
            <w:shd w:fill="auto" w:val="clear"/>
            <w:vAlign w:val="center"/>
          </w:tcPr>
          <w:p>
            <w:pPr>
              <w:pStyle w:val="TableContents"/>
              <w:spacing w:before="0" w:after="283"/>
              <w:rPr>
                <w:sz w:val="4"/>
                <w:szCs w:val="4"/>
              </w:rPr>
            </w:pPr>
            <w:r>
              <w:rPr>
                <w:sz w:val="4"/>
                <w:szCs w:val="4"/>
              </w:rPr>
            </w:r>
          </w:p>
        </w:tc>
        <w:tc>
          <w:tcPr>
            <w:tcW w:w="8109" w:type="dxa"/>
            <w:gridSpan w:val="2"/>
            <w:tcBorders/>
            <w:shd w:fill="auto" w:val="clear"/>
            <w:vAlign w:val="center"/>
          </w:tcPr>
          <w:p>
            <w:pPr>
              <w:pStyle w:val="TableContents"/>
              <w:spacing w:before="0" w:after="283"/>
              <w:rPr>
                <w:sz w:val="4"/>
                <w:szCs w:val="4"/>
              </w:rPr>
            </w:pPr>
            <w:r>
              <w:rPr>
                <w:sz w:val="4"/>
                <w:szCs w:val="4"/>
              </w:rPr>
            </w:r>
          </w:p>
        </w:tc>
        <w:tc>
          <w:tcPr>
            <w:tcW w:w="730" w:type="dxa"/>
            <w:gridSpan w:val="4"/>
            <w:tcBorders/>
            <w:shd w:fill="auto" w:val="clear"/>
            <w:vAlign w:val="center"/>
          </w:tcPr>
          <w:p>
            <w:pPr>
              <w:pStyle w:val="TableContents"/>
              <w:spacing w:before="0" w:after="283"/>
              <w:rPr>
                <w:sz w:val="4"/>
                <w:szCs w:val="4"/>
              </w:rPr>
            </w:pPr>
            <w:r>
              <w:rPr>
                <w:sz w:val="4"/>
                <w:szCs w:val="4"/>
              </w:rPr>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2.1</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Issuable in Series</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6</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2.2</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Establishment of Terms of Series of Securities</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6</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2.3</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Execution and Authentication</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8</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2.4</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Registrar and Paying Agent</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9</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2.5</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Paying Agent to Hold Money in Trust</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10</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2.6</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Securityholder Lists</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10</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2.7</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Transfer and Exchange</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10</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2.8</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Mutilated, Destroyed, Lost and Stolen Securities</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11</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2.9</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Outstanding Securities</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11</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2.10</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Treasury Securities</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12</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2.11</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Temporary Securities</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12</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2.12</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Cancellation</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12</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2.13</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Defaulted Interest</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2.14</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Global Securities</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2.15</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CUSIP Numbers</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rHeight w:val="120" w:hRule="atLeast"/>
        </w:trPr>
        <w:tc>
          <w:tcPr>
            <w:tcW w:w="9475" w:type="dxa"/>
            <w:gridSpan w:val="3"/>
            <w:tcBorders/>
            <w:shd w:fill="auto" w:val="clear"/>
            <w:vAlign w:val="center"/>
          </w:tcPr>
          <w:p>
            <w:pPr>
              <w:pStyle w:val="TableContents"/>
              <w:spacing w:before="0" w:after="283"/>
              <w:rPr>
                <w:sz w:val="4"/>
                <w:szCs w:val="4"/>
              </w:rPr>
            </w:pPr>
            <w:r>
              <w:rPr>
                <w:sz w:val="4"/>
                <w:szCs w:val="4"/>
              </w:rPr>
            </w:r>
          </w:p>
        </w:tc>
        <w:tc>
          <w:tcPr>
            <w:tcW w:w="730" w:type="dxa"/>
            <w:gridSpan w:val="4"/>
            <w:tcBorders/>
            <w:shd w:fill="auto" w:val="clear"/>
            <w:vAlign w:val="center"/>
          </w:tcPr>
          <w:p>
            <w:pPr>
              <w:pStyle w:val="TableContents"/>
              <w:spacing w:before="0" w:after="283"/>
              <w:rPr>
                <w:sz w:val="4"/>
                <w:szCs w:val="4"/>
              </w:rPr>
            </w:pPr>
            <w:r>
              <w:rPr>
                <w:sz w:val="4"/>
                <w:szCs w:val="4"/>
              </w:rPr>
            </w:r>
          </w:p>
        </w:tc>
      </w:tr>
      <w:tr>
        <w:trPr/>
        <w:tc>
          <w:tcPr>
            <w:tcW w:w="947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III REDEMPTION</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rHeight w:val="120" w:hRule="atLeast"/>
        </w:trPr>
        <w:tc>
          <w:tcPr>
            <w:tcW w:w="1366" w:type="dxa"/>
            <w:tcBorders/>
            <w:shd w:fill="auto" w:val="clear"/>
            <w:vAlign w:val="center"/>
          </w:tcPr>
          <w:p>
            <w:pPr>
              <w:pStyle w:val="TableContents"/>
              <w:spacing w:before="0" w:after="283"/>
              <w:rPr>
                <w:sz w:val="4"/>
                <w:szCs w:val="4"/>
              </w:rPr>
            </w:pPr>
            <w:r>
              <w:rPr>
                <w:sz w:val="4"/>
                <w:szCs w:val="4"/>
              </w:rPr>
            </w:r>
          </w:p>
        </w:tc>
        <w:tc>
          <w:tcPr>
            <w:tcW w:w="8109" w:type="dxa"/>
            <w:gridSpan w:val="2"/>
            <w:tcBorders/>
            <w:shd w:fill="auto" w:val="clear"/>
            <w:vAlign w:val="center"/>
          </w:tcPr>
          <w:p>
            <w:pPr>
              <w:pStyle w:val="TableContents"/>
              <w:spacing w:before="0" w:after="283"/>
              <w:rPr>
                <w:sz w:val="4"/>
                <w:szCs w:val="4"/>
              </w:rPr>
            </w:pPr>
            <w:r>
              <w:rPr>
                <w:sz w:val="4"/>
                <w:szCs w:val="4"/>
              </w:rPr>
            </w:r>
          </w:p>
        </w:tc>
        <w:tc>
          <w:tcPr>
            <w:tcW w:w="730" w:type="dxa"/>
            <w:gridSpan w:val="4"/>
            <w:tcBorders/>
            <w:shd w:fill="auto" w:val="clear"/>
            <w:vAlign w:val="center"/>
          </w:tcPr>
          <w:p>
            <w:pPr>
              <w:pStyle w:val="TableContents"/>
              <w:spacing w:before="0" w:after="283"/>
              <w:rPr>
                <w:sz w:val="4"/>
                <w:szCs w:val="4"/>
              </w:rPr>
            </w:pPr>
            <w:r>
              <w:rPr>
                <w:sz w:val="4"/>
                <w:szCs w:val="4"/>
              </w:rPr>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3.1</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Notice to Trustee</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3.2</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Selection of Securities to be Redeemed</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3.3</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Notice of Redemption</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3.4</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Effect of Notice of Redemption</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3.5</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Deposit of Redemption Price</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3.6</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Securities Redeemed in Part</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rHeight w:val="120" w:hRule="atLeast"/>
        </w:trPr>
        <w:tc>
          <w:tcPr>
            <w:tcW w:w="9475" w:type="dxa"/>
            <w:gridSpan w:val="3"/>
            <w:tcBorders/>
            <w:shd w:fill="auto" w:val="clear"/>
            <w:vAlign w:val="center"/>
          </w:tcPr>
          <w:p>
            <w:pPr>
              <w:pStyle w:val="TableContents"/>
              <w:spacing w:before="0" w:after="283"/>
              <w:rPr>
                <w:sz w:val="4"/>
                <w:szCs w:val="4"/>
              </w:rPr>
            </w:pPr>
            <w:r>
              <w:rPr>
                <w:sz w:val="4"/>
                <w:szCs w:val="4"/>
              </w:rPr>
            </w:r>
          </w:p>
        </w:tc>
        <w:tc>
          <w:tcPr>
            <w:tcW w:w="730" w:type="dxa"/>
            <w:gridSpan w:val="4"/>
            <w:tcBorders/>
            <w:shd w:fill="auto" w:val="clear"/>
            <w:vAlign w:val="center"/>
          </w:tcPr>
          <w:p>
            <w:pPr>
              <w:pStyle w:val="TableContents"/>
              <w:spacing w:before="0" w:after="283"/>
              <w:rPr>
                <w:sz w:val="4"/>
                <w:szCs w:val="4"/>
              </w:rPr>
            </w:pPr>
            <w:r>
              <w:rPr>
                <w:sz w:val="4"/>
                <w:szCs w:val="4"/>
              </w:rPr>
            </w:r>
          </w:p>
        </w:tc>
      </w:tr>
      <w:tr>
        <w:trPr/>
        <w:tc>
          <w:tcPr>
            <w:tcW w:w="947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IV COVENANTS</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rHeight w:val="120" w:hRule="atLeast"/>
        </w:trPr>
        <w:tc>
          <w:tcPr>
            <w:tcW w:w="1366" w:type="dxa"/>
            <w:tcBorders/>
            <w:shd w:fill="auto" w:val="clear"/>
            <w:vAlign w:val="center"/>
          </w:tcPr>
          <w:p>
            <w:pPr>
              <w:pStyle w:val="TableContents"/>
              <w:spacing w:before="0" w:after="283"/>
              <w:rPr>
                <w:sz w:val="4"/>
                <w:szCs w:val="4"/>
              </w:rPr>
            </w:pPr>
            <w:r>
              <w:rPr>
                <w:sz w:val="4"/>
                <w:szCs w:val="4"/>
              </w:rPr>
            </w:r>
          </w:p>
        </w:tc>
        <w:tc>
          <w:tcPr>
            <w:tcW w:w="8109" w:type="dxa"/>
            <w:gridSpan w:val="2"/>
            <w:tcBorders/>
            <w:shd w:fill="auto" w:val="clear"/>
            <w:vAlign w:val="center"/>
          </w:tcPr>
          <w:p>
            <w:pPr>
              <w:pStyle w:val="TableContents"/>
              <w:spacing w:before="0" w:after="283"/>
              <w:rPr>
                <w:sz w:val="4"/>
                <w:szCs w:val="4"/>
              </w:rPr>
            </w:pPr>
            <w:r>
              <w:rPr>
                <w:sz w:val="4"/>
                <w:szCs w:val="4"/>
              </w:rPr>
            </w:r>
          </w:p>
        </w:tc>
        <w:tc>
          <w:tcPr>
            <w:tcW w:w="730" w:type="dxa"/>
            <w:gridSpan w:val="4"/>
            <w:tcBorders/>
            <w:shd w:fill="auto" w:val="clear"/>
            <w:vAlign w:val="center"/>
          </w:tcPr>
          <w:p>
            <w:pPr>
              <w:pStyle w:val="TableContents"/>
              <w:spacing w:before="0" w:after="283"/>
              <w:rPr>
                <w:sz w:val="4"/>
                <w:szCs w:val="4"/>
              </w:rPr>
            </w:pPr>
            <w:r>
              <w:rPr>
                <w:sz w:val="4"/>
                <w:szCs w:val="4"/>
              </w:rPr>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4.1</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Payment of Principal and Interest</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4.2</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SEC Reports</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4.3</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Compliance Certificate</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4.4</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Stay, Extension and Usury Laws</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19</w:t>
            </w:r>
          </w:p>
        </w:tc>
        <w:tc>
          <w:tcPr>
            <w:tcW w:w="63" w:type="dxa"/>
            <w:tcBorders/>
            <w:shd w:fill="auto" w:val="clear"/>
            <w:vAlign w:val="bottom"/>
          </w:tcPr>
          <w:p>
            <w:pPr>
              <w:pStyle w:val="TableContents"/>
              <w:spacing w:before="0" w:after="283"/>
              <w:rPr/>
            </w:pPr>
            <w:r>
              <w:rPr/>
              <w:t> </w:t>
            </w:r>
          </w:p>
        </w:tc>
      </w:tr>
      <w:tr>
        <w:trPr/>
        <w:tc>
          <w:tcPr>
            <w:tcW w:w="947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V SUCCESSORS</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19</w:t>
            </w:r>
          </w:p>
        </w:tc>
        <w:tc>
          <w:tcPr>
            <w:tcW w:w="63" w:type="dxa"/>
            <w:tcBorders/>
            <w:shd w:fill="auto" w:val="clear"/>
            <w:vAlign w:val="bottom"/>
          </w:tcPr>
          <w:p>
            <w:pPr>
              <w:pStyle w:val="TableContents"/>
              <w:spacing w:before="0" w:after="283"/>
              <w:rPr/>
            </w:pPr>
            <w:r>
              <w:rPr/>
              <w:t> </w:t>
            </w:r>
          </w:p>
        </w:tc>
      </w:tr>
      <w:tr>
        <w:trPr>
          <w:trHeight w:val="120" w:hRule="atLeast"/>
        </w:trPr>
        <w:tc>
          <w:tcPr>
            <w:tcW w:w="1366" w:type="dxa"/>
            <w:tcBorders/>
            <w:shd w:fill="auto" w:val="clear"/>
            <w:vAlign w:val="center"/>
          </w:tcPr>
          <w:p>
            <w:pPr>
              <w:pStyle w:val="TableContents"/>
              <w:spacing w:before="0" w:after="283"/>
              <w:rPr>
                <w:sz w:val="4"/>
                <w:szCs w:val="4"/>
              </w:rPr>
            </w:pPr>
            <w:r>
              <w:rPr>
                <w:sz w:val="4"/>
                <w:szCs w:val="4"/>
              </w:rPr>
            </w:r>
          </w:p>
        </w:tc>
        <w:tc>
          <w:tcPr>
            <w:tcW w:w="8109" w:type="dxa"/>
            <w:gridSpan w:val="2"/>
            <w:tcBorders/>
            <w:shd w:fill="auto" w:val="clear"/>
            <w:vAlign w:val="center"/>
          </w:tcPr>
          <w:p>
            <w:pPr>
              <w:pStyle w:val="TableContents"/>
              <w:spacing w:before="0" w:after="283"/>
              <w:rPr>
                <w:sz w:val="4"/>
                <w:szCs w:val="4"/>
              </w:rPr>
            </w:pPr>
            <w:r>
              <w:rPr>
                <w:sz w:val="4"/>
                <w:szCs w:val="4"/>
              </w:rPr>
            </w:r>
          </w:p>
        </w:tc>
        <w:tc>
          <w:tcPr>
            <w:tcW w:w="730" w:type="dxa"/>
            <w:gridSpan w:val="4"/>
            <w:tcBorders/>
            <w:shd w:fill="auto" w:val="clear"/>
            <w:vAlign w:val="center"/>
          </w:tcPr>
          <w:p>
            <w:pPr>
              <w:pStyle w:val="TableContents"/>
              <w:spacing w:before="0" w:after="283"/>
              <w:rPr>
                <w:sz w:val="4"/>
                <w:szCs w:val="4"/>
              </w:rPr>
            </w:pPr>
            <w:r>
              <w:rPr>
                <w:sz w:val="4"/>
                <w:szCs w:val="4"/>
              </w:rPr>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5.1</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When Company May Merge, Etc.</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19</w:t>
            </w:r>
          </w:p>
        </w:tc>
        <w:tc>
          <w:tcPr>
            <w:tcW w:w="63" w:type="dxa"/>
            <w:tcBorders/>
            <w:shd w:fill="auto" w:val="clear"/>
            <w:vAlign w:val="bottom"/>
          </w:tcPr>
          <w:p>
            <w:pPr>
              <w:pStyle w:val="TableContents"/>
              <w:spacing w:before="0" w:after="283"/>
              <w:rPr/>
            </w:pPr>
            <w:r>
              <w:rPr/>
              <w:t> </w:t>
            </w:r>
          </w:p>
        </w:tc>
      </w:tr>
      <w:tr>
        <w:trPr/>
        <w:tc>
          <w:tcPr>
            <w:tcW w:w="1366" w:type="dxa"/>
            <w:tcBorders/>
            <w:shd w:fill="auto" w:val="clear"/>
          </w:tcPr>
          <w:p>
            <w:pPr>
              <w:pStyle w:val="TableContents"/>
              <w:spacing w:before="0" w:after="0"/>
              <w:rPr>
                <w:rFonts w:ascii="Times New Roman" w:hAnsi="Times New Roman"/>
                <w:sz w:val="20"/>
              </w:rPr>
            </w:pPr>
            <w:r>
              <w:rPr>
                <w:rFonts w:ascii="Times New Roman" w:hAnsi="Times New Roman"/>
                <w:sz w:val="20"/>
              </w:rPr>
              <w:t>Section 5.2</w:t>
            </w:r>
          </w:p>
        </w:tc>
        <w:tc>
          <w:tcPr>
            <w:tcW w:w="97" w:type="dxa"/>
            <w:tcBorders/>
            <w:shd w:fill="auto" w:val="clear"/>
            <w:vAlign w:val="bottom"/>
          </w:tcPr>
          <w:p>
            <w:pPr>
              <w:pStyle w:val="TableContents"/>
              <w:spacing w:before="0" w:after="283"/>
              <w:rPr/>
            </w:pPr>
            <w:r>
              <w:rPr/>
              <w:t> </w:t>
            </w:r>
          </w:p>
        </w:tc>
        <w:tc>
          <w:tcPr>
            <w:tcW w:w="8012" w:type="dxa"/>
            <w:tcBorders/>
            <w:shd w:fill="auto" w:val="clear"/>
            <w:vAlign w:val="bottom"/>
          </w:tcPr>
          <w:p>
            <w:pPr>
              <w:pStyle w:val="TableContents"/>
              <w:spacing w:before="0" w:after="283"/>
              <w:rPr/>
            </w:pPr>
            <w:r>
              <w:rPr/>
              <w:t>Successor Corporation Substituted</w:t>
            </w:r>
          </w:p>
        </w:tc>
        <w:tc>
          <w:tcPr>
            <w:tcW w:w="15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19</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jc w:val="center"/>
        <w:rPr>
          <w:rFonts w:ascii="Times New Roman" w:hAnsi="Times New Roman"/>
          <w:b/>
          <w:sz w:val="20"/>
        </w:rPr>
      </w:pPr>
      <w:r>
        <w:rPr>
          <w:rFonts w:ascii="Times New Roman" w:hAnsi="Times New Roman"/>
          <w:b/>
          <w:sz w:val="20"/>
        </w:rPr>
        <w:t xml:space="preserve">(Continued)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252"/>
        <w:gridCol w:w="84"/>
        <w:gridCol w:w="8151"/>
        <w:gridCol w:w="140"/>
        <w:gridCol w:w="96"/>
        <w:gridCol w:w="420"/>
        <w:gridCol w:w="62"/>
      </w:tblGrid>
      <w:tr>
        <w:trPr/>
        <w:tc>
          <w:tcPr>
            <w:tcW w:w="1252"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815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1252"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1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2" w:type="dxa"/>
            <w:tcBorders/>
            <w:shd w:fill="auto" w:val="clear"/>
            <w:vAlign w:val="bottom"/>
          </w:tcPr>
          <w:p>
            <w:pPr>
              <w:pStyle w:val="TableContents"/>
              <w:spacing w:before="0" w:after="283"/>
              <w:rPr/>
            </w:pPr>
            <w:r>
              <w:rPr/>
              <w:t> </w:t>
            </w:r>
          </w:p>
        </w:tc>
      </w:tr>
      <w:tr>
        <w:trPr>
          <w:trHeight w:val="120" w:hRule="atLeast"/>
        </w:trPr>
        <w:tc>
          <w:tcPr>
            <w:tcW w:w="9487" w:type="dxa"/>
            <w:gridSpan w:val="3"/>
            <w:tcBorders/>
            <w:shd w:fill="auto" w:val="clear"/>
            <w:vAlign w:val="center"/>
          </w:tcPr>
          <w:p>
            <w:pPr>
              <w:pStyle w:val="TableContents"/>
              <w:spacing w:before="0" w:after="283"/>
              <w:rPr>
                <w:sz w:val="4"/>
                <w:szCs w:val="4"/>
              </w:rPr>
            </w:pPr>
            <w:r>
              <w:rPr>
                <w:sz w:val="4"/>
                <w:szCs w:val="4"/>
              </w:rPr>
            </w:r>
          </w:p>
        </w:tc>
        <w:tc>
          <w:tcPr>
            <w:tcW w:w="718" w:type="dxa"/>
            <w:gridSpan w:val="4"/>
            <w:tcBorders/>
            <w:shd w:fill="auto" w:val="clear"/>
            <w:vAlign w:val="center"/>
          </w:tcPr>
          <w:p>
            <w:pPr>
              <w:pStyle w:val="TableContents"/>
              <w:spacing w:before="0" w:after="283"/>
              <w:rPr>
                <w:sz w:val="4"/>
                <w:szCs w:val="4"/>
              </w:rPr>
            </w:pPr>
            <w:r>
              <w:rPr>
                <w:sz w:val="4"/>
                <w:szCs w:val="4"/>
              </w:rPr>
            </w:r>
          </w:p>
        </w:tc>
      </w:tr>
      <w:tr>
        <w:trPr/>
        <w:tc>
          <w:tcPr>
            <w:tcW w:w="948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VI DEFAULTS AND REMEDIES</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20</w:t>
            </w:r>
          </w:p>
        </w:tc>
        <w:tc>
          <w:tcPr>
            <w:tcW w:w="62" w:type="dxa"/>
            <w:tcBorders/>
            <w:shd w:fill="auto" w:val="clear"/>
            <w:vAlign w:val="bottom"/>
          </w:tcPr>
          <w:p>
            <w:pPr>
              <w:pStyle w:val="TableContents"/>
              <w:spacing w:before="0" w:after="283"/>
              <w:rPr/>
            </w:pPr>
            <w:r>
              <w:rPr/>
              <w:t> </w:t>
            </w:r>
          </w:p>
        </w:tc>
      </w:tr>
      <w:tr>
        <w:trPr>
          <w:trHeight w:val="120" w:hRule="atLeast"/>
        </w:trPr>
        <w:tc>
          <w:tcPr>
            <w:tcW w:w="1252" w:type="dxa"/>
            <w:tcBorders/>
            <w:shd w:fill="auto" w:val="clear"/>
            <w:vAlign w:val="center"/>
          </w:tcPr>
          <w:p>
            <w:pPr>
              <w:pStyle w:val="TableContents"/>
              <w:spacing w:before="0" w:after="283"/>
              <w:rPr>
                <w:sz w:val="4"/>
                <w:szCs w:val="4"/>
              </w:rPr>
            </w:pPr>
            <w:r>
              <w:rPr>
                <w:sz w:val="4"/>
                <w:szCs w:val="4"/>
              </w:rPr>
            </w:r>
          </w:p>
        </w:tc>
        <w:tc>
          <w:tcPr>
            <w:tcW w:w="8235" w:type="dxa"/>
            <w:gridSpan w:val="2"/>
            <w:tcBorders/>
            <w:shd w:fill="auto" w:val="clear"/>
            <w:vAlign w:val="center"/>
          </w:tcPr>
          <w:p>
            <w:pPr>
              <w:pStyle w:val="TableContents"/>
              <w:spacing w:before="0" w:after="283"/>
              <w:rPr>
                <w:sz w:val="4"/>
                <w:szCs w:val="4"/>
              </w:rPr>
            </w:pPr>
            <w:r>
              <w:rPr>
                <w:sz w:val="4"/>
                <w:szCs w:val="4"/>
              </w:rPr>
            </w:r>
          </w:p>
        </w:tc>
        <w:tc>
          <w:tcPr>
            <w:tcW w:w="718" w:type="dxa"/>
            <w:gridSpan w:val="4"/>
            <w:tcBorders/>
            <w:shd w:fill="auto" w:val="clear"/>
            <w:vAlign w:val="center"/>
          </w:tcPr>
          <w:p>
            <w:pPr>
              <w:pStyle w:val="TableContents"/>
              <w:spacing w:before="0" w:after="283"/>
              <w:rPr>
                <w:sz w:val="4"/>
                <w:szCs w:val="4"/>
              </w:rPr>
            </w:pPr>
            <w:r>
              <w:rPr>
                <w:sz w:val="4"/>
                <w:szCs w:val="4"/>
              </w:rPr>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6.1</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Events of Default</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20</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6.2</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Acceleration of Maturity; Rescission and Annulment</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21</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6.3</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Collection of Indebtedness and Suits for Enforcement by Trustee</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22</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6.4</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Trustee May File Proofs of Claim</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22</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6.5</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Trustee May Enforce Claims Without Possession of Securities</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23</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6.6</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Application of Money Collected</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23</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6.7</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Limitation on Suits</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24</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6.8</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Unconditional Right of Holders to Receive Principal and Interest</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24</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6.9</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Restoration of Rights and Remedies</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24</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6.10</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Rights and Remedies Cumulative</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25</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6.11</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Delay or Omission Not Waiver</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25</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6.12</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Control by Holders</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25</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6.13</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Waiver of Past Defaults</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6.14</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Undertaking for Costs</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r>
        <w:trPr>
          <w:trHeight w:val="120" w:hRule="atLeast"/>
        </w:trPr>
        <w:tc>
          <w:tcPr>
            <w:tcW w:w="9487" w:type="dxa"/>
            <w:gridSpan w:val="3"/>
            <w:tcBorders/>
            <w:shd w:fill="auto" w:val="clear"/>
            <w:vAlign w:val="center"/>
          </w:tcPr>
          <w:p>
            <w:pPr>
              <w:pStyle w:val="TableContents"/>
              <w:spacing w:before="0" w:after="283"/>
              <w:rPr>
                <w:sz w:val="4"/>
                <w:szCs w:val="4"/>
              </w:rPr>
            </w:pPr>
            <w:r>
              <w:rPr>
                <w:sz w:val="4"/>
                <w:szCs w:val="4"/>
              </w:rPr>
            </w:r>
          </w:p>
        </w:tc>
        <w:tc>
          <w:tcPr>
            <w:tcW w:w="718" w:type="dxa"/>
            <w:gridSpan w:val="4"/>
            <w:tcBorders/>
            <w:shd w:fill="auto" w:val="clear"/>
            <w:vAlign w:val="center"/>
          </w:tcPr>
          <w:p>
            <w:pPr>
              <w:pStyle w:val="TableContents"/>
              <w:spacing w:before="0" w:after="283"/>
              <w:rPr>
                <w:sz w:val="4"/>
                <w:szCs w:val="4"/>
              </w:rPr>
            </w:pPr>
            <w:r>
              <w:rPr>
                <w:sz w:val="4"/>
                <w:szCs w:val="4"/>
              </w:rPr>
            </w:r>
          </w:p>
        </w:tc>
      </w:tr>
      <w:tr>
        <w:trPr/>
        <w:tc>
          <w:tcPr>
            <w:tcW w:w="948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VII TRUSTEE</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r>
        <w:trPr>
          <w:trHeight w:val="120" w:hRule="atLeast"/>
        </w:trPr>
        <w:tc>
          <w:tcPr>
            <w:tcW w:w="1252" w:type="dxa"/>
            <w:tcBorders/>
            <w:shd w:fill="auto" w:val="clear"/>
            <w:vAlign w:val="center"/>
          </w:tcPr>
          <w:p>
            <w:pPr>
              <w:pStyle w:val="TableContents"/>
              <w:spacing w:before="0" w:after="283"/>
              <w:rPr>
                <w:sz w:val="4"/>
                <w:szCs w:val="4"/>
              </w:rPr>
            </w:pPr>
            <w:r>
              <w:rPr>
                <w:sz w:val="4"/>
                <w:szCs w:val="4"/>
              </w:rPr>
            </w:r>
          </w:p>
        </w:tc>
        <w:tc>
          <w:tcPr>
            <w:tcW w:w="8235" w:type="dxa"/>
            <w:gridSpan w:val="2"/>
            <w:tcBorders/>
            <w:shd w:fill="auto" w:val="clear"/>
            <w:vAlign w:val="center"/>
          </w:tcPr>
          <w:p>
            <w:pPr>
              <w:pStyle w:val="TableContents"/>
              <w:spacing w:before="0" w:after="283"/>
              <w:rPr>
                <w:sz w:val="4"/>
                <w:szCs w:val="4"/>
              </w:rPr>
            </w:pPr>
            <w:r>
              <w:rPr>
                <w:sz w:val="4"/>
                <w:szCs w:val="4"/>
              </w:rPr>
            </w:r>
          </w:p>
        </w:tc>
        <w:tc>
          <w:tcPr>
            <w:tcW w:w="718" w:type="dxa"/>
            <w:gridSpan w:val="4"/>
            <w:tcBorders/>
            <w:shd w:fill="auto" w:val="clear"/>
            <w:vAlign w:val="center"/>
          </w:tcPr>
          <w:p>
            <w:pPr>
              <w:pStyle w:val="TableContents"/>
              <w:spacing w:before="0" w:after="283"/>
              <w:rPr>
                <w:sz w:val="4"/>
                <w:szCs w:val="4"/>
              </w:rPr>
            </w:pPr>
            <w:r>
              <w:rPr>
                <w:sz w:val="4"/>
                <w:szCs w:val="4"/>
              </w:rPr>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7.1</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Duties of Trustee</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7.2</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Rights of Trustee</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27</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7.3</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Individual Rights of Trustee</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29</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7.4</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Trustees Disclaimer</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29</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7.5</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Notice of Defaults</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29</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7.6</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Reports by Trustee to Holders</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30</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7.7</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Compensation and Indemnity</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30</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7.8</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Replacement of Trustee</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31</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7.9</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Successor Trustee by Merger, Etc.</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32</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7.10</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Eligibility; Disqualification</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32</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7.11</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Preferential Collection of Claims Against Company</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32</w:t>
            </w:r>
          </w:p>
        </w:tc>
        <w:tc>
          <w:tcPr>
            <w:tcW w:w="62" w:type="dxa"/>
            <w:tcBorders/>
            <w:shd w:fill="auto" w:val="clear"/>
            <w:vAlign w:val="bottom"/>
          </w:tcPr>
          <w:p>
            <w:pPr>
              <w:pStyle w:val="TableContents"/>
              <w:spacing w:before="0" w:after="283"/>
              <w:rPr/>
            </w:pPr>
            <w:r>
              <w:rPr/>
              <w:t> </w:t>
            </w:r>
          </w:p>
        </w:tc>
      </w:tr>
      <w:tr>
        <w:trPr>
          <w:trHeight w:val="120" w:hRule="atLeast"/>
        </w:trPr>
        <w:tc>
          <w:tcPr>
            <w:tcW w:w="9487" w:type="dxa"/>
            <w:gridSpan w:val="3"/>
            <w:tcBorders/>
            <w:shd w:fill="auto" w:val="clear"/>
            <w:vAlign w:val="center"/>
          </w:tcPr>
          <w:p>
            <w:pPr>
              <w:pStyle w:val="TableContents"/>
              <w:spacing w:before="0" w:after="283"/>
              <w:rPr>
                <w:sz w:val="4"/>
                <w:szCs w:val="4"/>
              </w:rPr>
            </w:pPr>
            <w:r>
              <w:rPr>
                <w:sz w:val="4"/>
                <w:szCs w:val="4"/>
              </w:rPr>
            </w:r>
          </w:p>
        </w:tc>
        <w:tc>
          <w:tcPr>
            <w:tcW w:w="718" w:type="dxa"/>
            <w:gridSpan w:val="4"/>
            <w:tcBorders/>
            <w:shd w:fill="auto" w:val="clear"/>
            <w:vAlign w:val="center"/>
          </w:tcPr>
          <w:p>
            <w:pPr>
              <w:pStyle w:val="TableContents"/>
              <w:spacing w:before="0" w:after="283"/>
              <w:rPr>
                <w:sz w:val="4"/>
                <w:szCs w:val="4"/>
              </w:rPr>
            </w:pPr>
            <w:r>
              <w:rPr>
                <w:sz w:val="4"/>
                <w:szCs w:val="4"/>
              </w:rPr>
            </w:r>
          </w:p>
        </w:tc>
      </w:tr>
      <w:tr>
        <w:trPr/>
        <w:tc>
          <w:tcPr>
            <w:tcW w:w="948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VIII SATISFACTION AND DISCHARGE; DEFEASANCE</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32</w:t>
            </w:r>
          </w:p>
        </w:tc>
        <w:tc>
          <w:tcPr>
            <w:tcW w:w="62" w:type="dxa"/>
            <w:tcBorders/>
            <w:shd w:fill="auto" w:val="clear"/>
            <w:vAlign w:val="bottom"/>
          </w:tcPr>
          <w:p>
            <w:pPr>
              <w:pStyle w:val="TableContents"/>
              <w:spacing w:before="0" w:after="283"/>
              <w:rPr/>
            </w:pPr>
            <w:r>
              <w:rPr/>
              <w:t> </w:t>
            </w:r>
          </w:p>
        </w:tc>
      </w:tr>
      <w:tr>
        <w:trPr>
          <w:trHeight w:val="120" w:hRule="atLeast"/>
        </w:trPr>
        <w:tc>
          <w:tcPr>
            <w:tcW w:w="1252" w:type="dxa"/>
            <w:tcBorders/>
            <w:shd w:fill="auto" w:val="clear"/>
            <w:vAlign w:val="center"/>
          </w:tcPr>
          <w:p>
            <w:pPr>
              <w:pStyle w:val="TableContents"/>
              <w:spacing w:before="0" w:after="283"/>
              <w:rPr>
                <w:sz w:val="4"/>
                <w:szCs w:val="4"/>
              </w:rPr>
            </w:pPr>
            <w:r>
              <w:rPr>
                <w:sz w:val="4"/>
                <w:szCs w:val="4"/>
              </w:rPr>
            </w:r>
          </w:p>
        </w:tc>
        <w:tc>
          <w:tcPr>
            <w:tcW w:w="8235" w:type="dxa"/>
            <w:gridSpan w:val="2"/>
            <w:tcBorders/>
            <w:shd w:fill="auto" w:val="clear"/>
            <w:vAlign w:val="center"/>
          </w:tcPr>
          <w:p>
            <w:pPr>
              <w:pStyle w:val="TableContents"/>
              <w:spacing w:before="0" w:after="283"/>
              <w:rPr>
                <w:sz w:val="4"/>
                <w:szCs w:val="4"/>
              </w:rPr>
            </w:pPr>
            <w:r>
              <w:rPr>
                <w:sz w:val="4"/>
                <w:szCs w:val="4"/>
              </w:rPr>
            </w:r>
          </w:p>
        </w:tc>
        <w:tc>
          <w:tcPr>
            <w:tcW w:w="718" w:type="dxa"/>
            <w:gridSpan w:val="4"/>
            <w:tcBorders/>
            <w:shd w:fill="auto" w:val="clear"/>
            <w:vAlign w:val="center"/>
          </w:tcPr>
          <w:p>
            <w:pPr>
              <w:pStyle w:val="TableContents"/>
              <w:spacing w:before="0" w:after="283"/>
              <w:rPr>
                <w:sz w:val="4"/>
                <w:szCs w:val="4"/>
              </w:rPr>
            </w:pPr>
            <w:r>
              <w:rPr>
                <w:sz w:val="4"/>
                <w:szCs w:val="4"/>
              </w:rPr>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8.1</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Satisfaction and Discharge of Indenture</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32</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8.2</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Application of Trust Funds; Indemnification</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33</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8.3</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Legal Defeasance of Securities of any Series</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34</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8.4</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Covenant Defeasance</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35</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8.5</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Repayment to Company</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36</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8.6</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Reinstatement</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37</w:t>
            </w:r>
          </w:p>
        </w:tc>
        <w:tc>
          <w:tcPr>
            <w:tcW w:w="62" w:type="dxa"/>
            <w:tcBorders/>
            <w:shd w:fill="auto" w:val="clear"/>
            <w:vAlign w:val="bottom"/>
          </w:tcPr>
          <w:p>
            <w:pPr>
              <w:pStyle w:val="TableContents"/>
              <w:spacing w:before="0" w:after="283"/>
              <w:rPr/>
            </w:pPr>
            <w:r>
              <w:rPr/>
              <w:t> </w:t>
            </w:r>
          </w:p>
        </w:tc>
      </w:tr>
      <w:tr>
        <w:trPr>
          <w:trHeight w:val="120" w:hRule="atLeast"/>
        </w:trPr>
        <w:tc>
          <w:tcPr>
            <w:tcW w:w="9487" w:type="dxa"/>
            <w:gridSpan w:val="3"/>
            <w:tcBorders/>
            <w:shd w:fill="auto" w:val="clear"/>
            <w:vAlign w:val="center"/>
          </w:tcPr>
          <w:p>
            <w:pPr>
              <w:pStyle w:val="TableContents"/>
              <w:spacing w:before="0" w:after="283"/>
              <w:rPr>
                <w:sz w:val="4"/>
                <w:szCs w:val="4"/>
              </w:rPr>
            </w:pPr>
            <w:r>
              <w:rPr>
                <w:sz w:val="4"/>
                <w:szCs w:val="4"/>
              </w:rPr>
            </w:r>
          </w:p>
        </w:tc>
        <w:tc>
          <w:tcPr>
            <w:tcW w:w="718" w:type="dxa"/>
            <w:gridSpan w:val="4"/>
            <w:tcBorders/>
            <w:shd w:fill="auto" w:val="clear"/>
            <w:vAlign w:val="center"/>
          </w:tcPr>
          <w:p>
            <w:pPr>
              <w:pStyle w:val="TableContents"/>
              <w:spacing w:before="0" w:after="283"/>
              <w:rPr>
                <w:sz w:val="4"/>
                <w:szCs w:val="4"/>
              </w:rPr>
            </w:pPr>
            <w:r>
              <w:rPr>
                <w:sz w:val="4"/>
                <w:szCs w:val="4"/>
              </w:rPr>
            </w:r>
          </w:p>
        </w:tc>
      </w:tr>
      <w:tr>
        <w:trPr/>
        <w:tc>
          <w:tcPr>
            <w:tcW w:w="948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IX AMENDMENTS AND WAIVERS</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37</w:t>
            </w:r>
          </w:p>
        </w:tc>
        <w:tc>
          <w:tcPr>
            <w:tcW w:w="62" w:type="dxa"/>
            <w:tcBorders/>
            <w:shd w:fill="auto" w:val="clear"/>
            <w:vAlign w:val="bottom"/>
          </w:tcPr>
          <w:p>
            <w:pPr>
              <w:pStyle w:val="TableContents"/>
              <w:spacing w:before="0" w:after="283"/>
              <w:rPr/>
            </w:pPr>
            <w:r>
              <w:rPr/>
              <w:t> </w:t>
            </w:r>
          </w:p>
        </w:tc>
      </w:tr>
      <w:tr>
        <w:trPr>
          <w:trHeight w:val="120" w:hRule="atLeast"/>
        </w:trPr>
        <w:tc>
          <w:tcPr>
            <w:tcW w:w="1252" w:type="dxa"/>
            <w:tcBorders/>
            <w:shd w:fill="auto" w:val="clear"/>
            <w:vAlign w:val="center"/>
          </w:tcPr>
          <w:p>
            <w:pPr>
              <w:pStyle w:val="TableContents"/>
              <w:spacing w:before="0" w:after="283"/>
              <w:rPr>
                <w:sz w:val="4"/>
                <w:szCs w:val="4"/>
              </w:rPr>
            </w:pPr>
            <w:r>
              <w:rPr>
                <w:sz w:val="4"/>
                <w:szCs w:val="4"/>
              </w:rPr>
            </w:r>
          </w:p>
        </w:tc>
        <w:tc>
          <w:tcPr>
            <w:tcW w:w="8235" w:type="dxa"/>
            <w:gridSpan w:val="2"/>
            <w:tcBorders/>
            <w:shd w:fill="auto" w:val="clear"/>
            <w:vAlign w:val="center"/>
          </w:tcPr>
          <w:p>
            <w:pPr>
              <w:pStyle w:val="TableContents"/>
              <w:spacing w:before="0" w:after="283"/>
              <w:rPr>
                <w:sz w:val="4"/>
                <w:szCs w:val="4"/>
              </w:rPr>
            </w:pPr>
            <w:r>
              <w:rPr>
                <w:sz w:val="4"/>
                <w:szCs w:val="4"/>
              </w:rPr>
            </w:r>
          </w:p>
        </w:tc>
        <w:tc>
          <w:tcPr>
            <w:tcW w:w="718" w:type="dxa"/>
            <w:gridSpan w:val="4"/>
            <w:tcBorders/>
            <w:shd w:fill="auto" w:val="clear"/>
            <w:vAlign w:val="center"/>
          </w:tcPr>
          <w:p>
            <w:pPr>
              <w:pStyle w:val="TableContents"/>
              <w:spacing w:before="0" w:after="283"/>
              <w:rPr>
                <w:sz w:val="4"/>
                <w:szCs w:val="4"/>
              </w:rPr>
            </w:pPr>
            <w:r>
              <w:rPr>
                <w:sz w:val="4"/>
                <w:szCs w:val="4"/>
              </w:rPr>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9.1</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Without Consent of Holders</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37</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9.2</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With Consent of Holders</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38</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9.3</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Limitations</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38</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9.4</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Compliance with Trust Indenture Act</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39</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9.5</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Revocation and Effect of Consents</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39</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9.6</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Notation on or Exchange of Securities</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40</w:t>
            </w:r>
          </w:p>
        </w:tc>
        <w:tc>
          <w:tcPr>
            <w:tcW w:w="62" w:type="dxa"/>
            <w:tcBorders/>
            <w:shd w:fill="auto" w:val="clear"/>
            <w:vAlign w:val="bottom"/>
          </w:tcPr>
          <w:p>
            <w:pPr>
              <w:pStyle w:val="TableContents"/>
              <w:spacing w:before="0" w:after="283"/>
              <w:rPr/>
            </w:pPr>
            <w:r>
              <w:rPr/>
              <w:t> </w:t>
            </w:r>
          </w:p>
        </w:tc>
      </w:tr>
      <w:tr>
        <w:trPr/>
        <w:tc>
          <w:tcPr>
            <w:tcW w:w="1252" w:type="dxa"/>
            <w:tcBorders/>
            <w:shd w:fill="auto" w:val="clear"/>
          </w:tcPr>
          <w:p>
            <w:pPr>
              <w:pStyle w:val="TableContents"/>
              <w:spacing w:before="0" w:after="0"/>
              <w:rPr>
                <w:rFonts w:ascii="Times New Roman" w:hAnsi="Times New Roman"/>
                <w:sz w:val="20"/>
              </w:rPr>
            </w:pPr>
            <w:r>
              <w:rPr>
                <w:rFonts w:ascii="Times New Roman" w:hAnsi="Times New Roman"/>
                <w:sz w:val="20"/>
              </w:rPr>
              <w:t>Section 9.7</w:t>
            </w:r>
          </w:p>
        </w:tc>
        <w:tc>
          <w:tcPr>
            <w:tcW w:w="84" w:type="dxa"/>
            <w:tcBorders/>
            <w:shd w:fill="auto" w:val="clear"/>
            <w:vAlign w:val="bottom"/>
          </w:tcPr>
          <w:p>
            <w:pPr>
              <w:pStyle w:val="TableContents"/>
              <w:spacing w:before="0" w:after="283"/>
              <w:rPr/>
            </w:pPr>
            <w:r>
              <w:rPr/>
              <w:t> </w:t>
            </w:r>
          </w:p>
        </w:tc>
        <w:tc>
          <w:tcPr>
            <w:tcW w:w="8151" w:type="dxa"/>
            <w:tcBorders/>
            <w:shd w:fill="auto" w:val="clear"/>
            <w:vAlign w:val="bottom"/>
          </w:tcPr>
          <w:p>
            <w:pPr>
              <w:pStyle w:val="TableContents"/>
              <w:spacing w:before="0" w:after="283"/>
              <w:rPr/>
            </w:pPr>
            <w:r>
              <w:rPr/>
              <w:t>Trustee Protected</w:t>
            </w:r>
          </w:p>
        </w:tc>
        <w:tc>
          <w:tcPr>
            <w:tcW w:w="1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40</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jc w:val="center"/>
        <w:rPr>
          <w:rFonts w:ascii="Times New Roman" w:hAnsi="Times New Roman"/>
          <w:b/>
          <w:sz w:val="20"/>
        </w:rPr>
      </w:pPr>
      <w:r>
        <w:rPr>
          <w:rFonts w:ascii="Times New Roman" w:hAnsi="Times New Roman"/>
          <w:b/>
          <w:sz w:val="20"/>
        </w:rPr>
        <w:t xml:space="preserve">(Continued)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365"/>
        <w:gridCol w:w="85"/>
        <w:gridCol w:w="8035"/>
        <w:gridCol w:w="141"/>
        <w:gridCol w:w="96"/>
        <w:gridCol w:w="419"/>
        <w:gridCol w:w="64"/>
      </w:tblGrid>
      <w:tr>
        <w:trPr/>
        <w:tc>
          <w:tcPr>
            <w:tcW w:w="1365"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803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136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4" w:type="dxa"/>
            <w:tcBorders/>
            <w:shd w:fill="auto" w:val="clear"/>
            <w:vAlign w:val="bottom"/>
          </w:tcPr>
          <w:p>
            <w:pPr>
              <w:pStyle w:val="TableContents"/>
              <w:spacing w:before="0" w:after="283"/>
              <w:rPr/>
            </w:pPr>
            <w:r>
              <w:rPr/>
              <w:t> </w:t>
            </w:r>
          </w:p>
        </w:tc>
      </w:tr>
      <w:tr>
        <w:trPr>
          <w:trHeight w:val="120" w:hRule="atLeast"/>
        </w:trPr>
        <w:tc>
          <w:tcPr>
            <w:tcW w:w="9485" w:type="dxa"/>
            <w:gridSpan w:val="3"/>
            <w:tcBorders/>
            <w:shd w:fill="auto" w:val="clear"/>
            <w:vAlign w:val="center"/>
          </w:tcPr>
          <w:p>
            <w:pPr>
              <w:pStyle w:val="TableContents"/>
              <w:spacing w:before="0" w:after="283"/>
              <w:rPr>
                <w:sz w:val="4"/>
                <w:szCs w:val="4"/>
              </w:rPr>
            </w:pPr>
            <w:r>
              <w:rPr>
                <w:sz w:val="4"/>
                <w:szCs w:val="4"/>
              </w:rPr>
            </w:r>
          </w:p>
        </w:tc>
        <w:tc>
          <w:tcPr>
            <w:tcW w:w="720" w:type="dxa"/>
            <w:gridSpan w:val="4"/>
            <w:tcBorders/>
            <w:shd w:fill="auto" w:val="clear"/>
            <w:vAlign w:val="center"/>
          </w:tcPr>
          <w:p>
            <w:pPr>
              <w:pStyle w:val="TableContents"/>
              <w:spacing w:before="0" w:after="283"/>
              <w:rPr>
                <w:sz w:val="4"/>
                <w:szCs w:val="4"/>
              </w:rPr>
            </w:pPr>
            <w:r>
              <w:rPr>
                <w:sz w:val="4"/>
                <w:szCs w:val="4"/>
              </w:rPr>
            </w:r>
          </w:p>
        </w:tc>
      </w:tr>
      <w:tr>
        <w:trPr/>
        <w:tc>
          <w:tcPr>
            <w:tcW w:w="948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X MISCELLANEOUS</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40</w:t>
            </w:r>
          </w:p>
        </w:tc>
        <w:tc>
          <w:tcPr>
            <w:tcW w:w="64" w:type="dxa"/>
            <w:tcBorders/>
            <w:shd w:fill="auto" w:val="clear"/>
            <w:vAlign w:val="bottom"/>
          </w:tcPr>
          <w:p>
            <w:pPr>
              <w:pStyle w:val="TableContents"/>
              <w:spacing w:before="0" w:after="283"/>
              <w:rPr/>
            </w:pPr>
            <w:r>
              <w:rPr/>
              <w:t> </w:t>
            </w:r>
          </w:p>
        </w:tc>
      </w:tr>
      <w:tr>
        <w:trPr>
          <w:trHeight w:val="120" w:hRule="atLeast"/>
        </w:trPr>
        <w:tc>
          <w:tcPr>
            <w:tcW w:w="1365" w:type="dxa"/>
            <w:tcBorders/>
            <w:shd w:fill="auto" w:val="clear"/>
            <w:vAlign w:val="center"/>
          </w:tcPr>
          <w:p>
            <w:pPr>
              <w:pStyle w:val="TableContents"/>
              <w:spacing w:before="0" w:after="283"/>
              <w:rPr>
                <w:sz w:val="4"/>
                <w:szCs w:val="4"/>
              </w:rPr>
            </w:pPr>
            <w:r>
              <w:rPr>
                <w:sz w:val="4"/>
                <w:szCs w:val="4"/>
              </w:rPr>
            </w:r>
          </w:p>
        </w:tc>
        <w:tc>
          <w:tcPr>
            <w:tcW w:w="8120" w:type="dxa"/>
            <w:gridSpan w:val="2"/>
            <w:tcBorders/>
            <w:shd w:fill="auto" w:val="clear"/>
            <w:vAlign w:val="center"/>
          </w:tcPr>
          <w:p>
            <w:pPr>
              <w:pStyle w:val="TableContents"/>
              <w:spacing w:before="0" w:after="283"/>
              <w:rPr>
                <w:sz w:val="4"/>
                <w:szCs w:val="4"/>
              </w:rPr>
            </w:pPr>
            <w:r>
              <w:rPr>
                <w:sz w:val="4"/>
                <w:szCs w:val="4"/>
              </w:rPr>
            </w:r>
          </w:p>
        </w:tc>
        <w:tc>
          <w:tcPr>
            <w:tcW w:w="720" w:type="dxa"/>
            <w:gridSpan w:val="4"/>
            <w:tcBorders/>
            <w:shd w:fill="auto" w:val="clear"/>
            <w:vAlign w:val="center"/>
          </w:tcPr>
          <w:p>
            <w:pPr>
              <w:pStyle w:val="TableContents"/>
              <w:spacing w:before="0" w:after="283"/>
              <w:rPr>
                <w:sz w:val="4"/>
                <w:szCs w:val="4"/>
              </w:rPr>
            </w:pPr>
            <w:r>
              <w:rPr>
                <w:sz w:val="4"/>
                <w:szCs w:val="4"/>
              </w:rPr>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10.1</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Trust Indenture Act Controls</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40</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10.2</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Notices</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40</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10.3</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Communication by Holders with Other Holders</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41</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10.4</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Certificate and Opinion as to Conditions Precedent</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42</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10.5</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Statements Required in Certificate or Opinion</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42</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10.6</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Rules by Trustee and Agents</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42</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10.7</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Legal Holidays</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42</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10.8</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No Recourse Against Others</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43</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10.9</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Counterparts</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43</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10.10</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Governing Law; Waiver of Jury Trial; Consent to Jurisdiction</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43</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10.11</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No Adverse Interpretation of Other Agreements</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43</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10.12</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Successors</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44</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10.13</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Severability</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44</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10.14</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Table of Contents, Headings, Etc</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44</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10.15</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Securities in a Foreign Currency</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44</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10.16</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Judgment Currency</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45</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10.17</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Force Majeure</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45</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10.18</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U.S.A. Patriot Act</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45</w:t>
            </w:r>
          </w:p>
        </w:tc>
        <w:tc>
          <w:tcPr>
            <w:tcW w:w="64" w:type="dxa"/>
            <w:tcBorders/>
            <w:shd w:fill="auto" w:val="clear"/>
            <w:vAlign w:val="bottom"/>
          </w:tcPr>
          <w:p>
            <w:pPr>
              <w:pStyle w:val="TableContents"/>
              <w:spacing w:before="0" w:after="283"/>
              <w:rPr/>
            </w:pPr>
            <w:r>
              <w:rPr/>
              <w:t> </w:t>
            </w:r>
          </w:p>
        </w:tc>
      </w:tr>
      <w:tr>
        <w:trPr>
          <w:trHeight w:val="120" w:hRule="atLeast"/>
        </w:trPr>
        <w:tc>
          <w:tcPr>
            <w:tcW w:w="9485" w:type="dxa"/>
            <w:gridSpan w:val="3"/>
            <w:tcBorders/>
            <w:shd w:fill="auto" w:val="clear"/>
            <w:vAlign w:val="center"/>
          </w:tcPr>
          <w:p>
            <w:pPr>
              <w:pStyle w:val="TableContents"/>
              <w:spacing w:before="0" w:after="283"/>
              <w:rPr>
                <w:sz w:val="4"/>
                <w:szCs w:val="4"/>
              </w:rPr>
            </w:pPr>
            <w:r>
              <w:rPr>
                <w:sz w:val="4"/>
                <w:szCs w:val="4"/>
              </w:rPr>
            </w:r>
          </w:p>
        </w:tc>
        <w:tc>
          <w:tcPr>
            <w:tcW w:w="720" w:type="dxa"/>
            <w:gridSpan w:val="4"/>
            <w:tcBorders/>
            <w:shd w:fill="auto" w:val="clear"/>
            <w:vAlign w:val="center"/>
          </w:tcPr>
          <w:p>
            <w:pPr>
              <w:pStyle w:val="TableContents"/>
              <w:spacing w:before="0" w:after="283"/>
              <w:rPr>
                <w:sz w:val="4"/>
                <w:szCs w:val="4"/>
              </w:rPr>
            </w:pPr>
            <w:r>
              <w:rPr>
                <w:sz w:val="4"/>
                <w:szCs w:val="4"/>
              </w:rPr>
            </w:r>
          </w:p>
        </w:tc>
      </w:tr>
      <w:tr>
        <w:trPr/>
        <w:tc>
          <w:tcPr>
            <w:tcW w:w="948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XI SINKING FUNDS</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46</w:t>
            </w:r>
          </w:p>
        </w:tc>
        <w:tc>
          <w:tcPr>
            <w:tcW w:w="64" w:type="dxa"/>
            <w:tcBorders/>
            <w:shd w:fill="auto" w:val="clear"/>
            <w:vAlign w:val="bottom"/>
          </w:tcPr>
          <w:p>
            <w:pPr>
              <w:pStyle w:val="TableContents"/>
              <w:spacing w:before="0" w:after="283"/>
              <w:rPr/>
            </w:pPr>
            <w:r>
              <w:rPr/>
              <w:t> </w:t>
            </w:r>
          </w:p>
        </w:tc>
      </w:tr>
      <w:tr>
        <w:trPr>
          <w:trHeight w:val="120" w:hRule="atLeast"/>
        </w:trPr>
        <w:tc>
          <w:tcPr>
            <w:tcW w:w="1365" w:type="dxa"/>
            <w:tcBorders/>
            <w:shd w:fill="auto" w:val="clear"/>
            <w:vAlign w:val="center"/>
          </w:tcPr>
          <w:p>
            <w:pPr>
              <w:pStyle w:val="TableContents"/>
              <w:spacing w:before="0" w:after="283"/>
              <w:rPr>
                <w:sz w:val="4"/>
                <w:szCs w:val="4"/>
              </w:rPr>
            </w:pPr>
            <w:r>
              <w:rPr>
                <w:sz w:val="4"/>
                <w:szCs w:val="4"/>
              </w:rPr>
            </w:r>
          </w:p>
        </w:tc>
        <w:tc>
          <w:tcPr>
            <w:tcW w:w="8120" w:type="dxa"/>
            <w:gridSpan w:val="2"/>
            <w:tcBorders/>
            <w:shd w:fill="auto" w:val="clear"/>
            <w:vAlign w:val="center"/>
          </w:tcPr>
          <w:p>
            <w:pPr>
              <w:pStyle w:val="TableContents"/>
              <w:spacing w:before="0" w:after="283"/>
              <w:rPr>
                <w:sz w:val="4"/>
                <w:szCs w:val="4"/>
              </w:rPr>
            </w:pPr>
            <w:r>
              <w:rPr>
                <w:sz w:val="4"/>
                <w:szCs w:val="4"/>
              </w:rPr>
            </w:r>
          </w:p>
        </w:tc>
        <w:tc>
          <w:tcPr>
            <w:tcW w:w="720" w:type="dxa"/>
            <w:gridSpan w:val="4"/>
            <w:tcBorders/>
            <w:shd w:fill="auto" w:val="clear"/>
            <w:vAlign w:val="center"/>
          </w:tcPr>
          <w:p>
            <w:pPr>
              <w:pStyle w:val="TableContents"/>
              <w:spacing w:before="0" w:after="283"/>
              <w:rPr>
                <w:sz w:val="4"/>
                <w:szCs w:val="4"/>
              </w:rPr>
            </w:pPr>
            <w:r>
              <w:rPr>
                <w:sz w:val="4"/>
                <w:szCs w:val="4"/>
              </w:rPr>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11.1</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Applicability of Article</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46</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11.2</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Satisfaction of Sinking Fund Payments with Securities</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46</w:t>
            </w:r>
          </w:p>
        </w:tc>
        <w:tc>
          <w:tcPr>
            <w:tcW w:w="64" w:type="dxa"/>
            <w:tcBorders/>
            <w:shd w:fill="auto" w:val="clear"/>
            <w:vAlign w:val="bottom"/>
          </w:tcPr>
          <w:p>
            <w:pPr>
              <w:pStyle w:val="TableContents"/>
              <w:spacing w:before="0" w:after="283"/>
              <w:rPr/>
            </w:pPr>
            <w:r>
              <w:rPr/>
              <w:t> </w:t>
            </w:r>
          </w:p>
        </w:tc>
      </w:tr>
      <w:tr>
        <w:trPr/>
        <w:tc>
          <w:tcPr>
            <w:tcW w:w="1365" w:type="dxa"/>
            <w:tcBorders/>
            <w:shd w:fill="auto" w:val="clear"/>
          </w:tcPr>
          <w:p>
            <w:pPr>
              <w:pStyle w:val="TableContents"/>
              <w:spacing w:before="0" w:after="0"/>
              <w:rPr>
                <w:rFonts w:ascii="Times New Roman" w:hAnsi="Times New Roman"/>
                <w:sz w:val="20"/>
              </w:rPr>
            </w:pPr>
            <w:r>
              <w:rPr>
                <w:rFonts w:ascii="Times New Roman" w:hAnsi="Times New Roman"/>
                <w:sz w:val="20"/>
              </w:rPr>
              <w:t>Section 11.3</w:t>
            </w:r>
          </w:p>
        </w:tc>
        <w:tc>
          <w:tcPr>
            <w:tcW w:w="85" w:type="dxa"/>
            <w:tcBorders/>
            <w:shd w:fill="auto" w:val="clear"/>
            <w:vAlign w:val="bottom"/>
          </w:tcPr>
          <w:p>
            <w:pPr>
              <w:pStyle w:val="TableContents"/>
              <w:spacing w:before="0" w:after="283"/>
              <w:rPr/>
            </w:pPr>
            <w:r>
              <w:rPr/>
              <w:t> </w:t>
            </w:r>
          </w:p>
        </w:tc>
        <w:tc>
          <w:tcPr>
            <w:tcW w:w="8035" w:type="dxa"/>
            <w:tcBorders/>
            <w:shd w:fill="auto" w:val="clear"/>
            <w:vAlign w:val="bottom"/>
          </w:tcPr>
          <w:p>
            <w:pPr>
              <w:pStyle w:val="TableContents"/>
              <w:spacing w:before="0" w:after="283"/>
              <w:rPr/>
            </w:pPr>
            <w:r>
              <w:rPr/>
              <w:t>Redemption of Securities for Sinking Fund</w:t>
            </w:r>
          </w:p>
        </w:tc>
        <w:tc>
          <w:tcPr>
            <w:tcW w:w="14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46</w:t>
            </w:r>
          </w:p>
        </w:tc>
        <w:tc>
          <w:tcPr>
            <w:tcW w:w="64"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BAKKT HOLDINGS, INC. </w:t>
      </w:r>
    </w:p>
    <w:p>
      <w:pPr>
        <w:pStyle w:val="TextBody"/>
        <w:spacing w:before="240" w:after="0"/>
        <w:jc w:val="center"/>
        <w:rPr>
          <w:rFonts w:ascii="Times New Roman" w:hAnsi="Times New Roman"/>
          <w:sz w:val="20"/>
        </w:rPr>
      </w:pPr>
      <w:r>
        <w:rPr>
          <w:rFonts w:ascii="Times New Roman" w:hAnsi="Times New Roman"/>
          <w:sz w:val="20"/>
        </w:rPr>
        <w:t xml:space="preserve">Reconciliation and tie between Trust Indenture Act of 1939 and Indenture, dated as of    , 20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369"/>
        <w:gridCol w:w="111"/>
        <w:gridCol w:w="3329"/>
        <w:gridCol w:w="124"/>
        <w:gridCol w:w="3272"/>
      </w:tblGrid>
      <w:tr>
        <w:trPr/>
        <w:tc>
          <w:tcPr>
            <w:tcW w:w="336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332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3272" w:type="dxa"/>
            <w:tcBorders/>
            <w:shd w:fill="auto" w:val="clear"/>
            <w:vAlign w:val="center"/>
          </w:tcPr>
          <w:p>
            <w:pPr>
              <w:pStyle w:val="TableContents"/>
              <w:spacing w:before="0" w:after="283"/>
              <w:rPr>
                <w:sz w:val="4"/>
                <w:szCs w:val="4"/>
              </w:rPr>
            </w:pPr>
            <w:r>
              <w:rPr>
                <w:sz w:val="4"/>
                <w:szCs w:val="4"/>
              </w:rPr>
            </w:r>
          </w:p>
        </w:tc>
      </w:tr>
      <w:tr>
        <w:trPr/>
        <w:tc>
          <w:tcPr>
            <w:tcW w:w="3369" w:type="dxa"/>
            <w:tcBorders/>
            <w:shd w:fill="auto" w:val="clear"/>
          </w:tcPr>
          <w:p>
            <w:pPr>
              <w:pStyle w:val="TableContents"/>
              <w:spacing w:before="0" w:after="283"/>
              <w:jc w:val="right"/>
              <w:rPr/>
            </w:pPr>
            <w:r>
              <w:rPr/>
              <w:t>§ 310(a)(1)</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7.10</w:t>
            </w:r>
          </w:p>
        </w:tc>
      </w:tr>
      <w:tr>
        <w:trPr/>
        <w:tc>
          <w:tcPr>
            <w:tcW w:w="3369" w:type="dxa"/>
            <w:tcBorders/>
            <w:shd w:fill="auto" w:val="clear"/>
          </w:tcPr>
          <w:p>
            <w:pPr>
              <w:pStyle w:val="TableContents"/>
              <w:spacing w:before="0" w:after="283"/>
              <w:jc w:val="right"/>
              <w:rPr/>
            </w:pPr>
            <w:r>
              <w:rPr/>
              <w:t>(a)(2)</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7.10</w:t>
            </w:r>
          </w:p>
        </w:tc>
      </w:tr>
      <w:tr>
        <w:trPr/>
        <w:tc>
          <w:tcPr>
            <w:tcW w:w="3369" w:type="dxa"/>
            <w:tcBorders/>
            <w:shd w:fill="auto" w:val="clear"/>
          </w:tcPr>
          <w:p>
            <w:pPr>
              <w:pStyle w:val="TableContents"/>
              <w:spacing w:before="0" w:after="283"/>
              <w:jc w:val="right"/>
              <w:rPr/>
            </w:pPr>
            <w:r>
              <w:rPr/>
              <w:t>(a)(3)</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Not Applicable</w:t>
            </w:r>
          </w:p>
        </w:tc>
      </w:tr>
      <w:tr>
        <w:trPr/>
        <w:tc>
          <w:tcPr>
            <w:tcW w:w="3369" w:type="dxa"/>
            <w:tcBorders/>
            <w:shd w:fill="auto" w:val="clear"/>
          </w:tcPr>
          <w:p>
            <w:pPr>
              <w:pStyle w:val="TableContents"/>
              <w:spacing w:before="0" w:after="283"/>
              <w:jc w:val="right"/>
              <w:rPr/>
            </w:pPr>
            <w:r>
              <w:rPr/>
              <w:t>(a)(4)</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Not Applicable</w:t>
            </w:r>
          </w:p>
        </w:tc>
      </w:tr>
      <w:tr>
        <w:trPr/>
        <w:tc>
          <w:tcPr>
            <w:tcW w:w="3369" w:type="dxa"/>
            <w:tcBorders/>
            <w:shd w:fill="auto" w:val="clear"/>
          </w:tcPr>
          <w:p>
            <w:pPr>
              <w:pStyle w:val="TableContents"/>
              <w:spacing w:before="0" w:after="283"/>
              <w:jc w:val="right"/>
              <w:rPr/>
            </w:pPr>
            <w:r>
              <w:rPr/>
              <w:t>(a)(5)</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7.10</w:t>
            </w:r>
          </w:p>
        </w:tc>
      </w:tr>
      <w:tr>
        <w:trPr/>
        <w:tc>
          <w:tcPr>
            <w:tcW w:w="3369" w:type="dxa"/>
            <w:tcBorders/>
            <w:shd w:fill="auto" w:val="clear"/>
          </w:tcPr>
          <w:p>
            <w:pPr>
              <w:pStyle w:val="TableContents"/>
              <w:spacing w:before="0" w:after="283"/>
              <w:jc w:val="right"/>
              <w:rPr/>
            </w:pPr>
            <w:r>
              <w:rPr/>
              <w:t>(b)</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7.10</w:t>
            </w:r>
          </w:p>
        </w:tc>
      </w:tr>
      <w:tr>
        <w:trPr/>
        <w:tc>
          <w:tcPr>
            <w:tcW w:w="3369" w:type="dxa"/>
            <w:tcBorders/>
            <w:shd w:fill="auto" w:val="clear"/>
          </w:tcPr>
          <w:p>
            <w:pPr>
              <w:pStyle w:val="TableContents"/>
              <w:spacing w:before="0" w:after="283"/>
              <w:jc w:val="right"/>
              <w:rPr/>
            </w:pPr>
            <w:r>
              <w:rPr/>
              <w:t>§ 311(a)</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7.11</w:t>
            </w:r>
          </w:p>
        </w:tc>
      </w:tr>
      <w:tr>
        <w:trPr/>
        <w:tc>
          <w:tcPr>
            <w:tcW w:w="3369" w:type="dxa"/>
            <w:tcBorders/>
            <w:shd w:fill="auto" w:val="clear"/>
          </w:tcPr>
          <w:p>
            <w:pPr>
              <w:pStyle w:val="TableContents"/>
              <w:spacing w:before="0" w:after="283"/>
              <w:jc w:val="right"/>
              <w:rPr/>
            </w:pPr>
            <w:r>
              <w:rPr/>
              <w:t>(b)</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7.11</w:t>
            </w:r>
          </w:p>
        </w:tc>
      </w:tr>
      <w:tr>
        <w:trPr/>
        <w:tc>
          <w:tcPr>
            <w:tcW w:w="3369" w:type="dxa"/>
            <w:tcBorders/>
            <w:shd w:fill="auto" w:val="clear"/>
          </w:tcPr>
          <w:p>
            <w:pPr>
              <w:pStyle w:val="TableContents"/>
              <w:spacing w:before="0" w:after="283"/>
              <w:jc w:val="right"/>
              <w:rPr/>
            </w:pPr>
            <w:r>
              <w:rPr/>
              <w:t>(c)</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Not Applicable</w:t>
            </w:r>
          </w:p>
        </w:tc>
      </w:tr>
      <w:tr>
        <w:trPr/>
        <w:tc>
          <w:tcPr>
            <w:tcW w:w="3369" w:type="dxa"/>
            <w:tcBorders/>
            <w:shd w:fill="auto" w:val="clear"/>
          </w:tcPr>
          <w:p>
            <w:pPr>
              <w:pStyle w:val="TableContents"/>
              <w:spacing w:before="0" w:after="283"/>
              <w:jc w:val="right"/>
              <w:rPr/>
            </w:pPr>
            <w:r>
              <w:rPr/>
              <w:t>§ 312(a)</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2.6</w:t>
            </w:r>
          </w:p>
        </w:tc>
      </w:tr>
      <w:tr>
        <w:trPr/>
        <w:tc>
          <w:tcPr>
            <w:tcW w:w="3369" w:type="dxa"/>
            <w:tcBorders/>
            <w:shd w:fill="auto" w:val="clear"/>
          </w:tcPr>
          <w:p>
            <w:pPr>
              <w:pStyle w:val="TableContents"/>
              <w:spacing w:before="0" w:after="283"/>
              <w:jc w:val="right"/>
              <w:rPr/>
            </w:pPr>
            <w:r>
              <w:rPr/>
              <w:t>(b)</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10.3</w:t>
            </w:r>
          </w:p>
        </w:tc>
      </w:tr>
      <w:tr>
        <w:trPr/>
        <w:tc>
          <w:tcPr>
            <w:tcW w:w="3369" w:type="dxa"/>
            <w:tcBorders/>
            <w:shd w:fill="auto" w:val="clear"/>
          </w:tcPr>
          <w:p>
            <w:pPr>
              <w:pStyle w:val="TableContents"/>
              <w:spacing w:before="0" w:after="283"/>
              <w:jc w:val="right"/>
              <w:rPr/>
            </w:pPr>
            <w:r>
              <w:rPr/>
              <w:t>(c)</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10.3</w:t>
            </w:r>
          </w:p>
        </w:tc>
      </w:tr>
      <w:tr>
        <w:trPr/>
        <w:tc>
          <w:tcPr>
            <w:tcW w:w="3369" w:type="dxa"/>
            <w:tcBorders/>
            <w:shd w:fill="auto" w:val="clear"/>
          </w:tcPr>
          <w:p>
            <w:pPr>
              <w:pStyle w:val="TableContents"/>
              <w:spacing w:before="0" w:after="283"/>
              <w:jc w:val="right"/>
              <w:rPr/>
            </w:pPr>
            <w:r>
              <w:rPr/>
              <w:t>§ 313(a)</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7.6</w:t>
            </w:r>
          </w:p>
        </w:tc>
      </w:tr>
      <w:tr>
        <w:trPr/>
        <w:tc>
          <w:tcPr>
            <w:tcW w:w="3369" w:type="dxa"/>
            <w:tcBorders/>
            <w:shd w:fill="auto" w:val="clear"/>
          </w:tcPr>
          <w:p>
            <w:pPr>
              <w:pStyle w:val="TableContents"/>
              <w:spacing w:before="0" w:after="283"/>
              <w:jc w:val="right"/>
              <w:rPr/>
            </w:pPr>
            <w:r>
              <w:rPr/>
              <w:t>(b)(1)</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7.6</w:t>
            </w:r>
          </w:p>
        </w:tc>
      </w:tr>
      <w:tr>
        <w:trPr/>
        <w:tc>
          <w:tcPr>
            <w:tcW w:w="3369" w:type="dxa"/>
            <w:tcBorders/>
            <w:shd w:fill="auto" w:val="clear"/>
          </w:tcPr>
          <w:p>
            <w:pPr>
              <w:pStyle w:val="TableContents"/>
              <w:spacing w:before="0" w:after="283"/>
              <w:jc w:val="right"/>
              <w:rPr/>
            </w:pPr>
            <w:r>
              <w:rPr/>
              <w:t>(b)(2)</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7.6</w:t>
            </w:r>
          </w:p>
        </w:tc>
      </w:tr>
      <w:tr>
        <w:trPr/>
        <w:tc>
          <w:tcPr>
            <w:tcW w:w="3369" w:type="dxa"/>
            <w:tcBorders/>
            <w:shd w:fill="auto" w:val="clear"/>
          </w:tcPr>
          <w:p>
            <w:pPr>
              <w:pStyle w:val="TableContents"/>
              <w:spacing w:before="0" w:after="283"/>
              <w:jc w:val="right"/>
              <w:rPr/>
            </w:pPr>
            <w:r>
              <w:rPr/>
              <w:t>(c)(1)</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7.6</w:t>
            </w:r>
          </w:p>
        </w:tc>
      </w:tr>
      <w:tr>
        <w:trPr/>
        <w:tc>
          <w:tcPr>
            <w:tcW w:w="3369" w:type="dxa"/>
            <w:tcBorders/>
            <w:shd w:fill="auto" w:val="clear"/>
          </w:tcPr>
          <w:p>
            <w:pPr>
              <w:pStyle w:val="TableContents"/>
              <w:spacing w:before="0" w:after="283"/>
              <w:jc w:val="right"/>
              <w:rPr/>
            </w:pPr>
            <w:r>
              <w:rPr/>
              <w:t>(d)</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7.6</w:t>
            </w:r>
          </w:p>
        </w:tc>
      </w:tr>
      <w:tr>
        <w:trPr/>
        <w:tc>
          <w:tcPr>
            <w:tcW w:w="3369" w:type="dxa"/>
            <w:tcBorders/>
            <w:shd w:fill="auto" w:val="clear"/>
          </w:tcPr>
          <w:p>
            <w:pPr>
              <w:pStyle w:val="TableContents"/>
              <w:spacing w:before="0" w:after="283"/>
              <w:jc w:val="right"/>
              <w:rPr/>
            </w:pPr>
            <w:r>
              <w:rPr/>
              <w:t>§ 314(a)</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4.2, 10.5</w:t>
            </w:r>
          </w:p>
        </w:tc>
      </w:tr>
      <w:tr>
        <w:trPr/>
        <w:tc>
          <w:tcPr>
            <w:tcW w:w="3369" w:type="dxa"/>
            <w:tcBorders/>
            <w:shd w:fill="auto" w:val="clear"/>
          </w:tcPr>
          <w:p>
            <w:pPr>
              <w:pStyle w:val="TableContents"/>
              <w:spacing w:before="0" w:after="283"/>
              <w:jc w:val="right"/>
              <w:rPr/>
            </w:pPr>
            <w:r>
              <w:rPr/>
              <w:t>(b)</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Not Applicable</w:t>
            </w:r>
          </w:p>
        </w:tc>
      </w:tr>
      <w:tr>
        <w:trPr/>
        <w:tc>
          <w:tcPr>
            <w:tcW w:w="3369" w:type="dxa"/>
            <w:tcBorders/>
            <w:shd w:fill="auto" w:val="clear"/>
          </w:tcPr>
          <w:p>
            <w:pPr>
              <w:pStyle w:val="TableContents"/>
              <w:spacing w:before="0" w:after="283"/>
              <w:jc w:val="right"/>
              <w:rPr/>
            </w:pPr>
            <w:r>
              <w:rPr/>
              <w:t>(c)(1)</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10.4</w:t>
            </w:r>
          </w:p>
        </w:tc>
      </w:tr>
      <w:tr>
        <w:trPr/>
        <w:tc>
          <w:tcPr>
            <w:tcW w:w="3369" w:type="dxa"/>
            <w:tcBorders/>
            <w:shd w:fill="auto" w:val="clear"/>
          </w:tcPr>
          <w:p>
            <w:pPr>
              <w:pStyle w:val="TableContents"/>
              <w:spacing w:before="0" w:after="283"/>
              <w:jc w:val="right"/>
              <w:rPr/>
            </w:pPr>
            <w:r>
              <w:rPr/>
              <w:t>(c)(2)</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10.4</w:t>
            </w:r>
          </w:p>
        </w:tc>
      </w:tr>
      <w:tr>
        <w:trPr/>
        <w:tc>
          <w:tcPr>
            <w:tcW w:w="3369" w:type="dxa"/>
            <w:tcBorders/>
            <w:shd w:fill="auto" w:val="clear"/>
          </w:tcPr>
          <w:p>
            <w:pPr>
              <w:pStyle w:val="TableContents"/>
              <w:spacing w:before="0" w:after="283"/>
              <w:jc w:val="right"/>
              <w:rPr/>
            </w:pPr>
            <w:r>
              <w:rPr/>
              <w:t>(c)(3)</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Not Applicable</w:t>
            </w:r>
          </w:p>
        </w:tc>
      </w:tr>
      <w:tr>
        <w:trPr/>
        <w:tc>
          <w:tcPr>
            <w:tcW w:w="3369" w:type="dxa"/>
            <w:tcBorders/>
            <w:shd w:fill="auto" w:val="clear"/>
          </w:tcPr>
          <w:p>
            <w:pPr>
              <w:pStyle w:val="TableContents"/>
              <w:spacing w:before="0" w:after="283"/>
              <w:jc w:val="right"/>
              <w:rPr/>
            </w:pPr>
            <w:r>
              <w:rPr/>
              <w:t>(d)</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Not Applicable</w:t>
            </w:r>
          </w:p>
        </w:tc>
      </w:tr>
      <w:tr>
        <w:trPr/>
        <w:tc>
          <w:tcPr>
            <w:tcW w:w="3369" w:type="dxa"/>
            <w:tcBorders/>
            <w:shd w:fill="auto" w:val="clear"/>
          </w:tcPr>
          <w:p>
            <w:pPr>
              <w:pStyle w:val="TableContents"/>
              <w:spacing w:before="0" w:after="283"/>
              <w:jc w:val="right"/>
              <w:rPr/>
            </w:pPr>
            <w:r>
              <w:rPr/>
              <w:t>(e)</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10.5</w:t>
            </w:r>
          </w:p>
        </w:tc>
      </w:tr>
      <w:tr>
        <w:trPr/>
        <w:tc>
          <w:tcPr>
            <w:tcW w:w="3369" w:type="dxa"/>
            <w:tcBorders/>
            <w:shd w:fill="auto" w:val="clear"/>
          </w:tcPr>
          <w:p>
            <w:pPr>
              <w:pStyle w:val="TableContents"/>
              <w:spacing w:before="0" w:after="283"/>
              <w:jc w:val="right"/>
              <w:rPr/>
            </w:pPr>
            <w:r>
              <w:rPr/>
              <w:t>(f)</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Not Applicable</w:t>
            </w:r>
          </w:p>
        </w:tc>
      </w:tr>
      <w:tr>
        <w:trPr/>
        <w:tc>
          <w:tcPr>
            <w:tcW w:w="3369" w:type="dxa"/>
            <w:tcBorders/>
            <w:shd w:fill="auto" w:val="clear"/>
          </w:tcPr>
          <w:p>
            <w:pPr>
              <w:pStyle w:val="TableContents"/>
              <w:spacing w:before="0" w:after="283"/>
              <w:jc w:val="right"/>
              <w:rPr/>
            </w:pPr>
            <w:r>
              <w:rPr/>
              <w:t>§ 315(a)</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7.1</w:t>
            </w:r>
          </w:p>
        </w:tc>
      </w:tr>
      <w:tr>
        <w:trPr/>
        <w:tc>
          <w:tcPr>
            <w:tcW w:w="3369" w:type="dxa"/>
            <w:tcBorders/>
            <w:shd w:fill="auto" w:val="clear"/>
          </w:tcPr>
          <w:p>
            <w:pPr>
              <w:pStyle w:val="TableContents"/>
              <w:spacing w:before="0" w:after="283"/>
              <w:jc w:val="right"/>
              <w:rPr/>
            </w:pPr>
            <w:r>
              <w:rPr/>
              <w:t>(b)</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7.5</w:t>
            </w:r>
          </w:p>
        </w:tc>
      </w:tr>
      <w:tr>
        <w:trPr/>
        <w:tc>
          <w:tcPr>
            <w:tcW w:w="3369" w:type="dxa"/>
            <w:tcBorders/>
            <w:shd w:fill="auto" w:val="clear"/>
          </w:tcPr>
          <w:p>
            <w:pPr>
              <w:pStyle w:val="TableContents"/>
              <w:spacing w:before="0" w:after="283"/>
              <w:jc w:val="right"/>
              <w:rPr/>
            </w:pPr>
            <w:r>
              <w:rPr/>
              <w:t>(c)</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7.1</w:t>
            </w:r>
          </w:p>
        </w:tc>
      </w:tr>
      <w:tr>
        <w:trPr/>
        <w:tc>
          <w:tcPr>
            <w:tcW w:w="3369" w:type="dxa"/>
            <w:tcBorders/>
            <w:shd w:fill="auto" w:val="clear"/>
          </w:tcPr>
          <w:p>
            <w:pPr>
              <w:pStyle w:val="TableContents"/>
              <w:spacing w:before="0" w:after="283"/>
              <w:jc w:val="right"/>
              <w:rPr/>
            </w:pPr>
            <w:r>
              <w:rPr/>
              <w:t>(d)</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7.1</w:t>
            </w:r>
          </w:p>
        </w:tc>
      </w:tr>
      <w:tr>
        <w:trPr/>
        <w:tc>
          <w:tcPr>
            <w:tcW w:w="3369" w:type="dxa"/>
            <w:tcBorders/>
            <w:shd w:fill="auto" w:val="clear"/>
          </w:tcPr>
          <w:p>
            <w:pPr>
              <w:pStyle w:val="TableContents"/>
              <w:spacing w:before="0" w:after="283"/>
              <w:jc w:val="right"/>
              <w:rPr/>
            </w:pPr>
            <w:r>
              <w:rPr/>
              <w:t>(e)</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6.14</w:t>
            </w:r>
          </w:p>
        </w:tc>
      </w:tr>
      <w:tr>
        <w:trPr/>
        <w:tc>
          <w:tcPr>
            <w:tcW w:w="3369" w:type="dxa"/>
            <w:tcBorders/>
            <w:shd w:fill="auto" w:val="clear"/>
          </w:tcPr>
          <w:p>
            <w:pPr>
              <w:pStyle w:val="TableContents"/>
              <w:spacing w:before="0" w:after="283"/>
              <w:jc w:val="right"/>
              <w:rPr/>
            </w:pPr>
            <w:r>
              <w:rPr/>
              <w:t>§ 316(a)</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2.10</w:t>
            </w:r>
          </w:p>
        </w:tc>
      </w:tr>
      <w:tr>
        <w:trPr/>
        <w:tc>
          <w:tcPr>
            <w:tcW w:w="3369" w:type="dxa"/>
            <w:tcBorders/>
            <w:shd w:fill="auto" w:val="clear"/>
          </w:tcPr>
          <w:p>
            <w:pPr>
              <w:pStyle w:val="TableContents"/>
              <w:spacing w:before="0" w:after="283"/>
              <w:jc w:val="right"/>
              <w:rPr/>
            </w:pPr>
            <w:r>
              <w:rPr/>
              <w:t>(a)(1)(A)</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6.12</w:t>
            </w:r>
          </w:p>
        </w:tc>
      </w:tr>
      <w:tr>
        <w:trPr/>
        <w:tc>
          <w:tcPr>
            <w:tcW w:w="3369" w:type="dxa"/>
            <w:tcBorders/>
            <w:shd w:fill="auto" w:val="clear"/>
          </w:tcPr>
          <w:p>
            <w:pPr>
              <w:pStyle w:val="TableContents"/>
              <w:spacing w:before="0" w:after="283"/>
              <w:jc w:val="right"/>
              <w:rPr/>
            </w:pPr>
            <w:r>
              <w:rPr/>
              <w:t>(a)(1)(B)</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6.13</w:t>
            </w:r>
          </w:p>
        </w:tc>
      </w:tr>
      <w:tr>
        <w:trPr/>
        <w:tc>
          <w:tcPr>
            <w:tcW w:w="3369" w:type="dxa"/>
            <w:tcBorders/>
            <w:shd w:fill="auto" w:val="clear"/>
          </w:tcPr>
          <w:p>
            <w:pPr>
              <w:pStyle w:val="TableContents"/>
              <w:spacing w:before="0" w:after="283"/>
              <w:jc w:val="right"/>
              <w:rPr/>
            </w:pPr>
            <w:r>
              <w:rPr/>
              <w:t>(b)</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6.8</w:t>
            </w:r>
          </w:p>
        </w:tc>
      </w:tr>
      <w:tr>
        <w:trPr/>
        <w:tc>
          <w:tcPr>
            <w:tcW w:w="3369" w:type="dxa"/>
            <w:tcBorders/>
            <w:shd w:fill="auto" w:val="clear"/>
          </w:tcPr>
          <w:p>
            <w:pPr>
              <w:pStyle w:val="TableContents"/>
              <w:spacing w:before="0" w:after="283"/>
              <w:jc w:val="right"/>
              <w:rPr/>
            </w:pPr>
            <w:r>
              <w:rPr/>
              <w:t>§ 317(a)(1)</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6.3</w:t>
            </w:r>
          </w:p>
        </w:tc>
      </w:tr>
      <w:tr>
        <w:trPr/>
        <w:tc>
          <w:tcPr>
            <w:tcW w:w="3369" w:type="dxa"/>
            <w:tcBorders/>
            <w:shd w:fill="auto" w:val="clear"/>
          </w:tcPr>
          <w:p>
            <w:pPr>
              <w:pStyle w:val="TableContents"/>
              <w:spacing w:before="0" w:after="283"/>
              <w:jc w:val="right"/>
              <w:rPr/>
            </w:pPr>
            <w:r>
              <w:rPr/>
              <w:t>(a)(2)</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6.4</w:t>
            </w:r>
          </w:p>
        </w:tc>
      </w:tr>
      <w:tr>
        <w:trPr/>
        <w:tc>
          <w:tcPr>
            <w:tcW w:w="3369" w:type="dxa"/>
            <w:tcBorders/>
            <w:shd w:fill="auto" w:val="clear"/>
          </w:tcPr>
          <w:p>
            <w:pPr>
              <w:pStyle w:val="TableContents"/>
              <w:spacing w:before="0" w:after="283"/>
              <w:jc w:val="right"/>
              <w:rPr/>
            </w:pPr>
            <w:r>
              <w:rPr/>
              <w:t>(b)</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2.5</w:t>
            </w:r>
          </w:p>
        </w:tc>
      </w:tr>
      <w:tr>
        <w:trPr/>
        <w:tc>
          <w:tcPr>
            <w:tcW w:w="3369" w:type="dxa"/>
            <w:tcBorders/>
            <w:shd w:fill="auto" w:val="clear"/>
          </w:tcPr>
          <w:p>
            <w:pPr>
              <w:pStyle w:val="TableContents"/>
              <w:spacing w:before="0" w:after="283"/>
              <w:jc w:val="right"/>
              <w:rPr/>
            </w:pPr>
            <w:r>
              <w:rPr/>
              <w:t>§ 318(a)</w:t>
            </w:r>
          </w:p>
        </w:tc>
        <w:tc>
          <w:tcPr>
            <w:tcW w:w="111" w:type="dxa"/>
            <w:tcBorders/>
            <w:shd w:fill="auto" w:val="clear"/>
            <w:vAlign w:val="bottom"/>
          </w:tcPr>
          <w:p>
            <w:pPr>
              <w:pStyle w:val="TableContents"/>
              <w:spacing w:before="0" w:after="283"/>
              <w:rPr/>
            </w:pPr>
            <w:r>
              <w:rPr/>
              <w:t> </w:t>
            </w:r>
          </w:p>
        </w:tc>
        <w:tc>
          <w:tcPr>
            <w:tcW w:w="3329"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72" w:type="dxa"/>
            <w:tcBorders/>
            <w:shd w:fill="auto" w:val="clear"/>
          </w:tcPr>
          <w:p>
            <w:pPr>
              <w:pStyle w:val="TableContents"/>
              <w:spacing w:before="0" w:after="283"/>
              <w:rPr/>
            </w:pPr>
            <w:r>
              <w:rPr/>
              <w:t>10.1</w:t>
            </w:r>
          </w:p>
        </w:tc>
      </w:tr>
    </w:tbl>
    <w:p>
      <w:pPr>
        <w:pStyle w:val="TextBody"/>
        <w:pBdr>
          <w:bottom w:val="single" w:sz="2" w:space="1" w:color="000000"/>
        </w:pBdr>
        <w:spacing w:lineRule="atLeast" w:line="160" w:before="0" w:after="4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Note: This reconciliation and tie shall not, for any purpose, be deemed to be part of the Indenture.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Indenture dated as of , 20 between Bakkt Holdings, Inc., a company incorporated under the laws of Delaware (the </w:t>
      </w:r>
      <w:r>
        <w:rPr>
          <w:rFonts w:ascii="Times New Roman" w:hAnsi="Times New Roman"/>
          <w:i/>
          <w:sz w:val="20"/>
        </w:rPr>
        <w:t>Company</w:t>
      </w:r>
      <w:r>
        <w:rPr>
          <w:rFonts w:ascii="Times New Roman" w:hAnsi="Times New Roman"/>
          <w:sz w:val="20"/>
        </w:rPr>
        <w:t>), and [__________], a national banking association organized under the laws of the United States, as trustee (the </w:t>
      </w:r>
      <w:r>
        <w:rPr>
          <w:rFonts w:ascii="Times New Roman" w:hAnsi="Times New Roman"/>
          <w:i/>
          <w:sz w:val="20"/>
        </w:rPr>
        <w:t>Trustee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Each party agrees as follows for the benefit of the other party and for the equal and ratable benefit of the Holders of the Securities issued under this Indenture. </w:t>
      </w:r>
    </w:p>
    <w:p>
      <w:pPr>
        <w:pStyle w:val="TextBody"/>
        <w:spacing w:before="480" w:after="0"/>
        <w:jc w:val="center"/>
        <w:rPr>
          <w:rFonts w:ascii="Times New Roman" w:hAnsi="Times New Roman"/>
          <w:b/>
          <w:sz w:val="20"/>
        </w:rPr>
      </w:pPr>
      <w:r>
        <w:rPr>
          <w:rFonts w:ascii="Times New Roman" w:hAnsi="Times New Roman"/>
          <w:b/>
          <w:sz w:val="20"/>
        </w:rPr>
        <w:t xml:space="preserve">ARTICLE I </w:t>
      </w:r>
    </w:p>
    <w:p>
      <w:pPr>
        <w:pStyle w:val="TextBody"/>
        <w:spacing w:before="0" w:after="0"/>
        <w:jc w:val="center"/>
        <w:rPr>
          <w:rFonts w:ascii="Times New Roman" w:hAnsi="Times New Roman"/>
          <w:b/>
          <w:sz w:val="20"/>
        </w:rPr>
      </w:pPr>
      <w:r>
        <w:rPr>
          <w:rFonts w:ascii="Times New Roman" w:hAnsi="Times New Roman"/>
          <w:b/>
          <w:sz w:val="20"/>
        </w:rPr>
        <w:t xml:space="preserve">DEFINITIONS AND INCORPORATION BY REFERENCE </w:t>
      </w:r>
    </w:p>
    <w:p>
      <w:pPr>
        <w:pStyle w:val="TextBody"/>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Additional Amounts</w:t>
      </w:r>
      <w:r>
        <w:rPr>
          <w:rFonts w:ascii="Times New Roman" w:hAnsi="Times New Roman"/>
          <w:sz w:val="20"/>
        </w:rPr>
        <w:t xml:space="preserve"> means any additional amounts which are required hereby or by any Security, under circumstances specified herein or therein, to be paid by the Company in respect of certain taxes imposed on Holders specified herein or therein and which are owing to such Holders.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Affiliate</w:t>
      </w:r>
      <w:r>
        <w:rPr>
          <w:rFonts w:ascii="Times New Roman" w:hAnsi="Times New Roman"/>
          <w:sz w:val="20"/>
        </w:rPr>
        <w:t xml:space="preserve">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Agent</w:t>
      </w:r>
      <w:r>
        <w:rPr>
          <w:rFonts w:ascii="Times New Roman" w:hAnsi="Times New Roman"/>
          <w:sz w:val="20"/>
        </w:rPr>
        <w:t xml:space="preserve"> means any Registrar, Paying Agent or Notice Agent.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Board of Directors</w:t>
      </w:r>
      <w:r>
        <w:rPr>
          <w:rFonts w:ascii="Times New Roman" w:hAnsi="Times New Roman"/>
          <w:sz w:val="20"/>
        </w:rPr>
        <w:t xml:space="preserve"> means the board of directors of the Company or any duly authorized committee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Board Resolution</w:t>
      </w:r>
      <w:r>
        <w:rPr>
          <w:rFonts w:ascii="Times New Roman" w:hAnsi="Times New Roman"/>
          <w:sz w:val="20"/>
        </w:rPr>
        <w:t xml:space="preserve">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Business Day</w:t>
      </w:r>
      <w:r>
        <w:rPr>
          <w:rFonts w:ascii="Times New Roman" w:hAnsi="Times New Roman"/>
          <w:sz w:val="20"/>
        </w:rPr>
        <w:t xml:space="preserve"> means, any day except a Saturday, Sunday or a Legal Holiday in The City of New York, New York (or in connection with any payment, the place of payment) on which banking institutions are authorized or required by law, regulation or executive order to close.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Capital Stock</w:t>
      </w:r>
      <w:r>
        <w:rPr>
          <w:rFonts w:ascii="Times New Roman" w:hAnsi="Times New Roman"/>
          <w:sz w:val="20"/>
        </w:rPr>
        <w:t xml:space="preserve"> means any and all shares, interests, participations, rights or other equivalents (however designated) of corporate stock.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Company</w:t>
      </w:r>
      <w:r>
        <w:rPr>
          <w:rFonts w:ascii="Times New Roman" w:hAnsi="Times New Roman"/>
          <w:sz w:val="20"/>
        </w:rPr>
        <w:t xml:space="preserve"> means the party named as such above until a successor replaces it and thereafter means the successor.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Company Order</w:t>
      </w:r>
      <w:r>
        <w:rPr>
          <w:rFonts w:ascii="Times New Roman" w:hAnsi="Times New Roman"/>
          <w:sz w:val="20"/>
        </w:rPr>
        <w:t xml:space="preserve"> means a written order signed in the name of the Company by an Officer.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Corporate Trust Office</w:t>
      </w:r>
      <w:r>
        <w:rPr>
          <w:rFonts w:ascii="Times New Roman" w:hAnsi="Times New Roman"/>
          <w:sz w:val="20"/>
        </w:rPr>
        <w:t xml:space="preserve"> means the principal office of the Trustee at which at any time this Indenture shall be administered, which office as of the date hereof is located at the address specified in Section 10.2. With respect to presentation for transfer or exchange, conversions or principal payment, such address shall be at the address specified in Section 10.2,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Default</w:t>
      </w:r>
      <w:r>
        <w:rPr>
          <w:rFonts w:ascii="Times New Roman" w:hAnsi="Times New Roman"/>
          <w:sz w:val="20"/>
        </w:rPr>
        <w:t xml:space="preserve"> means any event which is, or after notice or passage of time or both would be, an Event of Default.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Depositary</w:t>
      </w:r>
      <w:r>
        <w:rPr>
          <w:rFonts w:ascii="Times New Roman" w:hAnsi="Times New Roman"/>
          <w:sz w:val="20"/>
        </w:rPr>
        <w:t xml:space="preserve">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Discount Security</w:t>
      </w:r>
      <w:r>
        <w:rPr>
          <w:rFonts w:ascii="Times New Roman" w:hAnsi="Times New Roman"/>
          <w:sz w:val="20"/>
        </w:rPr>
        <w:t xml:space="preserve"> means any Security that provides for an amount less than the stated principal amount thereof to be due and payable upon declaration of acceleration of the maturity thereof pursuant to Section 6.2.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Dollars</w:t>
      </w:r>
      <w:r>
        <w:rPr>
          <w:rFonts w:ascii="Times New Roman" w:hAnsi="Times New Roman"/>
          <w:sz w:val="20"/>
        </w:rPr>
        <w:t> and </w:t>
      </w:r>
      <w:r>
        <w:rPr>
          <w:rFonts w:ascii="Times New Roman" w:hAnsi="Times New Roman"/>
          <w:i/>
          <w:sz w:val="20"/>
        </w:rPr>
        <w:t>$</w:t>
      </w:r>
      <w:r>
        <w:rPr>
          <w:rFonts w:ascii="Times New Roman" w:hAnsi="Times New Roman"/>
          <w:sz w:val="20"/>
        </w:rPr>
        <w:t xml:space="preserve"> means the currency of The United States of America.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Foreign Currency</w:t>
      </w:r>
      <w:r>
        <w:rPr>
          <w:rFonts w:ascii="Times New Roman" w:hAnsi="Times New Roman"/>
          <w:sz w:val="20"/>
        </w:rPr>
        <w:t xml:space="preserve"> means any currency or currency unit issued by a government other than the government of The United States of America.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Foreign Government Obligations</w:t>
      </w:r>
      <w:r>
        <w:rPr>
          <w:rFonts w:ascii="Times New Roman" w:hAnsi="Times New Roman"/>
          <w:sz w:val="20"/>
        </w:rPr>
        <w:t xml:space="preserve">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 </w:t>
      </w:r>
    </w:p>
    <w:p>
      <w:pPr>
        <w:pStyle w:val="TextBody"/>
        <w:spacing w:before="240" w:after="0"/>
        <w:jc w:val="left"/>
        <w:rPr>
          <w:rFonts w:ascii="Times New Roman" w:hAnsi="Times New Roman"/>
          <w:sz w:val="20"/>
        </w:rPr>
      </w:pPr>
      <w:r>
        <w:rPr>
          <w:rFonts w:ascii="Times New Roman" w:hAnsi="Times New Roman"/>
          <w:i/>
          <w:sz w:val="20"/>
        </w:rPr>
        <w:t>GAAP</w:t>
      </w:r>
      <w:r>
        <w:rPr>
          <w:rFonts w:ascii="Times New Roman" w:hAnsi="Times New Roman"/>
          <w:sz w:val="20"/>
        </w:rPr>
        <w:t xml:space="preserve">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Global Security</w:t>
      </w:r>
      <w:r>
        <w:rPr>
          <w:rFonts w:ascii="Times New Roman" w:hAnsi="Times New Roman"/>
          <w:sz w:val="20"/>
        </w:rPr>
        <w:t> or </w:t>
      </w:r>
      <w:r>
        <w:rPr>
          <w:rFonts w:ascii="Times New Roman" w:hAnsi="Times New Roman"/>
          <w:i/>
          <w:sz w:val="20"/>
        </w:rPr>
        <w:t>Global Securities</w:t>
      </w:r>
      <w:r>
        <w:rPr>
          <w:rFonts w:ascii="Times New Roman" w:hAnsi="Times New Roman"/>
          <w:sz w:val="20"/>
        </w:rPr>
        <w:t xml:space="preserve"> means a Security or Securities, as the case may be, in the form established pursuant to Section 2.2 evidencing all or part of a Series of Securities, issued to the Depositary for such Series or its nominee, and registered in the name of such Depositary or nominee.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Holder</w:t>
      </w:r>
      <w:r>
        <w:rPr>
          <w:rFonts w:ascii="Times New Roman" w:hAnsi="Times New Roman"/>
          <w:sz w:val="20"/>
        </w:rPr>
        <w:t> or </w:t>
      </w:r>
      <w:r>
        <w:rPr>
          <w:rFonts w:ascii="Times New Roman" w:hAnsi="Times New Roman"/>
          <w:i/>
          <w:sz w:val="20"/>
        </w:rPr>
        <w:t>Securityholder</w:t>
      </w:r>
      <w:r>
        <w:rPr>
          <w:rFonts w:ascii="Times New Roman" w:hAnsi="Times New Roman"/>
          <w:sz w:val="20"/>
        </w:rPr>
        <w:t xml:space="preserve"> means a person in whose name a Security is registered on the books of the Registrar.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Indenture</w:t>
      </w:r>
      <w:r>
        <w:rPr>
          <w:rFonts w:ascii="Times New Roman" w:hAnsi="Times New Roman"/>
          <w:sz w:val="20"/>
        </w:rPr>
        <w:t xml:space="preserve"> means this Indenture as amended or supplemented from time to time and shall include the form and terms of particular Series of Securities established as contemplated hereunder.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interest</w:t>
      </w:r>
      <w:r>
        <w:rPr>
          <w:rFonts w:ascii="Times New Roman" w:hAnsi="Times New Roman"/>
          <w:sz w:val="20"/>
        </w:rPr>
        <w:t xml:space="preserve"> with respect to any Discount Security which by its terms bears interest only after Maturity, means interest payable after Maturity.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Maturity</w:t>
      </w:r>
      <w:r>
        <w:rPr>
          <w:rFonts w:ascii="Times New Roman" w:hAnsi="Times New Roman"/>
          <w:sz w:val="20"/>
        </w:rPr>
        <w:t xml:space="preserve">, when used with respect to any Security, means the date on which the principal of such Security becomes due and payable as therein or herein provided, whether at the Stated Maturity or by declaration of acceleration, call for redemption or otherwise.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Officer</w:t>
      </w:r>
      <w:r>
        <w:rPr>
          <w:rFonts w:ascii="Times New Roman" w:hAnsi="Times New Roman"/>
          <w:sz w:val="20"/>
        </w:rPr>
        <w:t xml:space="preserve"> means the Chief Executive Officer, President, the Chief Financial Officer, the Treasurer or any Assistant Treasurer, the Secretary or any Assistant Secretary, and any Vice President of the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Officers Certificate</w:t>
      </w:r>
      <w:r>
        <w:rPr>
          <w:rFonts w:ascii="Times New Roman" w:hAnsi="Times New Roman"/>
          <w:sz w:val="20"/>
        </w:rPr>
        <w:t xml:space="preserve"> means a certificate signed by any Officer that meets the requirements of Section 10.5.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Opinion of Counsel</w:t>
      </w:r>
      <w:r>
        <w:rPr>
          <w:rFonts w:ascii="Times New Roman" w:hAnsi="Times New Roman"/>
          <w:sz w:val="20"/>
        </w:rPr>
        <w:t xml:space="preserve"> means a written opinion of legal counsel who is acceptable to the Trustee. The opinion may contain customary limitations, qualifications, conditions and exceptions. The counsel may be an employee of or counsel to the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person</w:t>
      </w:r>
      <w:r>
        <w:rPr>
          <w:rFonts w:ascii="Times New Roman" w:hAnsi="Times New Roman"/>
          <w:sz w:val="20"/>
        </w:rPr>
        <w:t xml:space="preserve"> means any individual, corporation, partnership, joint venture, association, limited liability company, joint-stock company, trust, unincorporated organization or government or any agency or political subdivision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principal</w:t>
      </w:r>
      <w:r>
        <w:rPr>
          <w:rFonts w:ascii="Times New Roman" w:hAnsi="Times New Roman"/>
          <w:sz w:val="20"/>
        </w:rPr>
        <w:t xml:space="preserve"> of a Security means the principal of the Security plus, when appropriate, the premium, if any, on, and any Additional Amounts in respect of, the Security.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Responsible Officer</w:t>
      </w:r>
      <w:r>
        <w:rPr>
          <w:rFonts w:ascii="Times New Roman" w:hAnsi="Times New Roman"/>
          <w:sz w:val="20"/>
        </w:rPr>
        <w:t xml:space="preserve"> 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SEC</w:t>
      </w:r>
      <w:r>
        <w:rPr>
          <w:rFonts w:ascii="Times New Roman" w:hAnsi="Times New Roman"/>
          <w:sz w:val="20"/>
        </w:rPr>
        <w:t xml:space="preserve"> means the Securities and Exchange Commission.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Securities</w:t>
      </w:r>
      <w:r>
        <w:rPr>
          <w:rFonts w:ascii="Times New Roman" w:hAnsi="Times New Roman"/>
          <w:sz w:val="20"/>
        </w:rPr>
        <w:t xml:space="preserve"> means the debentures, notes or other debt instruments of the Company of any Series authenticated and delivered under this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Series</w:t>
      </w:r>
      <w:r>
        <w:rPr>
          <w:rFonts w:ascii="Times New Roman" w:hAnsi="Times New Roman"/>
          <w:sz w:val="20"/>
        </w:rPr>
        <w:t> or </w:t>
      </w:r>
      <w:r>
        <w:rPr>
          <w:rFonts w:ascii="Times New Roman" w:hAnsi="Times New Roman"/>
          <w:i/>
          <w:sz w:val="20"/>
        </w:rPr>
        <w:t>Series of Securities</w:t>
      </w:r>
      <w:r>
        <w:rPr>
          <w:rFonts w:ascii="Times New Roman" w:hAnsi="Times New Roman"/>
          <w:sz w:val="20"/>
        </w:rPr>
        <w:t xml:space="preserve"> means each series of debentures, notes or other debt instruments of the Company created pursuant to Sections 2.1 and 2.2 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Stated Maturity</w:t>
      </w:r>
      <w:r>
        <w:rPr>
          <w:rFonts w:ascii="Times New Roman" w:hAnsi="Times New Roman"/>
          <w:sz w:val="20"/>
        </w:rPr>
        <w:t xml:space="preserve"> when used with respect to any Security, means the date specified in such Security as the fixed date on which the principal of such Security or interest is due and payable.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Subsidiary</w:t>
      </w:r>
      <w:r>
        <w:rPr>
          <w:rFonts w:ascii="Times New Roman" w:hAnsi="Times New Roman"/>
          <w:sz w:val="20"/>
        </w:rPr>
        <w:t xml:space="preserve">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TIA</w:t>
      </w:r>
      <w:r>
        <w:rPr>
          <w:rFonts w:ascii="Times New Roman" w:hAnsi="Times New Roman"/>
          <w:sz w:val="20"/>
        </w:rPr>
        <w:t xml:space="preserve"> means the Trust Indenture Act of 1939 (15 U.S. Code §§ 77aaa-77bbbb) as in effect on the date of this Indenture;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the Trust Indenture Act of 1939 is amended after such date, TIA means, to the extent required by any such amendment, the Trust Indenture Act as so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Trustee</w:t>
      </w:r>
      <w:r>
        <w:rPr>
          <w:rFonts w:ascii="Times New Roman" w:hAnsi="Times New Roman"/>
          <w:sz w:val="20"/>
        </w:rPr>
        <w:t xml:space="preserv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U.S. Government Obligations</w:t>
      </w:r>
      <w:r>
        <w:rPr>
          <w:rFonts w:ascii="Times New Roman" w:hAnsi="Times New Roman"/>
          <w:sz w:val="20"/>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hAnsi="Times New Roman"/>
          <w:i/>
          <w:sz w:val="20"/>
        </w:rPr>
        <w:t>provided</w:t>
      </w:r>
      <w:r>
        <w:rPr>
          <w:rFonts w:ascii="Times New Roman" w:hAnsi="Times New Roman"/>
          <w:sz w:val="20"/>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 </w:t>
      </w:r>
    </w:p>
    <w:p>
      <w:pPr>
        <w:pStyle w:val="TextBody"/>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Other Definitions</w:t>
      </w:r>
      <w:r>
        <w:rPr>
          <w:rFonts w:ascii="Times New Roman" w:hAnsi="Times New Roman"/>
          <w:sz w:val="20"/>
        </w:rPr>
        <w:t xml:space="preserve">.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671"/>
        <w:gridCol w:w="770"/>
        <w:gridCol w:w="2498"/>
      </w:tblGrid>
      <w:tr>
        <w:trPr/>
        <w:tc>
          <w:tcPr>
            <w:tcW w:w="3671"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bottom"/>
          </w:tcPr>
          <w:p>
            <w:pPr>
              <w:pStyle w:val="TableContents"/>
              <w:spacing w:before="0" w:after="283"/>
              <w:rPr>
                <w:sz w:val="4"/>
                <w:szCs w:val="4"/>
              </w:rPr>
            </w:pPr>
            <w:r>
              <w:rPr>
                <w:sz w:val="4"/>
                <w:szCs w:val="4"/>
              </w:rPr>
            </w:r>
          </w:p>
        </w:tc>
        <w:tc>
          <w:tcPr>
            <w:tcW w:w="2498" w:type="dxa"/>
            <w:tcBorders/>
            <w:shd w:fill="auto" w:val="clear"/>
            <w:vAlign w:val="center"/>
          </w:tcPr>
          <w:p>
            <w:pPr>
              <w:pStyle w:val="TableContents"/>
              <w:spacing w:before="0" w:after="283"/>
              <w:rPr>
                <w:sz w:val="4"/>
                <w:szCs w:val="4"/>
              </w:rPr>
            </w:pPr>
            <w:r>
              <w:rPr>
                <w:sz w:val="4"/>
                <w:szCs w:val="4"/>
              </w:rPr>
            </w:r>
          </w:p>
        </w:tc>
      </w:tr>
      <w:tr>
        <w:trPr/>
        <w:tc>
          <w:tcPr>
            <w:tcW w:w="3671" w:type="dxa"/>
            <w:tcBorders/>
            <w:shd w:fill="auto" w:val="clear"/>
            <w:vAlign w:val="bottom"/>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TERM</w:t>
            </w:r>
          </w:p>
        </w:tc>
        <w:tc>
          <w:tcPr>
            <w:tcW w:w="770" w:type="dxa"/>
            <w:tcBorders/>
            <w:shd w:fill="auto" w:val="clear"/>
            <w:vAlign w:val="bottom"/>
          </w:tcPr>
          <w:p>
            <w:pPr>
              <w:pStyle w:val="TableContents"/>
              <w:spacing w:before="0" w:after="283"/>
              <w:rPr/>
            </w:pPr>
            <w:r>
              <w:rPr/>
              <w:t>  </w:t>
            </w:r>
          </w:p>
        </w:tc>
        <w:tc>
          <w:tcPr>
            <w:tcW w:w="2498" w:type="dxa"/>
            <w:tcBorders>
              <w:bottom w:val="single" w:sz="8" w:space="0" w:color="000000"/>
            </w:tcBorders>
            <w:shd w:fill="auto" w:val="clear"/>
            <w:tcMar>
              <w:bottom w:w="28" w:type="dxa"/>
            </w:tcMar>
            <w:vAlign w:val="bottom"/>
          </w:tcPr>
          <w:p>
            <w:pPr>
              <w:pStyle w:val="TableContents"/>
              <w:spacing w:before="0" w:after="283"/>
              <w:jc w:val="center"/>
              <w:rPr/>
            </w:pPr>
            <w:r>
              <w:rPr/>
              <w:t>DEFINED IN SECTION</w:t>
            </w:r>
          </w:p>
        </w:tc>
      </w:tr>
      <w:tr>
        <w:trPr/>
        <w:tc>
          <w:tcPr>
            <w:tcW w:w="3671" w:type="dxa"/>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i/>
                <w:sz w:val="20"/>
              </w:rPr>
              <w:t>Bankruptcy Law</w:t>
            </w:r>
            <w:r>
              <w:rPr>
                <w:rFonts w:ascii="Times New Roman" w:hAnsi="Times New Roman"/>
                <w:sz w:val="20"/>
              </w:rPr>
              <w:t></w:t>
            </w:r>
          </w:p>
        </w:tc>
        <w:tc>
          <w:tcPr>
            <w:tcW w:w="770" w:type="dxa"/>
            <w:tcBorders/>
            <w:shd w:fill="auto" w:val="clear"/>
            <w:vAlign w:val="bottom"/>
          </w:tcPr>
          <w:p>
            <w:pPr>
              <w:pStyle w:val="TableContents"/>
              <w:spacing w:before="0" w:after="283"/>
              <w:rPr/>
            </w:pPr>
            <w:r>
              <w:rPr/>
              <w:t>  </w:t>
            </w:r>
          </w:p>
        </w:tc>
        <w:tc>
          <w:tcPr>
            <w:tcW w:w="2498" w:type="dxa"/>
            <w:tcBorders/>
            <w:shd w:fill="auto" w:val="clear"/>
            <w:vAlign w:val="bottom"/>
          </w:tcPr>
          <w:p>
            <w:pPr>
              <w:pStyle w:val="TableContents"/>
              <w:spacing w:before="0" w:after="283"/>
              <w:jc w:val="center"/>
              <w:rPr/>
            </w:pPr>
            <w:r>
              <w:rPr/>
              <w:t>6.1</w:t>
            </w:r>
          </w:p>
        </w:tc>
      </w:tr>
      <w:tr>
        <w:trPr/>
        <w:tc>
          <w:tcPr>
            <w:tcW w:w="3671" w:type="dxa"/>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i/>
                <w:sz w:val="20"/>
              </w:rPr>
              <w:t>Custodian</w:t>
            </w:r>
            <w:r>
              <w:rPr>
                <w:rFonts w:ascii="Times New Roman" w:hAnsi="Times New Roman"/>
                <w:sz w:val="20"/>
              </w:rPr>
              <w:t></w:t>
            </w:r>
          </w:p>
        </w:tc>
        <w:tc>
          <w:tcPr>
            <w:tcW w:w="770" w:type="dxa"/>
            <w:tcBorders/>
            <w:shd w:fill="auto" w:val="clear"/>
            <w:vAlign w:val="bottom"/>
          </w:tcPr>
          <w:p>
            <w:pPr>
              <w:pStyle w:val="TableContents"/>
              <w:spacing w:before="0" w:after="283"/>
              <w:rPr/>
            </w:pPr>
            <w:r>
              <w:rPr/>
              <w:t>  </w:t>
            </w:r>
          </w:p>
        </w:tc>
        <w:tc>
          <w:tcPr>
            <w:tcW w:w="2498" w:type="dxa"/>
            <w:tcBorders/>
            <w:shd w:fill="auto" w:val="clear"/>
            <w:vAlign w:val="bottom"/>
          </w:tcPr>
          <w:p>
            <w:pPr>
              <w:pStyle w:val="TableContents"/>
              <w:spacing w:before="0" w:after="283"/>
              <w:jc w:val="center"/>
              <w:rPr/>
            </w:pPr>
            <w:r>
              <w:rPr/>
              <w:t>6.1</w:t>
            </w:r>
          </w:p>
        </w:tc>
      </w:tr>
      <w:tr>
        <w:trPr/>
        <w:tc>
          <w:tcPr>
            <w:tcW w:w="3671" w:type="dxa"/>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i/>
                <w:sz w:val="20"/>
              </w:rPr>
              <w:t>Event of Default</w:t>
            </w:r>
            <w:r>
              <w:rPr>
                <w:rFonts w:ascii="Times New Roman" w:hAnsi="Times New Roman"/>
                <w:sz w:val="20"/>
              </w:rPr>
              <w:t></w:t>
            </w:r>
          </w:p>
        </w:tc>
        <w:tc>
          <w:tcPr>
            <w:tcW w:w="770" w:type="dxa"/>
            <w:tcBorders/>
            <w:shd w:fill="auto" w:val="clear"/>
            <w:vAlign w:val="bottom"/>
          </w:tcPr>
          <w:p>
            <w:pPr>
              <w:pStyle w:val="TableContents"/>
              <w:spacing w:before="0" w:after="283"/>
              <w:rPr/>
            </w:pPr>
            <w:r>
              <w:rPr/>
              <w:t>  </w:t>
            </w:r>
          </w:p>
        </w:tc>
        <w:tc>
          <w:tcPr>
            <w:tcW w:w="2498" w:type="dxa"/>
            <w:tcBorders/>
            <w:shd w:fill="auto" w:val="clear"/>
            <w:vAlign w:val="bottom"/>
          </w:tcPr>
          <w:p>
            <w:pPr>
              <w:pStyle w:val="TableContents"/>
              <w:spacing w:before="0" w:after="283"/>
              <w:jc w:val="center"/>
              <w:rPr/>
            </w:pPr>
            <w:r>
              <w:rPr/>
              <w:t>6.1</w:t>
            </w:r>
          </w:p>
        </w:tc>
      </w:tr>
      <w:tr>
        <w:trPr/>
        <w:tc>
          <w:tcPr>
            <w:tcW w:w="3671" w:type="dxa"/>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i/>
                <w:sz w:val="20"/>
              </w:rPr>
              <w:t>Judgment Currency</w:t>
            </w:r>
            <w:r>
              <w:rPr>
                <w:rFonts w:ascii="Times New Roman" w:hAnsi="Times New Roman"/>
                <w:sz w:val="20"/>
              </w:rPr>
              <w:t></w:t>
            </w:r>
          </w:p>
        </w:tc>
        <w:tc>
          <w:tcPr>
            <w:tcW w:w="770" w:type="dxa"/>
            <w:tcBorders/>
            <w:shd w:fill="auto" w:val="clear"/>
            <w:vAlign w:val="bottom"/>
          </w:tcPr>
          <w:p>
            <w:pPr>
              <w:pStyle w:val="TableContents"/>
              <w:spacing w:before="0" w:after="283"/>
              <w:rPr/>
            </w:pPr>
            <w:r>
              <w:rPr/>
              <w:t>  </w:t>
            </w:r>
          </w:p>
        </w:tc>
        <w:tc>
          <w:tcPr>
            <w:tcW w:w="2498" w:type="dxa"/>
            <w:tcBorders/>
            <w:shd w:fill="auto" w:val="clear"/>
            <w:vAlign w:val="bottom"/>
          </w:tcPr>
          <w:p>
            <w:pPr>
              <w:pStyle w:val="TableContents"/>
              <w:spacing w:before="0" w:after="283"/>
              <w:jc w:val="center"/>
              <w:rPr/>
            </w:pPr>
            <w:r>
              <w:rPr/>
              <w:t>10.16</w:t>
            </w:r>
          </w:p>
        </w:tc>
      </w:tr>
      <w:tr>
        <w:trPr/>
        <w:tc>
          <w:tcPr>
            <w:tcW w:w="3671" w:type="dxa"/>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i/>
                <w:sz w:val="20"/>
              </w:rPr>
              <w:t>Legal Holiday</w:t>
            </w:r>
            <w:r>
              <w:rPr>
                <w:rFonts w:ascii="Times New Roman" w:hAnsi="Times New Roman"/>
                <w:sz w:val="20"/>
              </w:rPr>
              <w:t></w:t>
            </w:r>
          </w:p>
        </w:tc>
        <w:tc>
          <w:tcPr>
            <w:tcW w:w="770" w:type="dxa"/>
            <w:tcBorders/>
            <w:shd w:fill="auto" w:val="clear"/>
            <w:vAlign w:val="bottom"/>
          </w:tcPr>
          <w:p>
            <w:pPr>
              <w:pStyle w:val="TableContents"/>
              <w:spacing w:before="0" w:after="283"/>
              <w:rPr/>
            </w:pPr>
            <w:r>
              <w:rPr/>
              <w:t>  </w:t>
            </w:r>
          </w:p>
        </w:tc>
        <w:tc>
          <w:tcPr>
            <w:tcW w:w="2498" w:type="dxa"/>
            <w:tcBorders/>
            <w:shd w:fill="auto" w:val="clear"/>
            <w:vAlign w:val="bottom"/>
          </w:tcPr>
          <w:p>
            <w:pPr>
              <w:pStyle w:val="TableContents"/>
              <w:spacing w:before="0" w:after="283"/>
              <w:jc w:val="center"/>
              <w:rPr/>
            </w:pPr>
            <w:r>
              <w:rPr/>
              <w:t>10.7</w:t>
            </w:r>
          </w:p>
        </w:tc>
      </w:tr>
      <w:tr>
        <w:trPr/>
        <w:tc>
          <w:tcPr>
            <w:tcW w:w="3671" w:type="dxa"/>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i/>
                <w:sz w:val="20"/>
              </w:rPr>
              <w:t>mandatory sinking fund payment</w:t>
            </w:r>
            <w:r>
              <w:rPr>
                <w:rFonts w:ascii="Times New Roman" w:hAnsi="Times New Roman"/>
                <w:sz w:val="20"/>
              </w:rPr>
              <w:t></w:t>
            </w:r>
          </w:p>
        </w:tc>
        <w:tc>
          <w:tcPr>
            <w:tcW w:w="770" w:type="dxa"/>
            <w:tcBorders/>
            <w:shd w:fill="auto" w:val="clear"/>
            <w:vAlign w:val="bottom"/>
          </w:tcPr>
          <w:p>
            <w:pPr>
              <w:pStyle w:val="TableContents"/>
              <w:spacing w:before="0" w:after="283"/>
              <w:rPr/>
            </w:pPr>
            <w:r>
              <w:rPr/>
              <w:t>  </w:t>
            </w:r>
          </w:p>
        </w:tc>
        <w:tc>
          <w:tcPr>
            <w:tcW w:w="2498" w:type="dxa"/>
            <w:tcBorders/>
            <w:shd w:fill="auto" w:val="clear"/>
            <w:vAlign w:val="bottom"/>
          </w:tcPr>
          <w:p>
            <w:pPr>
              <w:pStyle w:val="TableContents"/>
              <w:spacing w:before="0" w:after="283"/>
              <w:jc w:val="center"/>
              <w:rPr/>
            </w:pPr>
            <w:r>
              <w:rPr/>
              <w:t>11.1</w:t>
            </w:r>
          </w:p>
        </w:tc>
      </w:tr>
      <w:tr>
        <w:trPr/>
        <w:tc>
          <w:tcPr>
            <w:tcW w:w="3671" w:type="dxa"/>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i/>
                <w:sz w:val="20"/>
              </w:rPr>
              <w:t>New York Banking Day</w:t>
            </w:r>
            <w:r>
              <w:rPr>
                <w:rFonts w:ascii="Times New Roman" w:hAnsi="Times New Roman"/>
                <w:sz w:val="20"/>
              </w:rPr>
              <w:t></w:t>
            </w:r>
          </w:p>
        </w:tc>
        <w:tc>
          <w:tcPr>
            <w:tcW w:w="770" w:type="dxa"/>
            <w:tcBorders/>
            <w:shd w:fill="auto" w:val="clear"/>
            <w:vAlign w:val="bottom"/>
          </w:tcPr>
          <w:p>
            <w:pPr>
              <w:pStyle w:val="TableContents"/>
              <w:spacing w:before="0" w:after="283"/>
              <w:rPr/>
            </w:pPr>
            <w:r>
              <w:rPr/>
              <w:t>  </w:t>
            </w:r>
          </w:p>
        </w:tc>
        <w:tc>
          <w:tcPr>
            <w:tcW w:w="2498" w:type="dxa"/>
            <w:tcBorders/>
            <w:shd w:fill="auto" w:val="clear"/>
            <w:vAlign w:val="bottom"/>
          </w:tcPr>
          <w:p>
            <w:pPr>
              <w:pStyle w:val="TableContents"/>
              <w:spacing w:before="0" w:after="283"/>
              <w:jc w:val="center"/>
              <w:rPr/>
            </w:pPr>
            <w:r>
              <w:rPr/>
              <w:t>10.16</w:t>
            </w:r>
          </w:p>
        </w:tc>
      </w:tr>
      <w:tr>
        <w:trPr/>
        <w:tc>
          <w:tcPr>
            <w:tcW w:w="3671" w:type="dxa"/>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i/>
                <w:sz w:val="20"/>
              </w:rPr>
              <w:t>Notice Agent</w:t>
            </w:r>
            <w:r>
              <w:rPr>
                <w:rFonts w:ascii="Times New Roman" w:hAnsi="Times New Roman"/>
                <w:sz w:val="20"/>
              </w:rPr>
              <w:t></w:t>
            </w:r>
          </w:p>
        </w:tc>
        <w:tc>
          <w:tcPr>
            <w:tcW w:w="770" w:type="dxa"/>
            <w:tcBorders/>
            <w:shd w:fill="auto" w:val="clear"/>
            <w:vAlign w:val="bottom"/>
          </w:tcPr>
          <w:p>
            <w:pPr>
              <w:pStyle w:val="TableContents"/>
              <w:spacing w:before="0" w:after="283"/>
              <w:rPr/>
            </w:pPr>
            <w:r>
              <w:rPr/>
              <w:t>  </w:t>
            </w:r>
          </w:p>
        </w:tc>
        <w:tc>
          <w:tcPr>
            <w:tcW w:w="2498" w:type="dxa"/>
            <w:tcBorders/>
            <w:shd w:fill="auto" w:val="clear"/>
            <w:vAlign w:val="bottom"/>
          </w:tcPr>
          <w:p>
            <w:pPr>
              <w:pStyle w:val="TableContents"/>
              <w:spacing w:before="0" w:after="283"/>
              <w:jc w:val="center"/>
              <w:rPr/>
            </w:pPr>
            <w:r>
              <w:rPr/>
              <w:t>2.4</w:t>
            </w:r>
          </w:p>
        </w:tc>
      </w:tr>
      <w:tr>
        <w:trPr/>
        <w:tc>
          <w:tcPr>
            <w:tcW w:w="3671" w:type="dxa"/>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i/>
                <w:sz w:val="20"/>
              </w:rPr>
              <w:t>optional sinking fund payment</w:t>
            </w:r>
            <w:r>
              <w:rPr>
                <w:rFonts w:ascii="Times New Roman" w:hAnsi="Times New Roman"/>
                <w:sz w:val="20"/>
              </w:rPr>
              <w:t></w:t>
            </w:r>
          </w:p>
        </w:tc>
        <w:tc>
          <w:tcPr>
            <w:tcW w:w="770" w:type="dxa"/>
            <w:tcBorders/>
            <w:shd w:fill="auto" w:val="clear"/>
            <w:vAlign w:val="bottom"/>
          </w:tcPr>
          <w:p>
            <w:pPr>
              <w:pStyle w:val="TableContents"/>
              <w:spacing w:before="0" w:after="283"/>
              <w:rPr/>
            </w:pPr>
            <w:r>
              <w:rPr/>
              <w:t>  </w:t>
            </w:r>
          </w:p>
        </w:tc>
        <w:tc>
          <w:tcPr>
            <w:tcW w:w="2498" w:type="dxa"/>
            <w:tcBorders/>
            <w:shd w:fill="auto" w:val="clear"/>
            <w:vAlign w:val="bottom"/>
          </w:tcPr>
          <w:p>
            <w:pPr>
              <w:pStyle w:val="TableContents"/>
              <w:spacing w:before="0" w:after="283"/>
              <w:jc w:val="center"/>
              <w:rPr/>
            </w:pPr>
            <w:r>
              <w:rPr/>
              <w:t>11.1</w:t>
            </w:r>
          </w:p>
        </w:tc>
      </w:tr>
      <w:tr>
        <w:trPr/>
        <w:tc>
          <w:tcPr>
            <w:tcW w:w="3671" w:type="dxa"/>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i/>
                <w:sz w:val="20"/>
              </w:rPr>
              <w:t>Paying Agent</w:t>
            </w:r>
            <w:r>
              <w:rPr>
                <w:rFonts w:ascii="Times New Roman" w:hAnsi="Times New Roman"/>
                <w:sz w:val="20"/>
              </w:rPr>
              <w:t></w:t>
            </w:r>
          </w:p>
        </w:tc>
        <w:tc>
          <w:tcPr>
            <w:tcW w:w="770" w:type="dxa"/>
            <w:tcBorders/>
            <w:shd w:fill="auto" w:val="clear"/>
            <w:vAlign w:val="bottom"/>
          </w:tcPr>
          <w:p>
            <w:pPr>
              <w:pStyle w:val="TableContents"/>
              <w:spacing w:before="0" w:after="283"/>
              <w:rPr/>
            </w:pPr>
            <w:r>
              <w:rPr/>
              <w:t>  </w:t>
            </w:r>
          </w:p>
        </w:tc>
        <w:tc>
          <w:tcPr>
            <w:tcW w:w="2498" w:type="dxa"/>
            <w:tcBorders/>
            <w:shd w:fill="auto" w:val="clear"/>
            <w:vAlign w:val="bottom"/>
          </w:tcPr>
          <w:p>
            <w:pPr>
              <w:pStyle w:val="TableContents"/>
              <w:spacing w:before="0" w:after="283"/>
              <w:jc w:val="center"/>
              <w:rPr/>
            </w:pPr>
            <w:r>
              <w:rPr/>
              <w:t>2.4</w:t>
            </w:r>
          </w:p>
        </w:tc>
      </w:tr>
      <w:tr>
        <w:trPr/>
        <w:tc>
          <w:tcPr>
            <w:tcW w:w="3671" w:type="dxa"/>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i/>
                <w:sz w:val="20"/>
              </w:rPr>
              <w:t>Registrar</w:t>
            </w:r>
            <w:r>
              <w:rPr>
                <w:rFonts w:ascii="Times New Roman" w:hAnsi="Times New Roman"/>
                <w:sz w:val="20"/>
              </w:rPr>
              <w:t></w:t>
            </w:r>
          </w:p>
        </w:tc>
        <w:tc>
          <w:tcPr>
            <w:tcW w:w="770" w:type="dxa"/>
            <w:tcBorders/>
            <w:shd w:fill="auto" w:val="clear"/>
            <w:vAlign w:val="bottom"/>
          </w:tcPr>
          <w:p>
            <w:pPr>
              <w:pStyle w:val="TableContents"/>
              <w:spacing w:before="0" w:after="283"/>
              <w:rPr/>
            </w:pPr>
            <w:r>
              <w:rPr/>
              <w:t>  </w:t>
            </w:r>
          </w:p>
        </w:tc>
        <w:tc>
          <w:tcPr>
            <w:tcW w:w="2498" w:type="dxa"/>
            <w:tcBorders/>
            <w:shd w:fill="auto" w:val="clear"/>
            <w:vAlign w:val="bottom"/>
          </w:tcPr>
          <w:p>
            <w:pPr>
              <w:pStyle w:val="TableContents"/>
              <w:spacing w:before="0" w:after="283"/>
              <w:jc w:val="center"/>
              <w:rPr/>
            </w:pPr>
            <w:r>
              <w:rPr/>
              <w:t>2.4</w:t>
            </w:r>
          </w:p>
        </w:tc>
      </w:tr>
      <w:tr>
        <w:trPr/>
        <w:tc>
          <w:tcPr>
            <w:tcW w:w="3671" w:type="dxa"/>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i/>
                <w:sz w:val="20"/>
              </w:rPr>
              <w:t>Required Currency</w:t>
            </w:r>
            <w:r>
              <w:rPr>
                <w:rFonts w:ascii="Times New Roman" w:hAnsi="Times New Roman"/>
                <w:sz w:val="20"/>
              </w:rPr>
              <w:t></w:t>
            </w:r>
          </w:p>
        </w:tc>
        <w:tc>
          <w:tcPr>
            <w:tcW w:w="770" w:type="dxa"/>
            <w:tcBorders/>
            <w:shd w:fill="auto" w:val="clear"/>
            <w:vAlign w:val="bottom"/>
          </w:tcPr>
          <w:p>
            <w:pPr>
              <w:pStyle w:val="TableContents"/>
              <w:spacing w:before="0" w:after="283"/>
              <w:rPr/>
            </w:pPr>
            <w:r>
              <w:rPr/>
              <w:t>  </w:t>
            </w:r>
          </w:p>
        </w:tc>
        <w:tc>
          <w:tcPr>
            <w:tcW w:w="2498" w:type="dxa"/>
            <w:tcBorders/>
            <w:shd w:fill="auto" w:val="clear"/>
            <w:vAlign w:val="bottom"/>
          </w:tcPr>
          <w:p>
            <w:pPr>
              <w:pStyle w:val="TableContents"/>
              <w:spacing w:before="0" w:after="283"/>
              <w:jc w:val="center"/>
              <w:rPr/>
            </w:pPr>
            <w:r>
              <w:rPr/>
              <w:t>10.16</w:t>
            </w:r>
          </w:p>
        </w:tc>
      </w:tr>
      <w:tr>
        <w:trPr/>
        <w:tc>
          <w:tcPr>
            <w:tcW w:w="3671" w:type="dxa"/>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i/>
                <w:sz w:val="20"/>
              </w:rPr>
              <w:t>Specified Courts</w:t>
            </w:r>
            <w:r>
              <w:rPr>
                <w:rFonts w:ascii="Times New Roman" w:hAnsi="Times New Roman"/>
                <w:sz w:val="20"/>
              </w:rPr>
              <w:t></w:t>
            </w:r>
          </w:p>
        </w:tc>
        <w:tc>
          <w:tcPr>
            <w:tcW w:w="770" w:type="dxa"/>
            <w:tcBorders/>
            <w:shd w:fill="auto" w:val="clear"/>
            <w:vAlign w:val="bottom"/>
          </w:tcPr>
          <w:p>
            <w:pPr>
              <w:pStyle w:val="TableContents"/>
              <w:spacing w:before="0" w:after="283"/>
              <w:rPr/>
            </w:pPr>
            <w:r>
              <w:rPr/>
              <w:t>  </w:t>
            </w:r>
          </w:p>
        </w:tc>
        <w:tc>
          <w:tcPr>
            <w:tcW w:w="2498" w:type="dxa"/>
            <w:tcBorders/>
            <w:shd w:fill="auto" w:val="clear"/>
            <w:vAlign w:val="bottom"/>
          </w:tcPr>
          <w:p>
            <w:pPr>
              <w:pStyle w:val="TableContents"/>
              <w:spacing w:before="0" w:after="283"/>
              <w:jc w:val="center"/>
              <w:rPr/>
            </w:pPr>
            <w:r>
              <w:rPr/>
              <w:t>10.10</w:t>
            </w:r>
          </w:p>
        </w:tc>
      </w:tr>
      <w:tr>
        <w:trPr/>
        <w:tc>
          <w:tcPr>
            <w:tcW w:w="3671" w:type="dxa"/>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i/>
                <w:sz w:val="20"/>
              </w:rPr>
              <w:t>successor person</w:t>
            </w:r>
            <w:r>
              <w:rPr>
                <w:rFonts w:ascii="Times New Roman" w:hAnsi="Times New Roman"/>
                <w:sz w:val="20"/>
              </w:rPr>
              <w:t></w:t>
            </w:r>
          </w:p>
        </w:tc>
        <w:tc>
          <w:tcPr>
            <w:tcW w:w="770" w:type="dxa"/>
            <w:tcBorders/>
            <w:shd w:fill="auto" w:val="clear"/>
            <w:vAlign w:val="bottom"/>
          </w:tcPr>
          <w:p>
            <w:pPr>
              <w:pStyle w:val="TableContents"/>
              <w:spacing w:before="0" w:after="283"/>
              <w:rPr/>
            </w:pPr>
            <w:r>
              <w:rPr/>
              <w:t>  </w:t>
            </w:r>
          </w:p>
        </w:tc>
        <w:tc>
          <w:tcPr>
            <w:tcW w:w="2498" w:type="dxa"/>
            <w:tcBorders/>
            <w:shd w:fill="auto" w:val="clear"/>
            <w:vAlign w:val="bottom"/>
          </w:tcPr>
          <w:p>
            <w:pPr>
              <w:pStyle w:val="TableContents"/>
              <w:spacing w:before="0" w:after="283"/>
              <w:jc w:val="center"/>
              <w:rPr/>
            </w:pPr>
            <w:r>
              <w:rPr/>
              <w:t>5.1</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Incorporation by Reference of Trust Indenture Act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Whenever this Indenture refers to a provision of the TIA, the provision is incorporated by reference in and made a part of this Indenture. The following TIA terms used in this Indenture have the following meanings: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Commission</w:t>
      </w:r>
      <w:r>
        <w:rPr>
          <w:rFonts w:ascii="Times New Roman" w:hAnsi="Times New Roman"/>
          <w:sz w:val="20"/>
        </w:rPr>
        <w:t xml:space="preserve"> means the SEC.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indenture securities</w:t>
      </w:r>
      <w:r>
        <w:rPr>
          <w:rFonts w:ascii="Times New Roman" w:hAnsi="Times New Roman"/>
          <w:sz w:val="20"/>
        </w:rPr>
        <w:t xml:space="preserve"> means the Securities.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indenture security holder</w:t>
      </w:r>
      <w:r>
        <w:rPr>
          <w:rFonts w:ascii="Times New Roman" w:hAnsi="Times New Roman"/>
          <w:sz w:val="20"/>
        </w:rPr>
        <w:t xml:space="preserve"> means a Securityholder.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indenture to be qualified</w:t>
      </w:r>
      <w:r>
        <w:rPr>
          <w:rFonts w:ascii="Times New Roman" w:hAnsi="Times New Roman"/>
          <w:sz w:val="20"/>
        </w:rPr>
        <w:t xml:space="preserve"> means this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indenture trustee</w:t>
      </w:r>
      <w:r>
        <w:rPr>
          <w:rFonts w:ascii="Times New Roman" w:hAnsi="Times New Roman"/>
          <w:sz w:val="20"/>
        </w:rPr>
        <w:t> or </w:t>
      </w:r>
      <w:r>
        <w:rPr>
          <w:rFonts w:ascii="Times New Roman" w:hAnsi="Times New Roman"/>
          <w:i/>
          <w:sz w:val="20"/>
        </w:rPr>
        <w:t>institutional trustee</w:t>
      </w:r>
      <w:r>
        <w:rPr>
          <w:rFonts w:ascii="Times New Roman" w:hAnsi="Times New Roman"/>
          <w:sz w:val="20"/>
        </w:rPr>
        <w:t xml:space="preserve"> means the Trustee.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obligor</w:t>
      </w:r>
      <w:r>
        <w:rPr>
          <w:rFonts w:ascii="Times New Roman" w:hAnsi="Times New Roman"/>
          <w:sz w:val="20"/>
        </w:rPr>
        <w:t xml:space="preserve"> on the indenture securities means the Company and any successor obligor upon the Securities. </w:t>
      </w:r>
    </w:p>
    <w:p>
      <w:pPr>
        <w:pStyle w:val="TextBody"/>
        <w:spacing w:before="240" w:after="0"/>
        <w:jc w:val="left"/>
        <w:rPr>
          <w:rFonts w:ascii="Times New Roman" w:hAnsi="Times New Roman"/>
          <w:sz w:val="20"/>
        </w:rPr>
      </w:pPr>
      <w:r>
        <w:rPr>
          <w:rFonts w:ascii="Times New Roman" w:hAnsi="Times New Roman"/>
          <w:sz w:val="20"/>
        </w:rPr>
        <w:t xml:space="preserve">All other terms used in this Indenture that are defined by the TIA, defined by TIA reference to another statute or defined by SEC rule under the TIA and not otherwise defined herein are used herein as so defined. </w:t>
      </w:r>
    </w:p>
    <w:p>
      <w:pPr>
        <w:pStyle w:val="TextBody"/>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Rules of Construction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Unless the context otherwise requires: </w:t>
      </w:r>
    </w:p>
    <w:p>
      <w:pPr>
        <w:pStyle w:val="TextBody"/>
        <w:spacing w:before="240" w:after="0"/>
        <w:jc w:val="left"/>
        <w:rPr>
          <w:rFonts w:ascii="Times New Roman" w:hAnsi="Times New Roman"/>
          <w:sz w:val="20"/>
        </w:rPr>
      </w:pPr>
      <w:r>
        <w:rPr>
          <w:rFonts w:ascii="Times New Roman" w:hAnsi="Times New Roman"/>
          <w:sz w:val="20"/>
        </w:rPr>
        <w:t xml:space="preserve">(a) a term has the meaning assigned to it; </w:t>
      </w:r>
    </w:p>
    <w:p>
      <w:pPr>
        <w:pStyle w:val="TextBody"/>
        <w:spacing w:before="240" w:after="0"/>
        <w:jc w:val="left"/>
        <w:rPr>
          <w:rFonts w:ascii="Times New Roman" w:hAnsi="Times New Roman"/>
          <w:sz w:val="20"/>
        </w:rPr>
      </w:pPr>
      <w:r>
        <w:rPr>
          <w:rFonts w:ascii="Times New Roman" w:hAnsi="Times New Roman"/>
          <w:sz w:val="20"/>
        </w:rPr>
        <w:t xml:space="preserve">(b) an accounting term not otherwise defined has the meaning assigned to it in accordance with GAAP; </w:t>
      </w:r>
    </w:p>
    <w:p>
      <w:pPr>
        <w:pStyle w:val="TextBody"/>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or</w:t>
      </w:r>
      <w:r>
        <w:rPr>
          <w:rFonts w:ascii="Times New Roman" w:hAnsi="Times New Roman"/>
          <w:sz w:val="20"/>
        </w:rPr>
        <w:t xml:space="preserve"> is not exclusive; </w:t>
      </w:r>
    </w:p>
    <w:p>
      <w:pPr>
        <w:pStyle w:val="TextBody"/>
        <w:spacing w:before="240" w:after="0"/>
        <w:jc w:val="left"/>
        <w:rPr>
          <w:rFonts w:ascii="Times New Roman" w:hAnsi="Times New Roman"/>
          <w:sz w:val="20"/>
        </w:rPr>
      </w:pPr>
      <w:r>
        <w:rPr>
          <w:rFonts w:ascii="Times New Roman" w:hAnsi="Times New Roman"/>
          <w:sz w:val="20"/>
        </w:rPr>
        <w:t xml:space="preserve">(d) words in the singular include the plural, and in the plural include the singular; and </w:t>
      </w:r>
    </w:p>
    <w:p>
      <w:pPr>
        <w:pStyle w:val="TextBody"/>
        <w:spacing w:before="240" w:after="0"/>
        <w:jc w:val="left"/>
        <w:rPr>
          <w:rFonts w:ascii="Times New Roman" w:hAnsi="Times New Roman"/>
          <w:sz w:val="20"/>
        </w:rPr>
      </w:pPr>
      <w:r>
        <w:rPr>
          <w:rFonts w:ascii="Times New Roman" w:hAnsi="Times New Roman"/>
          <w:sz w:val="20"/>
        </w:rPr>
        <w:t xml:space="preserve">(e) provisions apply to successive events and transactions.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II </w:t>
      </w:r>
    </w:p>
    <w:p>
      <w:pPr>
        <w:pStyle w:val="TextBody"/>
        <w:spacing w:before="0" w:after="0"/>
        <w:jc w:val="center"/>
        <w:rPr>
          <w:rFonts w:ascii="Times New Roman" w:hAnsi="Times New Roman"/>
          <w:b/>
          <w:sz w:val="20"/>
        </w:rPr>
      </w:pPr>
      <w:r>
        <w:rPr>
          <w:rFonts w:ascii="Times New Roman" w:hAnsi="Times New Roman"/>
          <w:b/>
          <w:sz w:val="20"/>
        </w:rPr>
        <w:t xml:space="preserve">THE SECURITIES </w:t>
      </w:r>
    </w:p>
    <w:p>
      <w:pPr>
        <w:pStyle w:val="TextBody"/>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Issuable in Series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 </w:t>
      </w:r>
    </w:p>
    <w:p>
      <w:pPr>
        <w:pStyle w:val="TextBody"/>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Establishment of Terms of Series of Securities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 </w:t>
      </w:r>
    </w:p>
    <w:p>
      <w:pPr>
        <w:pStyle w:val="TextBody"/>
        <w:spacing w:before="240" w:after="0"/>
        <w:jc w:val="left"/>
        <w:rPr>
          <w:rFonts w:ascii="Times New Roman" w:hAnsi="Times New Roman"/>
          <w:sz w:val="20"/>
        </w:rPr>
      </w:pPr>
      <w:r>
        <w:rPr>
          <w:rFonts w:ascii="Times New Roman" w:hAnsi="Times New Roman"/>
          <w:sz w:val="20"/>
        </w:rPr>
        <w:t xml:space="preserve">2.2.1. the title (which shall distinguish the Securities of that particular Series from the Securities of any other Series) and ranking (including the terms of any subordination provisions) of the Series; </w:t>
      </w:r>
    </w:p>
    <w:p>
      <w:pPr>
        <w:pStyle w:val="TextBody"/>
        <w:spacing w:before="240" w:after="0"/>
        <w:jc w:val="left"/>
        <w:rPr>
          <w:rFonts w:ascii="Times New Roman" w:hAnsi="Times New Roman"/>
          <w:sz w:val="20"/>
        </w:rPr>
      </w:pPr>
      <w:r>
        <w:rPr>
          <w:rFonts w:ascii="Times New Roman" w:hAnsi="Times New Roman"/>
          <w:sz w:val="20"/>
        </w:rPr>
        <w:t xml:space="preserve">2.2.2. the price or prices (expressed as a percentage of the principal amount thereof) at which the Securities of the Series will be issued; </w:t>
      </w:r>
    </w:p>
    <w:p>
      <w:pPr>
        <w:pStyle w:val="TextBody"/>
        <w:spacing w:before="240" w:after="0"/>
        <w:jc w:val="left"/>
        <w:rPr>
          <w:rFonts w:ascii="Times New Roman" w:hAnsi="Times New Roman"/>
          <w:sz w:val="20"/>
        </w:rPr>
      </w:pPr>
      <w:r>
        <w:rPr>
          <w:rFonts w:ascii="Times New Roman" w:hAnsi="Times New Roman"/>
          <w:sz w:val="20"/>
        </w:rPr>
        <w:t xml:space="preserve">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 </w:t>
      </w:r>
    </w:p>
    <w:p>
      <w:pPr>
        <w:pStyle w:val="TextBody"/>
        <w:spacing w:before="240" w:after="0"/>
        <w:jc w:val="left"/>
        <w:rPr>
          <w:rFonts w:ascii="Times New Roman" w:hAnsi="Times New Roman"/>
          <w:sz w:val="20"/>
        </w:rPr>
      </w:pPr>
      <w:r>
        <w:rPr>
          <w:rFonts w:ascii="Times New Roman" w:hAnsi="Times New Roman"/>
          <w:sz w:val="20"/>
        </w:rPr>
        <w:t xml:space="preserve">2.2.4. the date or dates on which the principal of the Securities of the Series is payable; </w:t>
      </w:r>
    </w:p>
    <w:p>
      <w:pPr>
        <w:pStyle w:val="TextBody"/>
        <w:spacing w:before="240" w:after="0"/>
        <w:jc w:val="left"/>
        <w:rPr>
          <w:rFonts w:ascii="Times New Roman" w:hAnsi="Times New Roman"/>
          <w:sz w:val="20"/>
        </w:rPr>
      </w:pPr>
      <w:r>
        <w:rPr>
          <w:rFonts w:ascii="Times New Roman" w:hAnsi="Times New Roman"/>
          <w:sz w:val="20"/>
        </w:rPr>
        <w:t xml:space="preserve">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 </w:t>
      </w:r>
    </w:p>
    <w:p>
      <w:pPr>
        <w:pStyle w:val="TextBody"/>
        <w:spacing w:before="240" w:after="0"/>
        <w:jc w:val="left"/>
        <w:rPr>
          <w:rFonts w:ascii="Times New Roman" w:hAnsi="Times New Roman"/>
          <w:sz w:val="20"/>
        </w:rPr>
      </w:pPr>
      <w:r>
        <w:rPr>
          <w:rFonts w:ascii="Times New Roman" w:hAnsi="Times New Roman"/>
          <w:sz w:val="20"/>
        </w:rPr>
        <w:t xml:space="preserve">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 </w:t>
      </w:r>
    </w:p>
    <w:p>
      <w:pPr>
        <w:pStyle w:val="TextBody"/>
        <w:spacing w:before="240" w:after="0"/>
        <w:jc w:val="left"/>
        <w:rPr>
          <w:rFonts w:ascii="Times New Roman" w:hAnsi="Times New Roman"/>
          <w:sz w:val="20"/>
        </w:rPr>
      </w:pPr>
      <w:r>
        <w:rPr>
          <w:rFonts w:ascii="Times New Roman" w:hAnsi="Times New Roman"/>
          <w:sz w:val="20"/>
        </w:rPr>
        <w:t xml:space="preserve">2.2.7. if applicable, the period or periods within which, the price or prices at which and the terms and conditions upon which the Securities of the Series may be redeemed, in whole or in part, at the option of the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 </w:t>
      </w:r>
    </w:p>
    <w:p>
      <w:pPr>
        <w:pStyle w:val="TextBody"/>
        <w:spacing w:before="240" w:after="0"/>
        <w:jc w:val="left"/>
        <w:rPr>
          <w:rFonts w:ascii="Times New Roman" w:hAnsi="Times New Roman"/>
          <w:sz w:val="20"/>
        </w:rPr>
      </w:pPr>
      <w:r>
        <w:rPr>
          <w:rFonts w:ascii="Times New Roman" w:hAnsi="Times New Roman"/>
          <w:sz w:val="20"/>
        </w:rPr>
        <w:t xml:space="preserve">2.2.9. the dates, if any, on which and the price or prices at which the Securities of the Series will be repurchased by the Company at the option of the Holders thereof and other detailed terms and provisions of such repurchase obligations; </w:t>
      </w:r>
    </w:p>
    <w:p>
      <w:pPr>
        <w:pStyle w:val="TextBody"/>
        <w:spacing w:before="240" w:after="0"/>
        <w:jc w:val="left"/>
        <w:rPr>
          <w:rFonts w:ascii="Times New Roman" w:hAnsi="Times New Roman"/>
          <w:sz w:val="20"/>
        </w:rPr>
      </w:pPr>
      <w:r>
        <w:rPr>
          <w:rFonts w:ascii="Times New Roman" w:hAnsi="Times New Roman"/>
          <w:sz w:val="20"/>
        </w:rPr>
        <w:t xml:space="preserve">2.2.10. if other than denominations of $1,000 and any integral multiple thereof, the denominations in which the Securities of the Series shall be issuable; </w:t>
      </w:r>
    </w:p>
    <w:p>
      <w:pPr>
        <w:pStyle w:val="TextBody"/>
        <w:spacing w:before="240" w:after="0"/>
        <w:jc w:val="left"/>
        <w:rPr>
          <w:rFonts w:ascii="Times New Roman" w:hAnsi="Times New Roman"/>
          <w:sz w:val="20"/>
        </w:rPr>
      </w:pPr>
      <w:r>
        <w:rPr>
          <w:rFonts w:ascii="Times New Roman" w:hAnsi="Times New Roman"/>
          <w:sz w:val="20"/>
        </w:rPr>
        <w:t xml:space="preserve">2.2.11. the forms of the Securities of the Series and whether the Securities will be issuable as Global Securities; </w:t>
      </w:r>
    </w:p>
    <w:p>
      <w:pPr>
        <w:pStyle w:val="TextBody"/>
        <w:spacing w:before="240" w:after="0"/>
        <w:jc w:val="left"/>
        <w:rPr>
          <w:rFonts w:ascii="Times New Roman" w:hAnsi="Times New Roman"/>
          <w:sz w:val="20"/>
        </w:rPr>
      </w:pPr>
      <w:r>
        <w:rPr>
          <w:rFonts w:ascii="Times New Roman" w:hAnsi="Times New Roman"/>
          <w:sz w:val="20"/>
        </w:rPr>
        <w:t xml:space="preserve">2.2.12. if other than the principal amount thereof, the portion of the principal amount of the Securities of the Series that shall be payable upon declaration of acceleration of the maturity thereof pursuant to Section 6.2; </w:t>
      </w:r>
    </w:p>
    <w:p>
      <w:pPr>
        <w:pStyle w:val="TextBody"/>
        <w:spacing w:before="240" w:after="0"/>
        <w:jc w:val="left"/>
        <w:rPr>
          <w:rFonts w:ascii="Times New Roman" w:hAnsi="Times New Roman"/>
          <w:sz w:val="20"/>
        </w:rPr>
      </w:pPr>
      <w:r>
        <w:rPr>
          <w:rFonts w:ascii="Times New Roman" w:hAnsi="Times New Roman"/>
          <w:sz w:val="20"/>
        </w:rPr>
        <w:t xml:space="preserve">2.2.13. the currency of denomination of the Securities of the Series, which may be Dollars or any Foreign Currency, and if such currency of denomination is a composite currency, the agency or organization, if any, responsible for overseeing such composite currency; </w:t>
      </w:r>
    </w:p>
    <w:p>
      <w:pPr>
        <w:pStyle w:val="TextBody"/>
        <w:spacing w:before="240" w:after="0"/>
        <w:jc w:val="left"/>
        <w:rPr>
          <w:rFonts w:ascii="Times New Roman" w:hAnsi="Times New Roman"/>
          <w:sz w:val="20"/>
        </w:rPr>
      </w:pPr>
      <w:r>
        <w:rPr>
          <w:rFonts w:ascii="Times New Roman" w:hAnsi="Times New Roman"/>
          <w:sz w:val="20"/>
        </w:rPr>
        <w:t xml:space="preserve">2.2.14. the designation of the currency, currencies or currency units in which payment of the principal of and interest, if any, on the Securities of the Series will be made; </w:t>
      </w:r>
    </w:p>
    <w:p>
      <w:pPr>
        <w:pStyle w:val="TextBody"/>
        <w:spacing w:before="240" w:after="0"/>
        <w:jc w:val="left"/>
        <w:rPr>
          <w:rFonts w:ascii="Times New Roman" w:hAnsi="Times New Roman"/>
          <w:sz w:val="20"/>
        </w:rPr>
      </w:pPr>
      <w:r>
        <w:rPr>
          <w:rFonts w:ascii="Times New Roman" w:hAnsi="Times New Roman"/>
          <w:sz w:val="20"/>
        </w:rPr>
        <w:t xml:space="preserve">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 </w:t>
      </w:r>
    </w:p>
    <w:p>
      <w:pPr>
        <w:pStyle w:val="TextBody"/>
        <w:spacing w:before="240" w:after="0"/>
        <w:jc w:val="left"/>
        <w:rPr>
          <w:rFonts w:ascii="Times New Roman" w:hAnsi="Times New Roman"/>
          <w:sz w:val="20"/>
        </w:rPr>
      </w:pPr>
      <w:r>
        <w:rPr>
          <w:rFonts w:ascii="Times New Roman" w:hAnsi="Times New Roman"/>
          <w:sz w:val="20"/>
        </w:rPr>
        <w:t xml:space="preserve">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 </w:t>
      </w:r>
    </w:p>
    <w:p>
      <w:pPr>
        <w:pStyle w:val="TextBody"/>
        <w:spacing w:before="240" w:after="0"/>
        <w:jc w:val="left"/>
        <w:rPr>
          <w:rFonts w:ascii="Times New Roman" w:hAnsi="Times New Roman"/>
          <w:sz w:val="20"/>
        </w:rPr>
      </w:pPr>
      <w:r>
        <w:rPr>
          <w:rFonts w:ascii="Times New Roman" w:hAnsi="Times New Roman"/>
          <w:sz w:val="20"/>
        </w:rPr>
        <w:t xml:space="preserve">2.2.17. the provisions, if any, relating to any security provided for the Securities of the Series; </w:t>
      </w:r>
    </w:p>
    <w:p>
      <w:pPr>
        <w:pStyle w:val="TextBody"/>
        <w:spacing w:before="240" w:after="0"/>
        <w:jc w:val="left"/>
        <w:rPr>
          <w:rFonts w:ascii="Times New Roman" w:hAnsi="Times New Roman"/>
          <w:sz w:val="20"/>
        </w:rPr>
      </w:pPr>
      <w:r>
        <w:rPr>
          <w:rFonts w:ascii="Times New Roman" w:hAnsi="Times New Roman"/>
          <w:sz w:val="20"/>
        </w:rPr>
        <w:t xml:space="preserve">2.2.18. any addition to, deletion of or change in the Events of Default which applies to any Securities of the Series and any change in the right of the Trustee or the requisite Holders of such Securities to declare the principal amount thereof due and payable pursuant to Section 6.2; </w:t>
      </w:r>
    </w:p>
    <w:p>
      <w:pPr>
        <w:pStyle w:val="TextBody"/>
        <w:spacing w:before="240" w:after="0"/>
        <w:jc w:val="left"/>
        <w:rPr>
          <w:rFonts w:ascii="Times New Roman" w:hAnsi="Times New Roman"/>
          <w:sz w:val="20"/>
        </w:rPr>
      </w:pPr>
      <w:r>
        <w:rPr>
          <w:rFonts w:ascii="Times New Roman" w:hAnsi="Times New Roman"/>
          <w:sz w:val="20"/>
        </w:rPr>
        <w:t xml:space="preserve">2.2.19. any addition to, deletion of or change in the covenants set forth in Articles IV or V which applies to Securities of the Series;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2.2.20. any Depositaries, interest rate calculation agents, exchange rate calculation agents, conversion agents or other agents with respect to Securities of such Series if other than those appointed herein; </w:t>
      </w:r>
    </w:p>
    <w:p>
      <w:pPr>
        <w:pStyle w:val="TextBody"/>
        <w:spacing w:before="240" w:after="0"/>
        <w:jc w:val="left"/>
        <w:rPr>
          <w:rFonts w:ascii="Times New Roman" w:hAnsi="Times New Roman"/>
          <w:sz w:val="20"/>
        </w:rPr>
      </w:pPr>
      <w:r>
        <w:rPr>
          <w:rFonts w:ascii="Times New Roman" w:hAnsi="Times New Roman"/>
          <w:sz w:val="20"/>
        </w:rPr>
        <w:t xml:space="preserve">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 </w:t>
      </w:r>
    </w:p>
    <w:p>
      <w:pPr>
        <w:pStyle w:val="TextBody"/>
        <w:spacing w:before="240" w:after="0"/>
        <w:jc w:val="left"/>
        <w:rPr>
          <w:rFonts w:ascii="Times New Roman" w:hAnsi="Times New Roman"/>
          <w:sz w:val="20"/>
        </w:rPr>
      </w:pPr>
      <w:r>
        <w:rPr>
          <w:rFonts w:ascii="Times New Roman" w:hAnsi="Times New Roman"/>
          <w:sz w:val="20"/>
        </w:rPr>
        <w:t xml:space="preserve">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 </w:t>
      </w:r>
    </w:p>
    <w:p>
      <w:pPr>
        <w:pStyle w:val="TextBody"/>
        <w:spacing w:before="240" w:after="0"/>
        <w:jc w:val="left"/>
        <w:rPr>
          <w:rFonts w:ascii="Times New Roman" w:hAnsi="Times New Roman"/>
          <w:sz w:val="20"/>
        </w:rPr>
      </w:pPr>
      <w:r>
        <w:rPr>
          <w:rFonts w:ascii="Times New Roman" w:hAnsi="Times New Roman"/>
          <w:sz w:val="20"/>
        </w:rPr>
        <w:t xml:space="preserve">2.2.23. whether any of the Companys direct or indirect Subsidiaries will guarantee the Securities of that Series, including the terms of subordination, if any, of such guarantees. </w:t>
      </w:r>
    </w:p>
    <w:p>
      <w:pPr>
        <w:pStyle w:val="TextBody"/>
        <w:spacing w:before="240" w:after="0"/>
        <w:jc w:val="left"/>
        <w:rPr>
          <w:rFonts w:ascii="Times New Roman" w:hAnsi="Times New Roman"/>
          <w:sz w:val="20"/>
        </w:rPr>
      </w:pPr>
      <w:r>
        <w:rPr>
          <w:rFonts w:ascii="Times New Roman" w:hAnsi="Times New Roman"/>
          <w:sz w:val="20"/>
        </w:rPr>
        <w:t xml:space="preserve">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own rights, duties or immunities under this Indenture or otherwise with respect to any Series of Securities except as the Trustee may agree in writing. </w:t>
      </w:r>
    </w:p>
    <w:p>
      <w:pPr>
        <w:pStyle w:val="TextBody"/>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Execution and Authentication</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An Officer shall sign the Securities for the Company by manual or facsimile signature. </w:t>
      </w:r>
    </w:p>
    <w:p>
      <w:pPr>
        <w:pStyle w:val="TextBody"/>
        <w:spacing w:before="240" w:after="0"/>
        <w:jc w:val="left"/>
        <w:rPr>
          <w:rFonts w:ascii="Times New Roman" w:hAnsi="Times New Roman"/>
          <w:sz w:val="20"/>
        </w:rPr>
      </w:pPr>
      <w:r>
        <w:rPr>
          <w:rFonts w:ascii="Times New Roman" w:hAnsi="Times New Roman"/>
          <w:sz w:val="20"/>
        </w:rPr>
        <w:t xml:space="preserve">If an Officer whose signature is on a Security no longer holds that office at the time the Security is authenticated, the Security shall nevertheless be valid. </w:t>
      </w:r>
    </w:p>
    <w:p>
      <w:pPr>
        <w:pStyle w:val="TextBody"/>
        <w:spacing w:before="240" w:after="0"/>
        <w:jc w:val="left"/>
        <w:rPr>
          <w:rFonts w:ascii="Times New Roman" w:hAnsi="Times New Roman"/>
          <w:sz w:val="20"/>
        </w:rPr>
      </w:pPr>
      <w:r>
        <w:rPr>
          <w:rFonts w:ascii="Times New Roman" w:hAnsi="Times New Roman"/>
          <w:sz w:val="20"/>
        </w:rPr>
        <w:t xml:space="preserve">A Security shall not be valid until authenticated by the manual signature of the Trustee or an authenticating agent. The signature shall be conclusive evidence that the Security has been authenticated under this Indenture. </w:t>
      </w:r>
    </w:p>
    <w:p>
      <w:pPr>
        <w:pStyle w:val="TextBody"/>
        <w:spacing w:before="240" w:after="0"/>
        <w:jc w:val="left"/>
        <w:rPr>
          <w:rFonts w:ascii="Times New Roman" w:hAnsi="Times New Roman"/>
          <w:sz w:val="20"/>
        </w:rPr>
      </w:pPr>
      <w:r>
        <w:rPr>
          <w:rFonts w:ascii="Times New Roman" w:hAnsi="Times New Roman"/>
          <w:sz w:val="20"/>
        </w:rPr>
        <w:t xml:space="preserve">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w:t>
      </w:r>
    </w:p>
    <w:p>
      <w:pPr>
        <w:pStyle w:val="TextBody"/>
        <w:spacing w:before="240" w:after="0"/>
        <w:jc w:val="left"/>
        <w:rPr>
          <w:rFonts w:ascii="Times New Roman" w:hAnsi="Times New Roman"/>
          <w:sz w:val="20"/>
        </w:rPr>
      </w:pPr>
      <w:r>
        <w:rPr>
          <w:rFonts w:ascii="Times New Roman" w:hAnsi="Times New Roman"/>
          <w:sz w:val="20"/>
        </w:rPr>
        <w:t xml:space="preserve">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(c) an Opinion of Counsel complying with Section 10.4 and (d) an Opinion of Counsel (which may be the same Opinion of Counsel referred to in the preceding clause (c)) that such Securities, when they have been duly executed, issued, and authenticated in accordance with the terms of the Indenture and delivered against payment therefor in the circumstances described in such Opinion of Counsel, will be legally valid and binding obligations of the Company, enforceable against the Company in accordance with their terms. </w:t>
      </w:r>
    </w:p>
    <w:p>
      <w:pPr>
        <w:pStyle w:val="TextBody"/>
        <w:spacing w:before="240" w:after="0"/>
        <w:jc w:val="left"/>
        <w:rPr>
          <w:rFonts w:ascii="Times New Roman" w:hAnsi="Times New Roman"/>
          <w:sz w:val="20"/>
        </w:rPr>
      </w:pPr>
      <w:r>
        <w:rPr>
          <w:rFonts w:ascii="Times New Roman" w:hAnsi="Times New Roman"/>
          <w:sz w:val="20"/>
        </w:rPr>
        <w:t xml:space="preserve">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 </w:t>
      </w:r>
    </w:p>
    <w:p>
      <w:pPr>
        <w:pStyle w:val="TextBody"/>
        <w:spacing w:before="240" w:after="0"/>
        <w:jc w:val="left"/>
        <w:rPr>
          <w:rFonts w:ascii="Times New Roman" w:hAnsi="Times New Roman"/>
          <w:sz w:val="20"/>
        </w:rPr>
      </w:pPr>
      <w:r>
        <w:rPr>
          <w:rFonts w:ascii="Times New Roman" w:hAnsi="Times New Roman"/>
          <w:sz w:val="20"/>
        </w:rPr>
        <w:t xml:space="preserve">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 </w:t>
      </w:r>
    </w:p>
    <w:p>
      <w:pPr>
        <w:pStyle w:val="TextBody"/>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Registrar and Paying Agent</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hAnsi="Times New Roman"/>
          <w:i/>
          <w:sz w:val="20"/>
        </w:rPr>
        <w:t>Paying Agent</w:t>
      </w:r>
      <w:r>
        <w:rPr>
          <w:rFonts w:ascii="Times New Roman" w:hAnsi="Times New Roman"/>
          <w:sz w:val="20"/>
        </w:rPr>
        <w:t>), where Securities of such Series may be surrendered for registration of transfer or exchange (</w:t>
      </w:r>
      <w:r>
        <w:rPr>
          <w:rFonts w:ascii="Times New Roman" w:hAnsi="Times New Roman"/>
          <w:i/>
          <w:sz w:val="20"/>
        </w:rPr>
        <w:t>Registrar</w:t>
      </w:r>
      <w:r>
        <w:rPr>
          <w:rFonts w:ascii="Times New Roman" w:hAnsi="Times New Roman"/>
          <w:sz w:val="20"/>
        </w:rPr>
        <w:t>) and where notices and demands to or upon the Company in respect of the Securities of such Series and this Indenture may be delivered (</w:t>
      </w:r>
      <w:r>
        <w:rPr>
          <w:rFonts w:ascii="Times New Roman" w:hAnsi="Times New Roman"/>
          <w:i/>
          <w:sz w:val="20"/>
        </w:rPr>
        <w:t>Notice Agent</w:t>
      </w:r>
      <w:r>
        <w:rPr>
          <w:rFonts w:ascii="Times New Roman" w:hAnsi="Times New Roman"/>
          <w:sz w:val="20"/>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appointment of the Trustee as the Notice Agent shall exclude the appointment of the Trustee or any office of the Trustee as an agent to receive the service of legal process on the Company. </w:t>
      </w:r>
    </w:p>
    <w:p>
      <w:pPr>
        <w:pStyle w:val="TextBody"/>
        <w:spacing w:before="240" w:after="0"/>
        <w:jc w:val="left"/>
        <w:rPr>
          <w:rFonts w:ascii="Times New Roman" w:hAnsi="Times New Roman"/>
          <w:sz w:val="20"/>
        </w:rPr>
      </w:pPr>
      <w:r>
        <w:rPr>
          <w:rFonts w:ascii="Times New Roman" w:hAnsi="Times New Roman"/>
          <w:sz w:val="20"/>
        </w:rPr>
        <w:t xml:space="preserve">The Company may also from time to time designate one or more co-registrars, additional paying agents or additional notice agents and may from time to time rescind such designations;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designation or rescission shall in any manner relieve the Company of its obligations to maintain a Registrar, Paying Agent and Notice Agent in each place so specified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hAnsi="Times New Roman"/>
          <w:i/>
          <w:sz w:val="20"/>
        </w:rPr>
        <w:t>Registrar</w:t>
      </w:r>
      <w:r>
        <w:rPr>
          <w:rFonts w:ascii="Times New Roman" w:hAnsi="Times New Roman"/>
          <w:sz w:val="20"/>
        </w:rPr>
        <w:t> includes any co-registrar; the term </w:t>
      </w:r>
      <w:r>
        <w:rPr>
          <w:rFonts w:ascii="Times New Roman" w:hAnsi="Times New Roman"/>
          <w:i/>
          <w:sz w:val="20"/>
        </w:rPr>
        <w:t>Paying Agent</w:t>
      </w:r>
      <w:r>
        <w:rPr>
          <w:rFonts w:ascii="Times New Roman" w:hAnsi="Times New Roman"/>
          <w:sz w:val="20"/>
        </w:rPr>
        <w:t> includes any additional paying agent; and the term </w:t>
      </w:r>
      <w:r>
        <w:rPr>
          <w:rFonts w:ascii="Times New Roman" w:hAnsi="Times New Roman"/>
          <w:i/>
          <w:sz w:val="20"/>
        </w:rPr>
        <w:t>Notice Agent</w:t>
      </w:r>
      <w:r>
        <w:rPr>
          <w:rFonts w:ascii="Times New Roman" w:hAnsi="Times New Roman"/>
          <w:sz w:val="20"/>
        </w:rPr>
        <w:t xml:space="preserve"> includes any additional notice agent. The Company or any of its Affiliates may serve as Registrar or Paying Agent. </w:t>
      </w:r>
    </w:p>
    <w:p>
      <w:pPr>
        <w:pStyle w:val="TextBody"/>
        <w:spacing w:before="240" w:after="0"/>
        <w:jc w:val="left"/>
        <w:rPr>
          <w:rFonts w:ascii="Times New Roman" w:hAnsi="Times New Roman"/>
          <w:sz w:val="20"/>
        </w:rPr>
      </w:pPr>
      <w:r>
        <w:rPr>
          <w:rFonts w:ascii="Times New Roman" w:hAnsi="Times New Roman"/>
          <w:sz w:val="20"/>
        </w:rPr>
        <w:t xml:space="preserve">The Company hereby appoints the Trustee the initial Registrar, Paying Agent and Notice Agent for each Series unless another Registrar, Paying Agent or Notice Agent, as the case may be, is appointed prior to the time Securities of that Series are first issued. </w:t>
      </w:r>
    </w:p>
    <w:p>
      <w:pPr>
        <w:pStyle w:val="TextBody"/>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Paying Agent to Hold Money in Trust</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 </w:t>
      </w:r>
    </w:p>
    <w:p>
      <w:pPr>
        <w:pStyle w:val="TextBody"/>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Securityholder Lists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 </w:t>
      </w:r>
    </w:p>
    <w:p>
      <w:pPr>
        <w:pStyle w:val="TextBody"/>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Transfer and Exchange</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 </w:t>
      </w:r>
    </w:p>
    <w:p>
      <w:pPr>
        <w:pStyle w:val="TextBody"/>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Mutilated, Destroyed, Lost and Stolen Securities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If any mutilated Security is surrendered to the Trustee, the Company shall execute and the Trustee shall authenticate and deliver in exchange therefor a new Security of the same Series and of like tenor and principal amount and bearing a number not contemporaneously outstanding. </w:t>
      </w:r>
    </w:p>
    <w:p>
      <w:pPr>
        <w:pStyle w:val="TextBody"/>
        <w:spacing w:before="240" w:after="0"/>
        <w:jc w:val="left"/>
        <w:rPr>
          <w:rFonts w:ascii="Times New Roman" w:hAnsi="Times New Roman"/>
          <w:sz w:val="20"/>
        </w:rPr>
      </w:pPr>
      <w:r>
        <w:rPr>
          <w:rFonts w:ascii="Times New Roman" w:hAnsi="Times New Roman"/>
          <w:sz w:val="20"/>
        </w:rPr>
        <w:t xml:space="preserve">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 </w:t>
      </w:r>
    </w:p>
    <w:p>
      <w:pPr>
        <w:pStyle w:val="TextBody"/>
        <w:spacing w:before="240" w:after="0"/>
        <w:jc w:val="left"/>
        <w:rPr>
          <w:rFonts w:ascii="Times New Roman" w:hAnsi="Times New Roman"/>
          <w:sz w:val="20"/>
        </w:rPr>
      </w:pPr>
      <w:r>
        <w:rPr>
          <w:rFonts w:ascii="Times New Roman" w:hAnsi="Times New Roman"/>
          <w:sz w:val="20"/>
        </w:rPr>
        <w:t xml:space="preserve">In case any such mutilated, destroyed, lost or stolen Security has become or is about to become due and payable, the Company in its discretion may, instead of issuing a new Security, pay such Security. </w:t>
      </w:r>
    </w:p>
    <w:p>
      <w:pPr>
        <w:pStyle w:val="TextBody"/>
        <w:spacing w:before="240" w:after="0"/>
        <w:jc w:val="left"/>
        <w:rPr>
          <w:rFonts w:ascii="Times New Roman" w:hAnsi="Times New Roman"/>
          <w:sz w:val="20"/>
        </w:rPr>
      </w:pPr>
      <w:r>
        <w:rPr>
          <w:rFonts w:ascii="Times New Roman" w:hAnsi="Times New Roman"/>
          <w:sz w:val="20"/>
        </w:rPr>
        <w:t xml:space="preserve">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w:t>
      </w:r>
    </w:p>
    <w:p>
      <w:pPr>
        <w:pStyle w:val="TextBody"/>
        <w:spacing w:before="240" w:after="0"/>
        <w:jc w:val="left"/>
        <w:rPr>
          <w:rFonts w:ascii="Times New Roman" w:hAnsi="Times New Roman"/>
          <w:sz w:val="20"/>
        </w:rPr>
      </w:pPr>
      <w:r>
        <w:rPr>
          <w:rFonts w:ascii="Times New Roman" w:hAnsi="Times New Roman"/>
          <w:sz w:val="20"/>
        </w:rPr>
        <w:t xml:space="preserve">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w:t>
      </w:r>
    </w:p>
    <w:p>
      <w:pPr>
        <w:pStyle w:val="TextBody"/>
        <w:spacing w:before="240" w:after="0"/>
        <w:jc w:val="left"/>
        <w:rPr>
          <w:rFonts w:ascii="Times New Roman" w:hAnsi="Times New Roman"/>
          <w:sz w:val="20"/>
        </w:rPr>
      </w:pPr>
      <w:r>
        <w:rPr>
          <w:rFonts w:ascii="Times New Roman" w:hAnsi="Times New Roman"/>
          <w:sz w:val="20"/>
        </w:rPr>
        <w:t xml:space="preserve">The provisions of this Section are exclusive and shall preclude (to the extent lawful) all other rights and remedies with respect to the replacement or payment of mutilated, destroyed, lost or stolen Securities. </w:t>
      </w:r>
    </w:p>
    <w:p>
      <w:pPr>
        <w:pStyle w:val="TextBody"/>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Outstanding Securities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If a Security is replaced pursuant to Section 2.8, it ceases to be outstanding until the Trustee receives proof satisfactory to it that the replaced Security is held by a bona fide purchaser. </w:t>
      </w:r>
    </w:p>
    <w:p>
      <w:pPr>
        <w:pStyle w:val="TextBody"/>
        <w:spacing w:before="240" w:after="0"/>
        <w:jc w:val="left"/>
        <w:rPr>
          <w:rFonts w:ascii="Times New Roman" w:hAnsi="Times New Roman"/>
          <w:sz w:val="20"/>
        </w:rPr>
      </w:pPr>
      <w:r>
        <w:rPr>
          <w:rFonts w:ascii="Times New Roman" w:hAnsi="Times New Roman"/>
          <w:sz w:val="20"/>
        </w:rPr>
        <w:t xml:space="preserve">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 </w:t>
      </w:r>
    </w:p>
    <w:p>
      <w:pPr>
        <w:pStyle w:val="TextBody"/>
        <w:spacing w:before="240" w:after="0"/>
        <w:jc w:val="left"/>
        <w:rPr>
          <w:rFonts w:ascii="Times New Roman" w:hAnsi="Times New Roman"/>
          <w:sz w:val="20"/>
        </w:rPr>
      </w:pPr>
      <w:r>
        <w:rPr>
          <w:rFonts w:ascii="Times New Roman" w:hAnsi="Times New Roman"/>
          <w:sz w:val="20"/>
        </w:rPr>
        <w:t xml:space="preserve">The Company may purchase or otherwise acquire the Securities, whether by open market purchases, negotiated transactions or otherwise. A Security does not cease to be outstanding because the Company or an Affiliate of the Company holds the Security (but see Section 2.10 below). </w:t>
      </w:r>
    </w:p>
    <w:p>
      <w:pPr>
        <w:pStyle w:val="TextBody"/>
        <w:spacing w:before="240" w:after="0"/>
        <w:jc w:val="left"/>
        <w:rPr>
          <w:rFonts w:ascii="Times New Roman" w:hAnsi="Times New Roman"/>
          <w:sz w:val="20"/>
        </w:rPr>
      </w:pPr>
      <w:r>
        <w:rPr>
          <w:rFonts w:ascii="Times New Roman" w:hAnsi="Times New Roman"/>
          <w:sz w:val="20"/>
        </w:rPr>
        <w:t xml:space="preserve">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 </w:t>
      </w:r>
    </w:p>
    <w:p>
      <w:pPr>
        <w:pStyle w:val="TextBody"/>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Treasury Securities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 </w:t>
      </w:r>
    </w:p>
    <w:p>
      <w:pPr>
        <w:pStyle w:val="TextBody"/>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Temporary Securities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 </w:t>
      </w:r>
    </w:p>
    <w:p>
      <w:pPr>
        <w:pStyle w:val="TextBody"/>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Cancellation</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 procedures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Defaulted Interest</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 </w:t>
      </w:r>
    </w:p>
    <w:p>
      <w:pPr>
        <w:pStyle w:val="TextBody"/>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Global Securities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2.14.1. </w:t>
      </w:r>
      <w:r>
        <w:rPr>
          <w:rFonts w:ascii="Times New Roman" w:hAnsi="Times New Roman"/>
          <w:sz w:val="20"/>
          <w:u w:val="single"/>
        </w:rPr>
        <w:t>Terms of Securities</w:t>
      </w:r>
      <w:r>
        <w:rPr>
          <w:rFonts w:ascii="Times New Roman" w:hAnsi="Times New Roman"/>
          <w:sz w:val="20"/>
        </w:rPr>
        <w:t xml:space="preserve">. A Board Resolution, a supplemental indenture hereto or an Officers Certificate shall establish whether the Securities of a Series shall be issued in whole or in part in the form of one or more Global Securities and the Depositary for such Global Security or Securities. </w:t>
      </w:r>
    </w:p>
    <w:p>
      <w:pPr>
        <w:pStyle w:val="TextBody"/>
        <w:spacing w:before="240" w:after="0"/>
        <w:jc w:val="left"/>
        <w:rPr>
          <w:rFonts w:ascii="Times New Roman" w:hAnsi="Times New Roman"/>
          <w:sz w:val="20"/>
        </w:rPr>
      </w:pPr>
      <w:r>
        <w:rPr>
          <w:rFonts w:ascii="Times New Roman" w:hAnsi="Times New Roman"/>
          <w:sz w:val="20"/>
        </w:rPr>
        <w:t xml:space="preserve">2.14.2. </w:t>
      </w:r>
      <w:r>
        <w:rPr>
          <w:rFonts w:ascii="Times New Roman" w:hAnsi="Times New Roman"/>
          <w:sz w:val="20"/>
          <w:u w:val="single"/>
        </w:rPr>
        <w:t>Transfer and Exchange</w:t>
      </w:r>
      <w:r>
        <w:rPr>
          <w:rFonts w:ascii="Times New Roman" w:hAnsi="Times New Roman"/>
          <w:sz w:val="20"/>
        </w:rPr>
        <w:t xml:space="preserve">.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w:t>
      </w:r>
    </w:p>
    <w:p>
      <w:pPr>
        <w:pStyle w:val="TextBody"/>
        <w:spacing w:before="240" w:after="0"/>
        <w:jc w:val="left"/>
        <w:rPr>
          <w:rFonts w:ascii="Times New Roman" w:hAnsi="Times New Roman"/>
          <w:sz w:val="20"/>
        </w:rPr>
      </w:pPr>
      <w:r>
        <w:rPr>
          <w:rFonts w:ascii="Times New Roman" w:hAnsi="Times New Roman"/>
          <w:sz w:val="20"/>
        </w:rPr>
        <w:t xml:space="preserve">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 </w:t>
      </w:r>
    </w:p>
    <w:p>
      <w:pPr>
        <w:pStyle w:val="TextBody"/>
        <w:spacing w:before="240" w:after="0"/>
        <w:jc w:val="left"/>
        <w:rPr>
          <w:rFonts w:ascii="Times New Roman" w:hAnsi="Times New Roman"/>
          <w:sz w:val="20"/>
        </w:rPr>
      </w:pPr>
      <w:r>
        <w:rPr>
          <w:rFonts w:ascii="Times New Roman" w:hAnsi="Times New Roman"/>
          <w:sz w:val="20"/>
        </w:rPr>
        <w:t xml:space="preserve">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 </w:t>
      </w:r>
    </w:p>
    <w:p>
      <w:pPr>
        <w:pStyle w:val="TextBody"/>
        <w:spacing w:before="240" w:after="0"/>
        <w:jc w:val="left"/>
        <w:rPr/>
      </w:pPr>
      <w:r>
        <w:rPr/>
        <w:t>    </w:t>
      </w:r>
      <w:r>
        <w:rPr>
          <w:rFonts w:ascii="Times New Roman" w:hAnsi="Times New Roman"/>
          <w:sz w:val="20"/>
        </w:rPr>
        <w:t xml:space="preserve">Neither the Trustee nor any Agent shall have any responsibility for any actions taken or not taken by the Depositary.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2.14.3. </w:t>
      </w:r>
      <w:r>
        <w:rPr>
          <w:rFonts w:ascii="Times New Roman" w:hAnsi="Times New Roman"/>
          <w:sz w:val="20"/>
          <w:u w:val="single"/>
        </w:rPr>
        <w:t>Legends</w:t>
      </w:r>
      <w:r>
        <w:rPr>
          <w:rFonts w:ascii="Times New Roman" w:hAnsi="Times New Roman"/>
          <w:sz w:val="20"/>
        </w:rPr>
        <w:t xml:space="preserve">. Any Global Security issued hereunder shall bear a legend in substantially the following form: </w:t>
      </w:r>
    </w:p>
    <w:p>
      <w:pPr>
        <w:pStyle w:val="TextBody"/>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w:t>
      </w:r>
    </w:p>
    <w:p>
      <w:pPr>
        <w:pStyle w:val="TextBody"/>
        <w:spacing w:before="240" w:after="0"/>
        <w:jc w:val="left"/>
        <w:rPr>
          <w:rFonts w:ascii="Times New Roman" w:hAnsi="Times New Roman"/>
          <w:sz w:val="20"/>
        </w:rPr>
      </w:pPr>
      <w:r>
        <w:rPr>
          <w:rFonts w:ascii="Times New Roman" w:hAnsi="Times New Roman"/>
          <w:sz w:val="20"/>
        </w:rPr>
        <w:t>In addition, so long as the Depository Trust Company (</w:t>
      </w:r>
      <w:r>
        <w:rPr>
          <w:rFonts w:ascii="Times New Roman" w:hAnsi="Times New Roman"/>
          <w:i/>
          <w:sz w:val="20"/>
        </w:rPr>
        <w:t>DTC</w:t>
      </w:r>
      <w:r>
        <w:rPr>
          <w:rFonts w:ascii="Times New Roman" w:hAnsi="Times New Roman"/>
          <w:sz w:val="20"/>
        </w:rPr>
        <w:t xml:space="preserve">) is the Depositary, each Global Note registered in the name of DTC or its nominee shall bear a legend in substantially the following form: </w:t>
      </w:r>
    </w:p>
    <w:p>
      <w:pPr>
        <w:pStyle w:val="TextBody"/>
        <w:spacing w:before="240" w:after="0"/>
        <w:jc w:val="left"/>
        <w:rPr>
          <w:rFonts w:ascii="Times New Roman" w:hAnsi="Times New Roman"/>
          <w:sz w:val="20"/>
        </w:rPr>
      </w:pPr>
      <w:r>
        <w:rPr>
          <w:rFonts w:ascii="Times New Roman" w:hAnsi="Times New Roman"/>
          <w:sz w:val="20"/>
        </w:rPr>
        <w:t xml:space="preserve">UNLESS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 </w:t>
      </w:r>
    </w:p>
    <w:p>
      <w:pPr>
        <w:pStyle w:val="TextBody"/>
        <w:spacing w:before="240" w:after="0"/>
        <w:jc w:val="left"/>
        <w:rPr>
          <w:rFonts w:ascii="Times New Roman" w:hAnsi="Times New Roman"/>
          <w:sz w:val="20"/>
        </w:rPr>
      </w:pPr>
      <w:r>
        <w:rPr>
          <w:rFonts w:ascii="Times New Roman" w:hAnsi="Times New Roman"/>
          <w:sz w:val="20"/>
        </w:rPr>
        <w:t xml:space="preserve">2.14.4. </w:t>
      </w:r>
      <w:r>
        <w:rPr>
          <w:rFonts w:ascii="Times New Roman" w:hAnsi="Times New Roman"/>
          <w:sz w:val="20"/>
          <w:u w:val="single"/>
        </w:rPr>
        <w:t>Acts of Holders</w:t>
      </w:r>
      <w:r>
        <w:rPr>
          <w:rFonts w:ascii="Times New Roman" w:hAnsi="Times New Roman"/>
          <w:sz w:val="20"/>
        </w:rPr>
        <w:t xml:space="preserve">. The Depositary, as a Holder, may appoint agents and otherwise authorize participants to give or take any request, demand, authorization, direction, notice, consent, waiver or other action which a Holder is entitled to give or take under the Indenture. </w:t>
      </w:r>
    </w:p>
    <w:p>
      <w:pPr>
        <w:pStyle w:val="TextBody"/>
        <w:spacing w:before="240" w:after="0"/>
        <w:jc w:val="left"/>
        <w:rPr>
          <w:rFonts w:ascii="Times New Roman" w:hAnsi="Times New Roman"/>
          <w:sz w:val="20"/>
        </w:rPr>
      </w:pPr>
      <w:r>
        <w:rPr>
          <w:rFonts w:ascii="Times New Roman" w:hAnsi="Times New Roman"/>
          <w:sz w:val="20"/>
        </w:rPr>
        <w:t xml:space="preserve">(a) 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 </w:t>
      </w:r>
    </w:p>
    <w:p>
      <w:pPr>
        <w:pStyle w:val="TextBody"/>
        <w:spacing w:before="240" w:after="0"/>
        <w:jc w:val="left"/>
        <w:rPr>
          <w:rFonts w:ascii="Times New Roman" w:hAnsi="Times New Roman"/>
          <w:sz w:val="20"/>
        </w:rPr>
      </w:pPr>
      <w:r>
        <w:rPr>
          <w:rFonts w:ascii="Times New Roman" w:hAnsi="Times New Roman"/>
          <w:sz w:val="20"/>
        </w:rPr>
        <w:t xml:space="preserve">(c) The ownership of Global Securities or any Securities issued in certificated form shall be proved by the Registrar. </w:t>
      </w:r>
    </w:p>
    <w:p>
      <w:pPr>
        <w:pStyle w:val="TextBody"/>
        <w:spacing w:before="240" w:after="0"/>
        <w:jc w:val="left"/>
        <w:rPr>
          <w:rFonts w:ascii="Times New Roman" w:hAnsi="Times New Roman"/>
          <w:sz w:val="20"/>
        </w:rPr>
      </w:pPr>
      <w:r>
        <w:rPr>
          <w:rFonts w:ascii="Times New Roman" w:hAnsi="Times New Roman"/>
          <w:sz w:val="20"/>
        </w:rPr>
        <w:t xml:space="preserve">(d)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 </w:t>
      </w:r>
    </w:p>
    <w:p>
      <w:pPr>
        <w:pStyle w:val="TextBody"/>
        <w:spacing w:before="240" w:after="0"/>
        <w:jc w:val="left"/>
        <w:rPr>
          <w:rFonts w:ascii="Times New Roman" w:hAnsi="Times New Roman"/>
          <w:sz w:val="20"/>
        </w:rPr>
      </w:pPr>
      <w:r>
        <w:rPr>
          <w:rFonts w:ascii="Times New Roman" w:hAnsi="Times New Roman"/>
          <w:sz w:val="20"/>
        </w:rPr>
        <w:t xml:space="preserve">(e) 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 </w:t>
      </w:r>
    </w:p>
    <w:p>
      <w:pPr>
        <w:pStyle w:val="TextBody"/>
        <w:spacing w:before="240" w:after="0"/>
        <w:jc w:val="left"/>
        <w:rPr>
          <w:rFonts w:ascii="Times New Roman" w:hAnsi="Times New Roman"/>
          <w:sz w:val="20"/>
        </w:rPr>
      </w:pPr>
      <w:r>
        <w:rPr>
          <w:rFonts w:ascii="Times New Roman" w:hAnsi="Times New Roman"/>
          <w:sz w:val="20"/>
        </w:rPr>
        <w:t xml:space="preserve">2.14.5. </w:t>
      </w:r>
      <w:r>
        <w:rPr>
          <w:rFonts w:ascii="Times New Roman" w:hAnsi="Times New Roman"/>
          <w:sz w:val="20"/>
          <w:u w:val="single"/>
        </w:rPr>
        <w:t>Payments</w:t>
      </w:r>
      <w:r>
        <w:rPr>
          <w:rFonts w:ascii="Times New Roman" w:hAnsi="Times New Roman"/>
          <w:sz w:val="20"/>
        </w:rPr>
        <w:t xml:space="preserve">. Notwithstanding the other provisions of this Indenture, unless otherwise specified as contemplated by Section 2.2, payment of the principal of and interest, if any, on any Global Security shall be made to the Holder thereof. </w:t>
      </w:r>
    </w:p>
    <w:p>
      <w:pPr>
        <w:pStyle w:val="TextBody"/>
        <w:spacing w:before="240" w:after="0"/>
        <w:jc w:val="left"/>
        <w:rPr>
          <w:rFonts w:ascii="Times New Roman" w:hAnsi="Times New Roman"/>
          <w:sz w:val="20"/>
        </w:rPr>
      </w:pPr>
      <w:r>
        <w:rPr>
          <w:rFonts w:ascii="Times New Roman" w:hAnsi="Times New Roman"/>
          <w:sz w:val="20"/>
        </w:rPr>
        <w:t xml:space="preserve">2.14.6. </w:t>
      </w:r>
      <w:r>
        <w:rPr>
          <w:rFonts w:ascii="Times New Roman" w:hAnsi="Times New Roman"/>
          <w:sz w:val="20"/>
          <w:u w:val="single"/>
        </w:rPr>
        <w:t>Consents, Declaration and Directions</w:t>
      </w:r>
      <w:r>
        <w:rPr>
          <w:rFonts w:ascii="Times New Roman" w:hAnsi="Times New Roman"/>
          <w:sz w:val="20"/>
        </w:rPr>
        <w:t xml:space="preserve">.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CUSIP Numbers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Company in issuing the Securities may use CUSIP numbers (if then generally in use), and, if so, the Trustee shall use CUSIP numbers in notices of redemption as a convenience to Holders; </w:t>
      </w:r>
      <w:r>
        <w:rPr>
          <w:rFonts w:ascii="Times New Roman" w:hAnsi="Times New Roman"/>
          <w:sz w:val="20"/>
          <w:u w:val="single"/>
        </w:rPr>
        <w:t>provided</w:t>
      </w:r>
      <w:r>
        <w:rPr>
          <w:rFonts w:ascii="Times New Roman" w:hAnsi="Times New Roman"/>
          <w:sz w:val="20"/>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 </w:t>
      </w:r>
    </w:p>
    <w:p>
      <w:pPr>
        <w:pStyle w:val="TextBody"/>
        <w:spacing w:before="480" w:after="0"/>
        <w:jc w:val="center"/>
        <w:rPr>
          <w:rFonts w:ascii="Times New Roman" w:hAnsi="Times New Roman"/>
          <w:b/>
          <w:sz w:val="20"/>
        </w:rPr>
      </w:pPr>
      <w:r>
        <w:rPr>
          <w:rFonts w:ascii="Times New Roman" w:hAnsi="Times New Roman"/>
          <w:b/>
          <w:sz w:val="20"/>
        </w:rPr>
        <w:t xml:space="preserve">ARTICLE III </w:t>
      </w:r>
    </w:p>
    <w:p>
      <w:pPr>
        <w:pStyle w:val="TextBody"/>
        <w:spacing w:before="0" w:after="0"/>
        <w:jc w:val="center"/>
        <w:rPr>
          <w:rFonts w:ascii="Times New Roman" w:hAnsi="Times New Roman"/>
          <w:b/>
          <w:sz w:val="20"/>
        </w:rPr>
      </w:pPr>
      <w:r>
        <w:rPr>
          <w:rFonts w:ascii="Times New Roman" w:hAnsi="Times New Roman"/>
          <w:b/>
          <w:sz w:val="20"/>
        </w:rPr>
        <w:t xml:space="preserve">REDEMPTION </w:t>
      </w:r>
    </w:p>
    <w:p>
      <w:pPr>
        <w:pStyle w:val="TextBody"/>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Notice to Trustee</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 </w:t>
      </w:r>
    </w:p>
    <w:p>
      <w:pPr>
        <w:pStyle w:val="TextBody"/>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Selection of Securities to be Redeemed</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w:t>
      </w:r>
      <w:r>
        <w:rPr>
          <w:rFonts w:ascii="Times New Roman" w:hAnsi="Times New Roman"/>
          <w:i/>
          <w:sz w:val="20"/>
        </w:rPr>
        <w:t>pro rata,</w:t>
      </w:r>
      <w:r>
        <w:rPr>
          <w:rFonts w:ascii="Times New Roman" w:hAnsi="Times New Roman"/>
          <w:sz w:val="20"/>
        </w:rPr>
        <w:t xml:space="preserve">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 </w:t>
      </w:r>
    </w:p>
    <w:p>
      <w:pPr>
        <w:pStyle w:val="TextBody"/>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Notice of Redemption</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notice shall identify the Securities of the Series to be redeemed and shall state: </w:t>
      </w:r>
    </w:p>
    <w:p>
      <w:pPr>
        <w:pStyle w:val="TextBody"/>
        <w:spacing w:before="240" w:after="0"/>
        <w:jc w:val="left"/>
        <w:rPr>
          <w:rFonts w:ascii="Times New Roman" w:hAnsi="Times New Roman"/>
          <w:sz w:val="20"/>
        </w:rPr>
      </w:pPr>
      <w:r>
        <w:rPr>
          <w:rFonts w:ascii="Times New Roman" w:hAnsi="Times New Roman"/>
          <w:sz w:val="20"/>
        </w:rPr>
        <w:t xml:space="preserve">(a) the redemption date; </w:t>
      </w:r>
    </w:p>
    <w:p>
      <w:pPr>
        <w:pStyle w:val="TextBody"/>
        <w:spacing w:before="240" w:after="0"/>
        <w:jc w:val="left"/>
        <w:rPr>
          <w:rFonts w:ascii="Times New Roman" w:hAnsi="Times New Roman"/>
          <w:sz w:val="20"/>
        </w:rPr>
      </w:pPr>
      <w:r>
        <w:rPr>
          <w:rFonts w:ascii="Times New Roman" w:hAnsi="Times New Roman"/>
          <w:sz w:val="20"/>
        </w:rPr>
        <w:t xml:space="preserve">(b) the redemption price (or manner of calculation if not then known); </w:t>
      </w:r>
    </w:p>
    <w:p>
      <w:pPr>
        <w:pStyle w:val="TextBody"/>
        <w:spacing w:before="240" w:after="0"/>
        <w:jc w:val="left"/>
        <w:rPr>
          <w:rFonts w:ascii="Times New Roman" w:hAnsi="Times New Roman"/>
          <w:sz w:val="20"/>
        </w:rPr>
      </w:pPr>
      <w:r>
        <w:rPr>
          <w:rFonts w:ascii="Times New Roman" w:hAnsi="Times New Roman"/>
          <w:sz w:val="20"/>
        </w:rPr>
        <w:t xml:space="preserve">(c) the name and address of the Paying Agent; </w:t>
      </w:r>
    </w:p>
    <w:p>
      <w:pPr>
        <w:pStyle w:val="TextBody"/>
        <w:spacing w:before="240" w:after="0"/>
        <w:jc w:val="left"/>
        <w:rPr>
          <w:rFonts w:ascii="Times New Roman" w:hAnsi="Times New Roman"/>
          <w:sz w:val="20"/>
        </w:rPr>
      </w:pPr>
      <w:r>
        <w:rPr>
          <w:rFonts w:ascii="Times New Roman" w:hAnsi="Times New Roman"/>
          <w:sz w:val="20"/>
        </w:rPr>
        <w:t xml:space="preserve">(d) 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 </w:t>
      </w:r>
    </w:p>
    <w:p>
      <w:pPr>
        <w:pStyle w:val="TextBody"/>
        <w:spacing w:before="240" w:after="0"/>
        <w:jc w:val="left"/>
        <w:rPr>
          <w:rFonts w:ascii="Times New Roman" w:hAnsi="Times New Roman"/>
          <w:sz w:val="20"/>
        </w:rPr>
      </w:pPr>
      <w:r>
        <w:rPr>
          <w:rFonts w:ascii="Times New Roman" w:hAnsi="Times New Roman"/>
          <w:sz w:val="20"/>
        </w:rPr>
        <w:t xml:space="preserve">(e) that Securities of the Series called for redemption must be surrendered to the Paying Agent to collect the redemption price; </w:t>
      </w:r>
    </w:p>
    <w:p>
      <w:pPr>
        <w:pStyle w:val="TextBody"/>
        <w:spacing w:before="240" w:after="0"/>
        <w:jc w:val="left"/>
        <w:rPr>
          <w:rFonts w:ascii="Times New Roman" w:hAnsi="Times New Roman"/>
          <w:sz w:val="20"/>
        </w:rPr>
      </w:pPr>
      <w:r>
        <w:rPr>
          <w:rFonts w:ascii="Times New Roman" w:hAnsi="Times New Roman"/>
          <w:sz w:val="20"/>
        </w:rPr>
        <w:t xml:space="preserve">(f) that interest on Securities of the Series called for redemption ceases to accrue on and after the redemption date unless the Company defaults in the deposit of the redemption price; </w:t>
      </w:r>
    </w:p>
    <w:p>
      <w:pPr>
        <w:pStyle w:val="TextBody"/>
        <w:spacing w:before="240" w:after="0"/>
        <w:jc w:val="left"/>
        <w:rPr>
          <w:rFonts w:ascii="Times New Roman" w:hAnsi="Times New Roman"/>
          <w:sz w:val="20"/>
        </w:rPr>
      </w:pPr>
      <w:r>
        <w:rPr>
          <w:rFonts w:ascii="Times New Roman" w:hAnsi="Times New Roman"/>
          <w:sz w:val="20"/>
        </w:rPr>
        <w:t xml:space="preserve">(g) the CUSIP number, if any; and </w:t>
      </w:r>
    </w:p>
    <w:p>
      <w:pPr>
        <w:pStyle w:val="TextBody"/>
        <w:spacing w:before="240" w:after="0"/>
        <w:jc w:val="left"/>
        <w:rPr>
          <w:rFonts w:ascii="Times New Roman" w:hAnsi="Times New Roman"/>
          <w:sz w:val="20"/>
        </w:rPr>
      </w:pPr>
      <w:r>
        <w:rPr>
          <w:rFonts w:ascii="Times New Roman" w:hAnsi="Times New Roman"/>
          <w:sz w:val="20"/>
        </w:rPr>
        <w:t xml:space="preserve">(h) any other information as may be required by the terms of the particular Series or the Securities of a Series being redeemed. </w:t>
      </w:r>
    </w:p>
    <w:p>
      <w:pPr>
        <w:pStyle w:val="TextBody"/>
        <w:spacing w:before="240" w:after="0"/>
        <w:jc w:val="left"/>
        <w:rPr>
          <w:rFonts w:ascii="Times New Roman" w:hAnsi="Times New Roman"/>
          <w:sz w:val="20"/>
        </w:rPr>
      </w:pPr>
      <w:r>
        <w:rPr>
          <w:rFonts w:ascii="Times New Roman" w:hAnsi="Times New Roman"/>
          <w:sz w:val="20"/>
        </w:rPr>
        <w:t xml:space="preserve">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 </w:t>
      </w:r>
    </w:p>
    <w:p>
      <w:pPr>
        <w:pStyle w:val="TextBody"/>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Effect of Notice of Redemption</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 </w:t>
      </w:r>
    </w:p>
    <w:p>
      <w:pPr>
        <w:pStyle w:val="TextBody"/>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Deposit of Redemption Price</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On or before 11:00 a.m., New York City time, on the redemption date, the Company shall irrevocably deposit with the Paying Agent money sufficient (as determined by the Company) to pay the redemption price of and accrued interest, if any, on all Securities to be redeemed on that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Securities Redeemed in Part</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Upon surrender of a Security that is redeemed in part, the Trustee shall authenticate for the Holder a new Security of the same Series and the same maturity equal in principal amount to the unredeemed portion of the Security surrendered. </w:t>
      </w:r>
    </w:p>
    <w:p>
      <w:pPr>
        <w:pStyle w:val="TextBody"/>
        <w:spacing w:before="480" w:after="0"/>
        <w:jc w:val="center"/>
        <w:rPr>
          <w:rFonts w:ascii="Times New Roman" w:hAnsi="Times New Roman"/>
          <w:b/>
          <w:sz w:val="20"/>
        </w:rPr>
      </w:pPr>
      <w:r>
        <w:rPr>
          <w:rFonts w:ascii="Times New Roman" w:hAnsi="Times New Roman"/>
          <w:b/>
          <w:sz w:val="20"/>
        </w:rPr>
        <w:t xml:space="preserve">ARTICLE IV </w:t>
      </w:r>
    </w:p>
    <w:p>
      <w:pPr>
        <w:pStyle w:val="TextBody"/>
        <w:spacing w:before="0" w:after="0"/>
        <w:jc w:val="center"/>
        <w:rPr>
          <w:rFonts w:ascii="Times New Roman" w:hAnsi="Times New Roman"/>
          <w:b/>
          <w:sz w:val="20"/>
        </w:rPr>
      </w:pPr>
      <w:r>
        <w:rPr>
          <w:rFonts w:ascii="Times New Roman" w:hAnsi="Times New Roman"/>
          <w:b/>
          <w:sz w:val="20"/>
        </w:rPr>
        <w:t xml:space="preserve">COVENANTS </w:t>
      </w:r>
    </w:p>
    <w:p>
      <w:pPr>
        <w:pStyle w:val="TextBody"/>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Payment of Principal and Interest</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 </w:t>
      </w:r>
    </w:p>
    <w:p>
      <w:pPr>
        <w:pStyle w:val="TextBody"/>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SEC Reports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(or any successor system thereto) will be deemed to be delivered to the Trustee as of the time of such filing via EDGAR for purposes of this Section 4.2, it being understood that the Trustee shall have no responsibility whatsoever to determine if such filings have been made, and that the Trustee shall not be deemed to have knowledge of the information contained therein. </w:t>
      </w:r>
    </w:p>
    <w:p>
      <w:pPr>
        <w:pStyle w:val="TextBody"/>
        <w:spacing w:before="240" w:after="0"/>
        <w:jc w:val="left"/>
        <w:rPr>
          <w:rFonts w:ascii="Times New Roman" w:hAnsi="Times New Roman"/>
          <w:sz w:val="20"/>
        </w:rPr>
      </w:pPr>
      <w:r>
        <w:rPr>
          <w:rFonts w:ascii="Times New Roman" w:hAnsi="Times New Roman"/>
          <w:sz w:val="20"/>
        </w:rPr>
        <w:t xml:space="preserve">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 </w:t>
      </w:r>
    </w:p>
    <w:p>
      <w:pPr>
        <w:pStyle w:val="TextBody"/>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Compliance Certificate</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Stay, Extension and Usury Laws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 </w:t>
      </w:r>
    </w:p>
    <w:p>
      <w:pPr>
        <w:pStyle w:val="TextBody"/>
        <w:spacing w:before="480" w:after="0"/>
        <w:jc w:val="center"/>
        <w:rPr>
          <w:rFonts w:ascii="Times New Roman" w:hAnsi="Times New Roman"/>
          <w:b/>
          <w:sz w:val="20"/>
        </w:rPr>
      </w:pPr>
      <w:r>
        <w:rPr>
          <w:rFonts w:ascii="Times New Roman" w:hAnsi="Times New Roman"/>
          <w:b/>
          <w:sz w:val="20"/>
        </w:rPr>
        <w:t xml:space="preserve">ARTICLE V </w:t>
      </w:r>
    </w:p>
    <w:p>
      <w:pPr>
        <w:pStyle w:val="TextBody"/>
        <w:spacing w:before="0" w:after="0"/>
        <w:jc w:val="center"/>
        <w:rPr>
          <w:rFonts w:ascii="Times New Roman" w:hAnsi="Times New Roman"/>
          <w:b/>
          <w:sz w:val="20"/>
        </w:rPr>
      </w:pPr>
      <w:r>
        <w:rPr>
          <w:rFonts w:ascii="Times New Roman" w:hAnsi="Times New Roman"/>
          <w:b/>
          <w:sz w:val="20"/>
        </w:rPr>
        <w:t xml:space="preserve">SUCCESSORS </w:t>
      </w:r>
    </w:p>
    <w:p>
      <w:pPr>
        <w:pStyle w:val="TextBody"/>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When Company May Merge, Etc</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The Company shall not consolidate with or merge with or into, or convey, transfer or lease all or substantially all of its properties and assets to, any person (a </w:t>
      </w:r>
      <w:r>
        <w:rPr>
          <w:rFonts w:ascii="Times New Roman" w:hAnsi="Times New Roman"/>
          <w:i/>
          <w:sz w:val="20"/>
        </w:rPr>
        <w:t>successor person</w:t>
      </w:r>
      <w:r>
        <w:rPr>
          <w:rFonts w:ascii="Times New Roman" w:hAnsi="Times New Roman"/>
          <w:sz w:val="20"/>
        </w:rPr>
        <w:t xml:space="preserve">) unless: </w:t>
      </w:r>
    </w:p>
    <w:p>
      <w:pPr>
        <w:pStyle w:val="TextBody"/>
        <w:spacing w:before="240" w:after="0"/>
        <w:jc w:val="left"/>
        <w:rPr>
          <w:rFonts w:ascii="Times New Roman" w:hAnsi="Times New Roman"/>
          <w:sz w:val="20"/>
        </w:rPr>
      </w:pPr>
      <w:r>
        <w:rPr>
          <w:rFonts w:ascii="Times New Roman" w:hAnsi="Times New Roman"/>
          <w:sz w:val="20"/>
        </w:rPr>
        <w:t xml:space="preserve">(a) 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 </w:t>
      </w:r>
    </w:p>
    <w:p>
      <w:pPr>
        <w:pStyle w:val="TextBody"/>
        <w:spacing w:before="240" w:after="0"/>
        <w:jc w:val="left"/>
        <w:rPr>
          <w:rFonts w:ascii="Times New Roman" w:hAnsi="Times New Roman"/>
          <w:sz w:val="20"/>
        </w:rPr>
      </w:pPr>
      <w:r>
        <w:rPr>
          <w:rFonts w:ascii="Times New Roman" w:hAnsi="Times New Roman"/>
          <w:sz w:val="20"/>
        </w:rPr>
        <w:t xml:space="preserve">(b) immediately after giving effect to the transaction, no Default or Event of Default, shall have occurred and be continuing. </w:t>
      </w:r>
    </w:p>
    <w:p>
      <w:pPr>
        <w:pStyle w:val="TextBody"/>
        <w:spacing w:before="240" w:after="0"/>
        <w:jc w:val="left"/>
        <w:rPr>
          <w:rFonts w:ascii="Times New Roman" w:hAnsi="Times New Roman"/>
          <w:sz w:val="20"/>
        </w:rPr>
      </w:pPr>
      <w:r>
        <w:rPr>
          <w:rFonts w:ascii="Times New Roman" w:hAnsi="Times New Roman"/>
          <w:sz w:val="20"/>
        </w:rPr>
        <w:t xml:space="preserve">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 </w:t>
      </w:r>
    </w:p>
    <w:p>
      <w:pPr>
        <w:pStyle w:val="TextBody"/>
        <w:spacing w:before="240" w:after="0"/>
        <w:jc w:val="left"/>
        <w:rPr>
          <w:rFonts w:ascii="Times New Roman" w:hAnsi="Times New Roman"/>
          <w:sz w:val="20"/>
        </w:rPr>
      </w:pPr>
      <w:r>
        <w:rPr>
          <w:rFonts w:ascii="Times New Roman" w:hAnsi="Times New Roman"/>
          <w:sz w:val="20"/>
        </w:rPr>
        <w:t xml:space="preserve">Notwithstanding the above, any Subsidiary of the Company may consolidate with, merge into or transfer all or part of its properties to the Company. Neither an Officers Certificate nor an Opinion of Counsel shall be required to be delivered in connection therewith. </w:t>
      </w:r>
    </w:p>
    <w:p>
      <w:pPr>
        <w:pStyle w:val="TextBody"/>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Successor Corporation Substituted</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predecessor Company in the case of a sale, conveyance or other disposition (other than a lease) shall be released from all obligations and covenants under this Indenture and the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VI </w:t>
      </w:r>
    </w:p>
    <w:p>
      <w:pPr>
        <w:pStyle w:val="TextBody"/>
        <w:spacing w:before="0" w:after="0"/>
        <w:jc w:val="center"/>
        <w:rPr>
          <w:rFonts w:ascii="Times New Roman" w:hAnsi="Times New Roman"/>
          <w:b/>
          <w:sz w:val="20"/>
        </w:rPr>
      </w:pPr>
      <w:r>
        <w:rPr>
          <w:rFonts w:ascii="Times New Roman" w:hAnsi="Times New Roman"/>
          <w:b/>
          <w:sz w:val="20"/>
        </w:rPr>
        <w:t xml:space="preserve">DEFAULTS AND REMEDIES </w:t>
      </w:r>
    </w:p>
    <w:p>
      <w:pPr>
        <w:pStyle w:val="TextBody"/>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Events of Default</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Event of Default</w:t>
      </w:r>
      <w:r>
        <w:rPr>
          <w:rFonts w:ascii="Times New Roman" w:hAnsi="Times New Roman"/>
          <w:sz w:val="20"/>
        </w:rPr>
        <w:t xml:space="preserve">, wherever used herein with respect to Securities of any Series, means any one of the following events, unless in the establishing Board Resolution, supplemental indenture or Officers Certificate, it is provided that such Series shall not have the benefit of said Event of Default: </w:t>
      </w:r>
    </w:p>
    <w:p>
      <w:pPr>
        <w:pStyle w:val="TextBody"/>
        <w:spacing w:before="240" w:after="0"/>
        <w:jc w:val="left"/>
        <w:rPr>
          <w:rFonts w:ascii="Times New Roman" w:hAnsi="Times New Roman"/>
          <w:sz w:val="20"/>
        </w:rPr>
      </w:pPr>
      <w:r>
        <w:rPr>
          <w:rFonts w:ascii="Times New Roman" w:hAnsi="Times New Roman"/>
          <w:sz w:val="20"/>
        </w:rPr>
        <w:t xml:space="preserve">(a) 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 or </w:t>
      </w:r>
    </w:p>
    <w:p>
      <w:pPr>
        <w:pStyle w:val="TextBody"/>
        <w:spacing w:before="240" w:after="0"/>
        <w:jc w:val="left"/>
        <w:rPr>
          <w:rFonts w:ascii="Times New Roman" w:hAnsi="Times New Roman"/>
          <w:sz w:val="20"/>
        </w:rPr>
      </w:pPr>
      <w:r>
        <w:rPr>
          <w:rFonts w:ascii="Times New Roman" w:hAnsi="Times New Roman"/>
          <w:sz w:val="20"/>
        </w:rPr>
        <w:t xml:space="preserve">(b) default in the payment of principal of any Security of that Series at its Maturity; or </w:t>
      </w:r>
    </w:p>
    <w:p>
      <w:pPr>
        <w:pStyle w:val="TextBody"/>
        <w:spacing w:before="240" w:after="0"/>
        <w:jc w:val="left"/>
        <w:rPr>
          <w:rFonts w:ascii="Times New Roman" w:hAnsi="Times New Roman"/>
          <w:sz w:val="20"/>
        </w:rPr>
      </w:pPr>
      <w:r>
        <w:rPr>
          <w:rFonts w:ascii="Times New Roman" w:hAnsi="Times New Roman"/>
          <w:sz w:val="20"/>
        </w:rPr>
        <w:t xml:space="preserve">(c) 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 </w:t>
      </w:r>
    </w:p>
    <w:p>
      <w:pPr>
        <w:pStyle w:val="TextBody"/>
        <w:spacing w:before="240" w:after="0"/>
        <w:jc w:val="left"/>
        <w:rPr>
          <w:rFonts w:ascii="Times New Roman" w:hAnsi="Times New Roman"/>
          <w:sz w:val="20"/>
        </w:rPr>
      </w:pPr>
      <w:r>
        <w:rPr>
          <w:rFonts w:ascii="Times New Roman" w:hAnsi="Times New Roman"/>
          <w:sz w:val="20"/>
        </w:rPr>
        <w:t xml:space="preserve">(d) the Company pursuant to or within the meaning of any Bankruptcy Law: </w:t>
      </w:r>
    </w:p>
    <w:p>
      <w:pPr>
        <w:pStyle w:val="TextBody"/>
        <w:spacing w:before="240" w:after="0"/>
        <w:jc w:val="left"/>
        <w:rPr>
          <w:rFonts w:ascii="Times New Roman" w:hAnsi="Times New Roman"/>
          <w:sz w:val="20"/>
        </w:rPr>
      </w:pPr>
      <w:r>
        <w:rPr>
          <w:rFonts w:ascii="Times New Roman" w:hAnsi="Times New Roman"/>
          <w:sz w:val="20"/>
        </w:rPr>
        <w:t xml:space="preserve">(i) commences a voluntary case, </w:t>
      </w:r>
    </w:p>
    <w:p>
      <w:pPr>
        <w:pStyle w:val="TextBody"/>
        <w:spacing w:before="240" w:after="0"/>
        <w:jc w:val="left"/>
        <w:rPr>
          <w:rFonts w:ascii="Times New Roman" w:hAnsi="Times New Roman"/>
          <w:sz w:val="20"/>
        </w:rPr>
      </w:pPr>
      <w:r>
        <w:rPr>
          <w:rFonts w:ascii="Times New Roman" w:hAnsi="Times New Roman"/>
          <w:sz w:val="20"/>
        </w:rPr>
        <w:t xml:space="preserve">(ii) consents to the entry of an order for relief against it in an involuntary case, </w:t>
      </w:r>
    </w:p>
    <w:p>
      <w:pPr>
        <w:pStyle w:val="TextBody"/>
        <w:spacing w:before="240" w:after="0"/>
        <w:jc w:val="left"/>
        <w:rPr>
          <w:rFonts w:ascii="Times New Roman" w:hAnsi="Times New Roman"/>
          <w:sz w:val="20"/>
        </w:rPr>
      </w:pPr>
      <w:r>
        <w:rPr>
          <w:rFonts w:ascii="Times New Roman" w:hAnsi="Times New Roman"/>
          <w:sz w:val="20"/>
        </w:rPr>
        <w:t xml:space="preserve">(iii) consents to the appointment of a Custodian of it or for all or substantially all of its property, </w:t>
      </w:r>
    </w:p>
    <w:p>
      <w:pPr>
        <w:pStyle w:val="TextBody"/>
        <w:spacing w:before="240" w:after="0"/>
        <w:jc w:val="left"/>
        <w:rPr>
          <w:rFonts w:ascii="Times New Roman" w:hAnsi="Times New Roman"/>
          <w:sz w:val="20"/>
        </w:rPr>
      </w:pPr>
      <w:r>
        <w:rPr>
          <w:rFonts w:ascii="Times New Roman" w:hAnsi="Times New Roman"/>
          <w:sz w:val="20"/>
        </w:rPr>
        <w:t xml:space="preserve">(iv) makes a general assignment for the benefit of its creditors, or </w:t>
      </w:r>
    </w:p>
    <w:p>
      <w:pPr>
        <w:pStyle w:val="TextBody"/>
        <w:spacing w:before="240" w:after="0"/>
        <w:jc w:val="left"/>
        <w:rPr>
          <w:rFonts w:ascii="Times New Roman" w:hAnsi="Times New Roman"/>
          <w:sz w:val="20"/>
        </w:rPr>
      </w:pPr>
      <w:r>
        <w:rPr>
          <w:rFonts w:ascii="Times New Roman" w:hAnsi="Times New Roman"/>
          <w:sz w:val="20"/>
        </w:rPr>
        <w:t xml:space="preserve">(v) generally is unable to pay its debts as the same become due; or </w:t>
      </w:r>
    </w:p>
    <w:p>
      <w:pPr>
        <w:pStyle w:val="TextBody"/>
        <w:spacing w:before="240" w:after="0"/>
        <w:jc w:val="left"/>
        <w:rPr>
          <w:rFonts w:ascii="Times New Roman" w:hAnsi="Times New Roman"/>
          <w:sz w:val="20"/>
        </w:rPr>
      </w:pPr>
      <w:r>
        <w:rPr>
          <w:rFonts w:ascii="Times New Roman" w:hAnsi="Times New Roman"/>
          <w:sz w:val="20"/>
        </w:rPr>
        <w:t xml:space="preserve">(e) a court of competent jurisdiction enters an order or decree under any Bankruptcy Law that: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 is for relief against the Company in an involuntary case, </w:t>
      </w:r>
    </w:p>
    <w:p>
      <w:pPr>
        <w:pStyle w:val="TextBody"/>
        <w:spacing w:before="240" w:after="0"/>
        <w:jc w:val="left"/>
        <w:rPr>
          <w:rFonts w:ascii="Times New Roman" w:hAnsi="Times New Roman"/>
          <w:sz w:val="20"/>
        </w:rPr>
      </w:pPr>
      <w:r>
        <w:rPr>
          <w:rFonts w:ascii="Times New Roman" w:hAnsi="Times New Roman"/>
          <w:sz w:val="20"/>
        </w:rPr>
        <w:t xml:space="preserve">(ii) appoints a Custodian of the Company or for all or substantially all of its property, or </w:t>
      </w:r>
    </w:p>
    <w:p>
      <w:pPr>
        <w:pStyle w:val="TextBody"/>
        <w:spacing w:before="240" w:after="0"/>
        <w:jc w:val="left"/>
        <w:rPr>
          <w:rFonts w:ascii="Times New Roman" w:hAnsi="Times New Roman"/>
          <w:sz w:val="20"/>
        </w:rPr>
      </w:pPr>
      <w:r>
        <w:rPr>
          <w:rFonts w:ascii="Times New Roman" w:hAnsi="Times New Roman"/>
          <w:sz w:val="20"/>
        </w:rPr>
        <w:t xml:space="preserve">(iii) orders the liquidation of the Company, </w:t>
      </w:r>
    </w:p>
    <w:p>
      <w:pPr>
        <w:pStyle w:val="TextBody"/>
        <w:spacing w:before="240" w:after="0"/>
        <w:jc w:val="left"/>
        <w:rPr>
          <w:rFonts w:ascii="Times New Roman" w:hAnsi="Times New Roman"/>
          <w:sz w:val="20"/>
        </w:rPr>
      </w:pPr>
      <w:r>
        <w:rPr>
          <w:rFonts w:ascii="Times New Roman" w:hAnsi="Times New Roman"/>
          <w:sz w:val="20"/>
        </w:rPr>
        <w:t xml:space="preserve">and the order or decree remains unstayed and in effect for 60 days; or </w:t>
      </w:r>
    </w:p>
    <w:p>
      <w:pPr>
        <w:pStyle w:val="TextBody"/>
        <w:spacing w:before="240" w:after="0"/>
        <w:jc w:val="left"/>
        <w:rPr>
          <w:rFonts w:ascii="Times New Roman" w:hAnsi="Times New Roman"/>
          <w:sz w:val="20"/>
        </w:rPr>
      </w:pPr>
      <w:r>
        <w:rPr>
          <w:rFonts w:ascii="Times New Roman" w:hAnsi="Times New Roman"/>
          <w:sz w:val="20"/>
        </w:rPr>
        <w:t xml:space="preserve">(f) any other Event of Default provided with respect to Securities of that Series, which is specified in a Board Resolution, a supplemental indenture hereto or an Officers Certificate, in accordance with Section 2.2.18. </w:t>
      </w:r>
    </w:p>
    <w:p>
      <w:pPr>
        <w:pStyle w:val="TextBody"/>
        <w:spacing w:before="240" w:after="0"/>
        <w:jc w:val="left"/>
        <w:rPr>
          <w:rFonts w:ascii="Times New Roman" w:hAnsi="Times New Roman"/>
          <w:sz w:val="20"/>
        </w:rPr>
      </w:pPr>
      <w:r>
        <w:rPr>
          <w:rFonts w:ascii="Times New Roman" w:hAnsi="Times New Roman"/>
          <w:sz w:val="20"/>
        </w:rPr>
        <w:t>The term </w:t>
      </w:r>
      <w:r>
        <w:rPr>
          <w:rFonts w:ascii="Times New Roman" w:hAnsi="Times New Roman"/>
          <w:i/>
          <w:sz w:val="20"/>
        </w:rPr>
        <w:t>Bankruptcy Law</w:t>
      </w:r>
      <w:r>
        <w:rPr>
          <w:rFonts w:ascii="Times New Roman" w:hAnsi="Times New Roman"/>
          <w:sz w:val="20"/>
        </w:rPr>
        <w:t> means title 11, U.S. Code or any similar U.S. Federal or State law for the relief of debtors. The term </w:t>
      </w:r>
      <w:r>
        <w:rPr>
          <w:rFonts w:ascii="Times New Roman" w:hAnsi="Times New Roman"/>
          <w:i/>
          <w:sz w:val="20"/>
        </w:rPr>
        <w:t>Custodian</w:t>
      </w:r>
      <w:r>
        <w:rPr>
          <w:rFonts w:ascii="Times New Roman" w:hAnsi="Times New Roman"/>
          <w:sz w:val="20"/>
        </w:rPr>
        <w:t xml:space="preserve"> means any receiver, trustee, assignee, liquidator or similar official under any Bankruptcy Law. </w:t>
      </w:r>
    </w:p>
    <w:p>
      <w:pPr>
        <w:pStyle w:val="TextBody"/>
        <w:spacing w:before="240" w:after="0"/>
        <w:jc w:val="left"/>
        <w:rPr>
          <w:rFonts w:ascii="Times New Roman" w:hAnsi="Times New Roman"/>
          <w:sz w:val="20"/>
        </w:rPr>
      </w:pPr>
      <w:r>
        <w:rPr>
          <w:rFonts w:ascii="Times New Roman" w:hAnsi="Times New Roman"/>
          <w:sz w:val="20"/>
        </w:rPr>
        <w:t xml:space="preserve">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w:t>
      </w:r>
    </w:p>
    <w:p>
      <w:pPr>
        <w:pStyle w:val="TextBody"/>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Acceleration of Maturity; Rescission and Annulment</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hAnsi="Times New Roman"/>
          <w:i/>
          <w:sz w:val="20"/>
        </w:rPr>
        <w:t>ipso facto</w:t>
      </w:r>
      <w:r>
        <w:rPr>
          <w:rFonts w:ascii="Times New Roman" w:hAnsi="Times New Roman"/>
          <w:sz w:val="20"/>
        </w:rPr>
        <w:t xml:space="preserve"> become and be immediately due and payable without any declaration or other act on the part of the Trustee or any Holder. </w:t>
      </w:r>
    </w:p>
    <w:p>
      <w:pPr>
        <w:pStyle w:val="TextBody"/>
        <w:spacing w:before="240" w:after="0"/>
        <w:jc w:val="left"/>
        <w:rPr>
          <w:rFonts w:ascii="Times New Roman" w:hAnsi="Times New Roman"/>
          <w:sz w:val="20"/>
        </w:rPr>
      </w:pPr>
      <w:r>
        <w:rPr>
          <w:rFonts w:ascii="Times New Roman" w:hAnsi="Times New Roman"/>
          <w:sz w:val="20"/>
        </w:rPr>
        <w:t xml:space="preserve">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No such rescission shall affect any subsequent Default or impair any right consequent thereon. </w:t>
      </w:r>
    </w:p>
    <w:p>
      <w:pPr>
        <w:pStyle w:val="TextBody"/>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Collection of Indebtedness and Suits for Enforcement by Trustee</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Company covenants that if </w:t>
      </w:r>
    </w:p>
    <w:p>
      <w:pPr>
        <w:pStyle w:val="TextBody"/>
        <w:spacing w:before="240" w:after="0"/>
        <w:jc w:val="left"/>
        <w:rPr>
          <w:rFonts w:ascii="Times New Roman" w:hAnsi="Times New Roman"/>
          <w:sz w:val="20"/>
        </w:rPr>
      </w:pPr>
      <w:r>
        <w:rPr>
          <w:rFonts w:ascii="Times New Roman" w:hAnsi="Times New Roman"/>
          <w:sz w:val="20"/>
        </w:rPr>
        <w:t xml:space="preserve">(a) default is made in the payment of any interest on any Security when such interest becomes due and payable and such default continues for a period of 30 days, or </w:t>
      </w:r>
    </w:p>
    <w:p>
      <w:pPr>
        <w:pStyle w:val="TextBody"/>
        <w:spacing w:before="240" w:after="0"/>
        <w:jc w:val="left"/>
        <w:rPr>
          <w:rFonts w:ascii="Times New Roman" w:hAnsi="Times New Roman"/>
          <w:sz w:val="20"/>
        </w:rPr>
      </w:pPr>
      <w:r>
        <w:rPr>
          <w:rFonts w:ascii="Times New Roman" w:hAnsi="Times New Roman"/>
          <w:sz w:val="20"/>
        </w:rPr>
        <w:t xml:space="preserve">(b) default is made in the payment of principal of any Security at the Maturity thereof, or </w:t>
      </w:r>
    </w:p>
    <w:p>
      <w:pPr>
        <w:pStyle w:val="TextBody"/>
        <w:spacing w:before="240" w:after="0"/>
        <w:jc w:val="left"/>
        <w:rPr>
          <w:rFonts w:ascii="Times New Roman" w:hAnsi="Times New Roman"/>
          <w:sz w:val="20"/>
        </w:rPr>
      </w:pPr>
      <w:r>
        <w:rPr>
          <w:rFonts w:ascii="Times New Roman" w:hAnsi="Times New Roman"/>
          <w:sz w:val="20"/>
        </w:rPr>
        <w:t xml:space="preserve">(c) default is made in the deposit of any sinking fund payment, if any, when and as due by the terms of a Security, </w:t>
      </w:r>
    </w:p>
    <w:p>
      <w:pPr>
        <w:pStyle w:val="TextBody"/>
        <w:spacing w:before="240" w:after="0"/>
        <w:jc w:val="left"/>
        <w:rPr>
          <w:rFonts w:ascii="Times New Roman" w:hAnsi="Times New Roman"/>
          <w:sz w:val="20"/>
        </w:rPr>
      </w:pPr>
      <w:r>
        <w:rPr>
          <w:rFonts w:ascii="Times New Roman" w:hAnsi="Times New Roman"/>
          <w:i/>
          <w:sz w:val="20"/>
        </w:rPr>
        <w:t>then</w:t>
      </w:r>
      <w:r>
        <w:rPr>
          <w:rFonts w:ascii="Times New Roman" w:hAnsi="Times New Roman"/>
          <w:sz w:val="20"/>
        </w:rPr>
        <w:t xml:space="preserve">,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 </w:t>
      </w:r>
    </w:p>
    <w:p>
      <w:pPr>
        <w:pStyle w:val="TextBody"/>
        <w:spacing w:before="240" w:after="0"/>
        <w:jc w:val="left"/>
        <w:rPr>
          <w:rFonts w:ascii="Times New Roman" w:hAnsi="Times New Roman"/>
          <w:sz w:val="20"/>
        </w:rPr>
      </w:pPr>
      <w:r>
        <w:rPr>
          <w:rFonts w:ascii="Times New Roman" w:hAnsi="Times New Roman"/>
          <w:sz w:val="20"/>
        </w:rPr>
        <w:t xml:space="preserve">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 </w:t>
      </w:r>
    </w:p>
    <w:p>
      <w:pPr>
        <w:pStyle w:val="TextBody"/>
        <w:spacing w:before="240" w:after="0"/>
        <w:jc w:val="left"/>
        <w:rPr>
          <w:rFonts w:ascii="Times New Roman" w:hAnsi="Times New Roman"/>
          <w:sz w:val="20"/>
        </w:rPr>
      </w:pPr>
      <w:r>
        <w:rPr>
          <w:rFonts w:ascii="Times New Roman" w:hAnsi="Times New Roman"/>
          <w:sz w:val="20"/>
        </w:rPr>
        <w:t xml:space="preserve">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Trustee May File Proofs of Claim</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 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 </w:t>
      </w:r>
    </w:p>
    <w:p>
      <w:pPr>
        <w:pStyle w:val="TextBody"/>
        <w:spacing w:before="240" w:after="0"/>
        <w:jc w:val="left"/>
        <w:rPr>
          <w:rFonts w:ascii="Times New Roman" w:hAnsi="Times New Roman"/>
          <w:sz w:val="20"/>
        </w:rPr>
      </w:pPr>
      <w:r>
        <w:rPr>
          <w:rFonts w:ascii="Times New Roman" w:hAnsi="Times New Roman"/>
          <w:sz w:val="20"/>
        </w:rPr>
        <w:t xml:space="preserve">(b)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 </w:t>
      </w:r>
    </w:p>
    <w:p>
      <w:pPr>
        <w:pStyle w:val="TextBody"/>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p>
    <w:p>
      <w:pPr>
        <w:pStyle w:val="TextBody"/>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Trustee May Enforce Claims Without Possession of Securities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 </w:t>
      </w:r>
    </w:p>
    <w:p>
      <w:pPr>
        <w:pStyle w:val="TextBody"/>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Application of Money Collected</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 </w:t>
      </w:r>
    </w:p>
    <w:p>
      <w:pPr>
        <w:pStyle w:val="TextBody"/>
        <w:spacing w:before="240" w:after="0"/>
        <w:jc w:val="left"/>
        <w:rPr>
          <w:rFonts w:ascii="Times New Roman" w:hAnsi="Times New Roman"/>
          <w:sz w:val="20"/>
        </w:rPr>
      </w:pPr>
      <w:r>
        <w:rPr>
          <w:rFonts w:ascii="Times New Roman" w:hAnsi="Times New Roman"/>
          <w:sz w:val="20"/>
        </w:rPr>
        <w:t xml:space="preserve">First: To the payment of all amounts due the Trustee under Section 7.7; and </w:t>
      </w:r>
    </w:p>
    <w:p>
      <w:pPr>
        <w:pStyle w:val="TextBody"/>
        <w:spacing w:before="240" w:after="0"/>
        <w:jc w:val="left"/>
        <w:rPr>
          <w:rFonts w:ascii="Times New Roman" w:hAnsi="Times New Roman"/>
          <w:sz w:val="20"/>
        </w:rPr>
      </w:pPr>
      <w:r>
        <w:rPr>
          <w:rFonts w:ascii="Times New Roman" w:hAnsi="Times New Roman"/>
          <w:sz w:val="20"/>
        </w:rPr>
        <w:t xml:space="preserve">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 </w:t>
      </w:r>
    </w:p>
    <w:p>
      <w:pPr>
        <w:pStyle w:val="TextBody"/>
        <w:spacing w:before="240" w:after="0"/>
        <w:jc w:val="left"/>
        <w:rPr>
          <w:rFonts w:ascii="Times New Roman" w:hAnsi="Times New Roman"/>
          <w:sz w:val="20"/>
        </w:rPr>
      </w:pPr>
      <w:r>
        <w:rPr>
          <w:rFonts w:ascii="Times New Roman" w:hAnsi="Times New Roman"/>
          <w:sz w:val="20"/>
        </w:rPr>
        <w:t xml:space="preserve">Third: To the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Limitation on Suits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No Holder of any Security of any Series shall have any right to institute any proceeding, judicial or otherwise, with respect to this Indenture, or for the appointment of a receiver or trustee, or for any other remedy hereunder, unless </w:t>
      </w:r>
    </w:p>
    <w:p>
      <w:pPr>
        <w:pStyle w:val="TextBody"/>
        <w:spacing w:before="240" w:after="0"/>
        <w:jc w:val="left"/>
        <w:rPr>
          <w:rFonts w:ascii="Times New Roman" w:hAnsi="Times New Roman"/>
          <w:sz w:val="20"/>
        </w:rPr>
      </w:pPr>
      <w:r>
        <w:rPr>
          <w:rFonts w:ascii="Times New Roman" w:hAnsi="Times New Roman"/>
          <w:sz w:val="20"/>
        </w:rPr>
        <w:t xml:space="preserve">(a) such Holder has previously given written notice to the Trustee of a continuing Event of Default with respect to the Securities of that Series; </w:t>
      </w:r>
    </w:p>
    <w:p>
      <w:pPr>
        <w:pStyle w:val="TextBody"/>
        <w:spacing w:before="240" w:after="0"/>
        <w:jc w:val="left"/>
        <w:rPr>
          <w:rFonts w:ascii="Times New Roman" w:hAnsi="Times New Roman"/>
          <w:sz w:val="20"/>
        </w:rPr>
      </w:pPr>
      <w:r>
        <w:rPr>
          <w:rFonts w:ascii="Times New Roman" w:hAnsi="Times New Roman"/>
          <w:sz w:val="20"/>
        </w:rPr>
        <w:t xml:space="preserve">(b) the Holders of not less than 25% in principal amount of the outstanding Securities of that Series shall have made written request to the Trustee to institute proceedings in respect of such Event of Default in its own name as Trustee hereunder; </w:t>
      </w:r>
    </w:p>
    <w:p>
      <w:pPr>
        <w:pStyle w:val="TextBody"/>
        <w:spacing w:before="240" w:after="0"/>
        <w:jc w:val="left"/>
        <w:rPr>
          <w:rFonts w:ascii="Times New Roman" w:hAnsi="Times New Roman"/>
          <w:sz w:val="20"/>
        </w:rPr>
      </w:pPr>
      <w:r>
        <w:rPr>
          <w:rFonts w:ascii="Times New Roman" w:hAnsi="Times New Roman"/>
          <w:sz w:val="20"/>
        </w:rPr>
        <w:t xml:space="preserve">(c) such Holder or Holders have offered to the Trustee indemnity or security satisfactory to the Trustee against the costs, expenses and liabilities which might be incurred by the Trustee in compliance with such request; </w:t>
      </w:r>
    </w:p>
    <w:p>
      <w:pPr>
        <w:pStyle w:val="TextBody"/>
        <w:spacing w:before="240" w:after="0"/>
        <w:jc w:val="left"/>
        <w:rPr>
          <w:rFonts w:ascii="Times New Roman" w:hAnsi="Times New Roman"/>
          <w:sz w:val="20"/>
        </w:rPr>
      </w:pPr>
      <w:r>
        <w:rPr>
          <w:rFonts w:ascii="Times New Roman" w:hAnsi="Times New Roman"/>
          <w:sz w:val="20"/>
        </w:rPr>
        <w:t xml:space="preserve">(d) the Trustee for 60 days after its receipt of such notice, request and offer of indemnity has failed to institute any such proceeding; and </w:t>
      </w:r>
    </w:p>
    <w:p>
      <w:pPr>
        <w:pStyle w:val="TextBody"/>
        <w:spacing w:before="240" w:after="0"/>
        <w:jc w:val="left"/>
        <w:rPr>
          <w:rFonts w:ascii="Times New Roman" w:hAnsi="Times New Roman"/>
          <w:sz w:val="20"/>
        </w:rPr>
      </w:pPr>
      <w:r>
        <w:rPr>
          <w:rFonts w:ascii="Times New Roman" w:hAnsi="Times New Roman"/>
          <w:sz w:val="20"/>
        </w:rPr>
        <w:t xml:space="preserve">(e) no direction inconsistent with such written request has been given to the Trustee during such 60-day period by the Holders of a majority in principal amount of the outstanding Securities of that Series; </w:t>
      </w:r>
    </w:p>
    <w:p>
      <w:pPr>
        <w:pStyle w:val="TextBody"/>
        <w:spacing w:before="240" w:after="0"/>
        <w:jc w:val="left"/>
        <w:rPr>
          <w:rFonts w:ascii="Times New Roman" w:hAnsi="Times New Roman"/>
          <w:sz w:val="20"/>
        </w:rPr>
      </w:pPr>
      <w:r>
        <w:rPr>
          <w:rFonts w:ascii="Times New Roman" w:hAnsi="Times New Roman"/>
          <w:sz w:val="20"/>
        </w:rPr>
        <w:t xml:space="preserve">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 </w:t>
      </w:r>
    </w:p>
    <w:p>
      <w:pPr>
        <w:pStyle w:val="TextBody"/>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Unconditional Right of Holders to Receive Principal and Interest</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 </w:t>
      </w:r>
    </w:p>
    <w:p>
      <w:pPr>
        <w:pStyle w:val="TextBody"/>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Restoration of Rights and Remedies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Rights and Remedies Cumulative</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 </w:t>
      </w:r>
    </w:p>
    <w:p>
      <w:pPr>
        <w:pStyle w:val="TextBody"/>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Delay or Omission Not Waiver</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 </w:t>
      </w:r>
    </w:p>
    <w:p>
      <w:pPr>
        <w:pStyle w:val="TextBody"/>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Control by Holders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 </w:t>
      </w:r>
    </w:p>
    <w:p>
      <w:pPr>
        <w:pStyle w:val="TextBody"/>
        <w:spacing w:before="240" w:after="0"/>
        <w:jc w:val="left"/>
        <w:rPr>
          <w:rFonts w:ascii="Times New Roman" w:hAnsi="Times New Roman"/>
          <w:sz w:val="20"/>
        </w:rPr>
      </w:pPr>
      <w:r>
        <w:rPr>
          <w:rFonts w:ascii="Times New Roman" w:hAnsi="Times New Roman"/>
          <w:sz w:val="20"/>
        </w:rPr>
        <w:t xml:space="preserve">(a) such direction shall not be in conflict with any rule of law or with this Indenture, </w:t>
      </w:r>
    </w:p>
    <w:p>
      <w:pPr>
        <w:pStyle w:val="TextBody"/>
        <w:spacing w:before="240" w:after="0"/>
        <w:jc w:val="left"/>
        <w:rPr>
          <w:rFonts w:ascii="Times New Roman" w:hAnsi="Times New Roman"/>
          <w:sz w:val="20"/>
        </w:rPr>
      </w:pPr>
      <w:r>
        <w:rPr>
          <w:rFonts w:ascii="Times New Roman" w:hAnsi="Times New Roman"/>
          <w:sz w:val="20"/>
        </w:rPr>
        <w:t xml:space="preserve">(b) the Trustee may take any other action deemed proper by the Trustee which is not inconsistent with such direction, </w:t>
      </w:r>
    </w:p>
    <w:p>
      <w:pPr>
        <w:pStyle w:val="TextBody"/>
        <w:spacing w:before="240" w:after="0"/>
        <w:jc w:val="left"/>
        <w:rPr>
          <w:rFonts w:ascii="Times New Roman" w:hAnsi="Times New Roman"/>
          <w:sz w:val="20"/>
        </w:rPr>
      </w:pPr>
      <w:r>
        <w:rPr>
          <w:rFonts w:ascii="Times New Roman" w:hAnsi="Times New Roman"/>
          <w:sz w:val="20"/>
        </w:rPr>
        <w:t xml:space="preserve">(c) 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 </w:t>
      </w:r>
    </w:p>
    <w:p>
      <w:pPr>
        <w:pStyle w:val="TextBody"/>
        <w:spacing w:before="240" w:after="0"/>
        <w:jc w:val="left"/>
        <w:rPr>
          <w:rFonts w:ascii="Times New Roman" w:hAnsi="Times New Roman"/>
          <w:sz w:val="20"/>
        </w:rPr>
      </w:pPr>
      <w:r>
        <w:rPr>
          <w:rFonts w:ascii="Times New Roman" w:hAnsi="Times New Roman"/>
          <w:sz w:val="20"/>
        </w:rPr>
        <w:t xml:space="preserve">(d) prior to taking any action as directed under this Section 6.12, the Trustee shall be entitled to indemnity satisfactory to it against the losses, costs, expenses and liabilities which might be incurred by it in compliance with such request or direction.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Waiver of Past Defaults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Undertaking for Costs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 </w:t>
      </w:r>
    </w:p>
    <w:p>
      <w:pPr>
        <w:pStyle w:val="TextBody"/>
        <w:spacing w:before="480" w:after="0"/>
        <w:jc w:val="center"/>
        <w:rPr>
          <w:rFonts w:ascii="Times New Roman" w:hAnsi="Times New Roman"/>
          <w:b/>
          <w:sz w:val="20"/>
        </w:rPr>
      </w:pPr>
      <w:r>
        <w:rPr>
          <w:rFonts w:ascii="Times New Roman" w:hAnsi="Times New Roman"/>
          <w:b/>
          <w:sz w:val="20"/>
        </w:rPr>
        <w:t xml:space="preserve">ARTICLE VII </w:t>
      </w:r>
    </w:p>
    <w:p>
      <w:pPr>
        <w:pStyle w:val="TextBody"/>
        <w:spacing w:before="0" w:after="0"/>
        <w:jc w:val="center"/>
        <w:rPr>
          <w:rFonts w:ascii="Times New Roman" w:hAnsi="Times New Roman"/>
          <w:b/>
          <w:sz w:val="20"/>
        </w:rPr>
      </w:pPr>
      <w:r>
        <w:rPr>
          <w:rFonts w:ascii="Times New Roman" w:hAnsi="Times New Roman"/>
          <w:b/>
          <w:sz w:val="20"/>
        </w:rPr>
        <w:t xml:space="preserve">TRUSTEE </w:t>
      </w:r>
    </w:p>
    <w:p>
      <w:pPr>
        <w:pStyle w:val="TextBody"/>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Duties of Trustee</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 </w:t>
      </w:r>
    </w:p>
    <w:p>
      <w:pPr>
        <w:pStyle w:val="TextBody"/>
        <w:spacing w:before="24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spacing w:before="240" w:after="0"/>
        <w:jc w:val="left"/>
        <w:rPr>
          <w:rFonts w:ascii="Times New Roman" w:hAnsi="Times New Roman"/>
          <w:sz w:val="20"/>
        </w:rPr>
      </w:pPr>
      <w:r>
        <w:rPr>
          <w:rFonts w:ascii="Times New Roman" w:hAnsi="Times New Roman"/>
          <w:sz w:val="20"/>
        </w:rPr>
        <w:t xml:space="preserve">(i) The Trustee need perform only those duties that are specifically set forth in this Indenture and no others, and no implied covenants or obligations shall be read into this Indenture against the Trustee.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hAnsi="Times New Roman"/>
          <w:sz w:val="20"/>
          <w:u w:val="single"/>
        </w:rPr>
        <w:t>however</w:t>
      </w:r>
      <w:r>
        <w:rPr>
          <w:rFonts w:ascii="Times New Roman" w:hAnsi="Times New Roman"/>
          <w:sz w:val="20"/>
        </w:rPr>
        <w:t xml:space="preserve">,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 </w:t>
      </w:r>
    </w:p>
    <w:p>
      <w:pPr>
        <w:pStyle w:val="TextBody"/>
        <w:spacing w:before="240" w:after="0"/>
        <w:jc w:val="left"/>
        <w:rPr>
          <w:rFonts w:ascii="Times New Roman" w:hAnsi="Times New Roman"/>
          <w:sz w:val="20"/>
        </w:rPr>
      </w:pPr>
      <w:r>
        <w:rPr>
          <w:rFonts w:ascii="Times New Roman" w:hAnsi="Times New Roman"/>
          <w:sz w:val="20"/>
        </w:rPr>
        <w:t xml:space="preserve">(c) The Trustee may not be relieved from liability for its own negligent action, its own negligent failure to act or its own willful misconduct, except that: </w:t>
      </w:r>
    </w:p>
    <w:p>
      <w:pPr>
        <w:pStyle w:val="TextBody"/>
        <w:spacing w:before="240" w:after="0"/>
        <w:jc w:val="left"/>
        <w:rPr>
          <w:rFonts w:ascii="Times New Roman" w:hAnsi="Times New Roman"/>
          <w:sz w:val="20"/>
        </w:rPr>
      </w:pPr>
      <w:r>
        <w:rPr>
          <w:rFonts w:ascii="Times New Roman" w:hAnsi="Times New Roman"/>
          <w:sz w:val="20"/>
        </w:rPr>
        <w:t xml:space="preserve">(i) This paragraph does not limit the effect of paragraph (b) of this Section. </w:t>
      </w:r>
    </w:p>
    <w:p>
      <w:pPr>
        <w:pStyle w:val="TextBody"/>
        <w:spacing w:before="240" w:after="0"/>
        <w:jc w:val="left"/>
        <w:rPr>
          <w:rFonts w:ascii="Times New Roman" w:hAnsi="Times New Roman"/>
          <w:sz w:val="20"/>
        </w:rPr>
      </w:pPr>
      <w:r>
        <w:rPr>
          <w:rFonts w:ascii="Times New Roman" w:hAnsi="Times New Roman"/>
          <w:sz w:val="20"/>
        </w:rPr>
        <w:t xml:space="preserve">(ii) The Trustee shall not be liable for any error of judgment made in good faith by a Responsible Officer, unless it is proved in a court of competent jurisdiction that the Trustee was negligent in ascertaining the pertinent facts. </w:t>
      </w:r>
    </w:p>
    <w:p>
      <w:pPr>
        <w:pStyle w:val="TextBody"/>
        <w:spacing w:before="240" w:after="0"/>
        <w:jc w:val="left"/>
        <w:rPr>
          <w:rFonts w:ascii="Times New Roman" w:hAnsi="Times New Roman"/>
          <w:sz w:val="20"/>
        </w:rPr>
      </w:pPr>
      <w:r>
        <w:rPr>
          <w:rFonts w:ascii="Times New Roman" w:hAnsi="Times New Roman"/>
          <w:sz w:val="20"/>
        </w:rPr>
        <w:t xml:space="preserve">(iii)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 </w:t>
      </w:r>
    </w:p>
    <w:p>
      <w:pPr>
        <w:pStyle w:val="TextBody"/>
        <w:spacing w:before="240" w:after="0"/>
        <w:jc w:val="left"/>
        <w:rPr>
          <w:rFonts w:ascii="Times New Roman" w:hAnsi="Times New Roman"/>
          <w:sz w:val="20"/>
        </w:rPr>
      </w:pPr>
      <w:r>
        <w:rPr>
          <w:rFonts w:ascii="Times New Roman" w:hAnsi="Times New Roman"/>
          <w:sz w:val="20"/>
        </w:rPr>
        <w:t xml:space="preserve">(d) Every provision of this Indenture that in any way relates to the Trustee is subject to paragraph (a), (b) and (c) of this Section. </w:t>
      </w:r>
    </w:p>
    <w:p>
      <w:pPr>
        <w:pStyle w:val="TextBody"/>
        <w:spacing w:before="240" w:after="0"/>
        <w:jc w:val="left"/>
        <w:rPr>
          <w:rFonts w:ascii="Times New Roman" w:hAnsi="Times New Roman"/>
          <w:sz w:val="20"/>
        </w:rPr>
      </w:pPr>
      <w:r>
        <w:rPr>
          <w:rFonts w:ascii="Times New Roman" w:hAnsi="Times New Roman"/>
          <w:sz w:val="20"/>
        </w:rPr>
        <w:t xml:space="preserve">(e) The Trustee may refuse to perform any duty or exercise any right or power unless it receives indemnity satisfactory to it against the losses, costs, expenses and liabilities which might be incurred by it in performing such duty or exercising such right or power. </w:t>
      </w:r>
    </w:p>
    <w:p>
      <w:pPr>
        <w:pStyle w:val="TextBody"/>
        <w:spacing w:before="240" w:after="0"/>
        <w:jc w:val="left"/>
        <w:rPr>
          <w:rFonts w:ascii="Times New Roman" w:hAnsi="Times New Roman"/>
          <w:sz w:val="20"/>
        </w:rPr>
      </w:pPr>
      <w:r>
        <w:rPr>
          <w:rFonts w:ascii="Times New Roman" w:hAnsi="Times New Roman"/>
          <w:sz w:val="20"/>
        </w:rPr>
        <w:t xml:space="preserve">(f) The Trustee shall not be liable for interest or investment on any money received by it except as the Trustee may agree in writing with the Company. Money held in trust by the Trustee need not be segregated from other funds except to the extent required by law. </w:t>
      </w:r>
    </w:p>
    <w:p>
      <w:pPr>
        <w:pStyle w:val="TextBody"/>
        <w:spacing w:before="240" w:after="0"/>
        <w:jc w:val="left"/>
        <w:rPr>
          <w:rFonts w:ascii="Times New Roman" w:hAnsi="Times New Roman"/>
          <w:sz w:val="20"/>
        </w:rPr>
      </w:pPr>
      <w:r>
        <w:rPr>
          <w:rFonts w:ascii="Times New Roman" w:hAnsi="Times New Roman"/>
          <w:sz w:val="20"/>
        </w:rPr>
        <w:t xml:space="preserve">(g) No provision of this Indenture shall require the Trustee to expend or risk its own funds or otherwise incur any financial liability in the performance of any of its duties, or in the exercise of any of its rights or powers. </w:t>
      </w:r>
    </w:p>
    <w:p>
      <w:pPr>
        <w:pStyle w:val="TextBody"/>
        <w:spacing w:before="240" w:after="0"/>
        <w:jc w:val="left"/>
        <w:rPr>
          <w:rFonts w:ascii="Times New Roman" w:hAnsi="Times New Roman"/>
          <w:sz w:val="20"/>
        </w:rPr>
      </w:pPr>
      <w:r>
        <w:rPr>
          <w:rFonts w:ascii="Times New Roman" w:hAnsi="Times New Roman"/>
          <w:sz w:val="20"/>
        </w:rPr>
        <w:t xml:space="preserve">(h) The Paying Agent, the Registrar and any authenticating agent shall be entitled to the protections and immunities as are set forth in paragraphs (e), (f) and (g) of this Section and in Section 7.2, each with respect to the Trustee. </w:t>
      </w:r>
    </w:p>
    <w:p>
      <w:pPr>
        <w:pStyle w:val="TextBody"/>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Rights of Trustee</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(a) 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or an Opinion of Counsel or both. The Trustee shall not be liable for any action it takes or omits to take in good faith in reliance on such Officers Certificate or Opinion of Counsel. </w:t>
      </w:r>
    </w:p>
    <w:p>
      <w:pPr>
        <w:pStyle w:val="TextBody"/>
        <w:spacing w:before="240" w:after="0"/>
        <w:jc w:val="left"/>
        <w:rPr>
          <w:rFonts w:ascii="Times New Roman" w:hAnsi="Times New Roman"/>
          <w:sz w:val="20"/>
        </w:rPr>
      </w:pPr>
      <w:r>
        <w:rPr>
          <w:rFonts w:ascii="Times New Roman" w:hAnsi="Times New Roman"/>
          <w:sz w:val="20"/>
        </w:rPr>
        <w:t xml:space="preserve">(c) 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 </w:t>
      </w:r>
    </w:p>
    <w:p>
      <w:pPr>
        <w:pStyle w:val="TextBody"/>
        <w:spacing w:before="240" w:after="0"/>
        <w:jc w:val="left"/>
        <w:rPr>
          <w:rFonts w:ascii="Times New Roman" w:hAnsi="Times New Roman"/>
          <w:sz w:val="20"/>
        </w:rPr>
      </w:pPr>
      <w:r>
        <w:rPr>
          <w:rFonts w:ascii="Times New Roman" w:hAnsi="Times New Roman"/>
          <w:sz w:val="20"/>
        </w:rPr>
        <w:t xml:space="preserve">(d) The Trustee shall not be liable for any action it takes or omits to take in good faith which it believes to be authorized or within its rights or powers, provided that the Trustees conduct does not constitute willful misconduct or negligence. </w:t>
      </w:r>
    </w:p>
    <w:p>
      <w:pPr>
        <w:pStyle w:val="TextBody"/>
        <w:spacing w:before="240" w:after="0"/>
        <w:jc w:val="left"/>
        <w:rPr>
          <w:rFonts w:ascii="Times New Roman" w:hAnsi="Times New Roman"/>
          <w:sz w:val="20"/>
        </w:rPr>
      </w:pPr>
      <w:r>
        <w:rPr>
          <w:rFonts w:ascii="Times New Roman" w:hAnsi="Times New Roman"/>
          <w:sz w:val="20"/>
        </w:rPr>
        <w:t xml:space="preserve">(e) 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 </w:t>
      </w:r>
    </w:p>
    <w:p>
      <w:pPr>
        <w:pStyle w:val="TextBody"/>
        <w:spacing w:before="240" w:after="0"/>
        <w:jc w:val="left"/>
        <w:rPr>
          <w:rFonts w:ascii="Times New Roman" w:hAnsi="Times New Roman"/>
          <w:sz w:val="20"/>
        </w:rPr>
      </w:pPr>
      <w:r>
        <w:rPr>
          <w:rFonts w:ascii="Times New Roman" w:hAnsi="Times New Roman"/>
          <w:sz w:val="20"/>
        </w:rPr>
        <w:t xml:space="preserve">(f) 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expenses and liabilities which might be incurred by it in compliance with such request or direction. </w:t>
      </w:r>
    </w:p>
    <w:p>
      <w:pPr>
        <w:pStyle w:val="TextBody"/>
        <w:spacing w:before="240" w:after="0"/>
        <w:jc w:val="left"/>
        <w:rPr>
          <w:rFonts w:ascii="Times New Roman" w:hAnsi="Times New Roman"/>
          <w:sz w:val="20"/>
        </w:rPr>
      </w:pPr>
      <w:r>
        <w:rPr>
          <w:rFonts w:ascii="Times New Roman" w:hAnsi="Times New Roman"/>
          <w:sz w:val="20"/>
        </w:rPr>
        <w:t xml:space="preserve">(g)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w:t>
      </w:r>
    </w:p>
    <w:p>
      <w:pPr>
        <w:pStyle w:val="TextBody"/>
        <w:spacing w:before="240" w:after="0"/>
        <w:jc w:val="left"/>
        <w:rPr>
          <w:rFonts w:ascii="Times New Roman" w:hAnsi="Times New Roman"/>
          <w:sz w:val="20"/>
        </w:rPr>
      </w:pPr>
      <w:r>
        <w:rPr>
          <w:rFonts w:ascii="Times New Roman" w:hAnsi="Times New Roman"/>
          <w:sz w:val="20"/>
        </w:rPr>
        <w:t xml:space="preserve">(h)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 </w:t>
      </w:r>
    </w:p>
    <w:p>
      <w:pPr>
        <w:pStyle w:val="TextBody"/>
        <w:spacing w:before="240" w:after="0"/>
        <w:jc w:val="left"/>
        <w:rPr>
          <w:rFonts w:ascii="Times New Roman" w:hAnsi="Times New Roman"/>
          <w:sz w:val="20"/>
        </w:rPr>
      </w:pPr>
      <w:r>
        <w:rPr>
          <w:rFonts w:ascii="Times New Roman" w:hAnsi="Times New Roman"/>
          <w:sz w:val="20"/>
        </w:rPr>
        <w:t xml:space="preserve">(i) In no event shall the Trustee be responsible or liable to any person for special, punitive, indirect, consequential or incidental loss or damage of any kind whatsoever (including but not limited to lost profits), even if the Trustee has been advised of the likelihood of such loss or damage and regardless of the form of action. </w:t>
      </w:r>
    </w:p>
    <w:p>
      <w:pPr>
        <w:pStyle w:val="TextBody"/>
        <w:spacing w:before="240" w:after="0"/>
        <w:jc w:val="left"/>
        <w:rPr>
          <w:rFonts w:ascii="Times New Roman" w:hAnsi="Times New Roman"/>
          <w:sz w:val="20"/>
        </w:rPr>
      </w:pPr>
      <w:r>
        <w:rPr>
          <w:rFonts w:ascii="Times New Roman" w:hAnsi="Times New Roman"/>
          <w:sz w:val="20"/>
        </w:rPr>
        <w:t xml:space="preserve">(j) The permissive right of the Trustee to take the actions permitted by this Indenture shall not be construed as an obligation or duty to do so.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(k) No bond or surety shall be required with respect to performance of Trustees duties and powers. </w:t>
      </w:r>
    </w:p>
    <w:p>
      <w:pPr>
        <w:pStyle w:val="TextBody"/>
        <w:spacing w:before="240" w:after="0"/>
        <w:jc w:val="left"/>
        <w:rPr>
          <w:rFonts w:ascii="Times New Roman" w:hAnsi="Times New Roman"/>
          <w:sz w:val="20"/>
        </w:rPr>
      </w:pPr>
      <w:r>
        <w:rPr>
          <w:rFonts w:ascii="Times New Roman" w:hAnsi="Times New Roman"/>
          <w:sz w:val="20"/>
        </w:rPr>
        <w:t xml:space="preserve">(l) Under no circumstances shall the Trustee be liable in its individual capacity for the obligations evidenced by the Securities. </w:t>
      </w:r>
    </w:p>
    <w:p>
      <w:pPr>
        <w:pStyle w:val="TextBody"/>
        <w:spacing w:before="240" w:after="0"/>
        <w:jc w:val="left"/>
        <w:rPr>
          <w:rFonts w:ascii="Times New Roman" w:hAnsi="Times New Roman"/>
          <w:sz w:val="20"/>
        </w:rPr>
      </w:pPr>
      <w:r>
        <w:rPr>
          <w:rFonts w:ascii="Times New Roman" w:hAnsi="Times New Roman"/>
          <w:sz w:val="20"/>
        </w:rPr>
        <w:t xml:space="preserve">(m) Any request or direction of the Company mentioned herein shall be sufficiently evidenced by a Company Order and any resolution of the Board of Directors may be sufficiently evidenced by a Board Resolution. </w:t>
      </w:r>
    </w:p>
    <w:p>
      <w:pPr>
        <w:pStyle w:val="TextBody"/>
        <w:spacing w:before="240" w:after="0"/>
        <w:jc w:val="left"/>
        <w:rPr>
          <w:rFonts w:ascii="Times New Roman" w:hAnsi="Times New Roman"/>
          <w:sz w:val="20"/>
        </w:rPr>
      </w:pPr>
      <w:r>
        <w:rPr>
          <w:rFonts w:ascii="Times New Roman" w:hAnsi="Times New Roman"/>
          <w:sz w:val="20"/>
        </w:rPr>
        <w:t xml:space="preserve">(n) The Trustee may request that the Company deliver a certificate setting forth the names of individuals and/or titles of officers authorized at such time to take specified actions pursuant to this Indenture. </w:t>
      </w:r>
    </w:p>
    <w:p>
      <w:pPr>
        <w:pStyle w:val="TextBody"/>
        <w:spacing w:before="240" w:after="0"/>
        <w:jc w:val="left"/>
        <w:rPr>
          <w:rFonts w:ascii="Times New Roman" w:hAnsi="Times New Roman"/>
          <w:sz w:val="20"/>
        </w:rPr>
      </w:pPr>
      <w:r>
        <w:rPr>
          <w:rFonts w:ascii="Times New Roman" w:hAnsi="Times New Roman"/>
          <w:sz w:val="20"/>
        </w:rPr>
        <w:t xml:space="preserve">(o)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w:t>
      </w:r>
    </w:p>
    <w:p>
      <w:pPr>
        <w:pStyle w:val="TextBody"/>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Individual Rights of Trustee</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 </w:t>
      </w:r>
    </w:p>
    <w:p>
      <w:pPr>
        <w:pStyle w:val="TextBody"/>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Trustees Disclaimer</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Trustee shall not be responsible for and makes no representation as to the validity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any Paying Agent other than the Trustee, and it shall not be responsible for any statement herein or in the Securities or any other document in connection with the sale of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 </w:t>
      </w:r>
    </w:p>
    <w:p>
      <w:pPr>
        <w:pStyle w:val="TextBody"/>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Notice of Defaults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Reports by Trustee to Holders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Within 60 days after each        , commencing    , 20 , the Trustee shall transmit by mail to all Securityholders, as their names and addresses appear on the register kept by the Registrar, a brief report dated as of such anniversary date, in accordance with, and to the extent required under, TIA § 313. </w:t>
      </w:r>
    </w:p>
    <w:p>
      <w:pPr>
        <w:pStyle w:val="TextBody"/>
        <w:spacing w:before="240" w:after="0"/>
        <w:jc w:val="left"/>
        <w:rPr>
          <w:rFonts w:ascii="Times New Roman" w:hAnsi="Times New Roman"/>
          <w:sz w:val="20"/>
        </w:rPr>
      </w:pPr>
      <w:r>
        <w:rPr>
          <w:rFonts w:ascii="Times New Roman" w:hAnsi="Times New Roman"/>
          <w:sz w:val="20"/>
        </w:rPr>
        <w:t xml:space="preserve">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 </w:t>
      </w:r>
    </w:p>
    <w:p>
      <w:pPr>
        <w:pStyle w:val="TextBody"/>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Compensation and Indemnity</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 </w:t>
      </w:r>
    </w:p>
    <w:p>
      <w:pPr>
        <w:pStyle w:val="TextBody"/>
        <w:spacing w:before="240" w:after="0"/>
        <w:jc w:val="left"/>
        <w:rPr>
          <w:rFonts w:ascii="Times New Roman" w:hAnsi="Times New Roman"/>
          <w:sz w:val="20"/>
        </w:rPr>
      </w:pPr>
      <w:r>
        <w:rPr>
          <w:rFonts w:ascii="Times New Roman" w:hAnsi="Times New Roman"/>
          <w:sz w:val="20"/>
        </w:rPr>
        <w:t xml:space="preserve">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 </w:t>
      </w:r>
    </w:p>
    <w:p>
      <w:pPr>
        <w:pStyle w:val="TextBody"/>
        <w:spacing w:before="240" w:after="0"/>
        <w:jc w:val="left"/>
        <w:rPr>
          <w:rFonts w:ascii="Times New Roman" w:hAnsi="Times New Roman"/>
          <w:sz w:val="20"/>
        </w:rPr>
      </w:pPr>
      <w:r>
        <w:rPr>
          <w:rFonts w:ascii="Times New Roman" w:hAnsi="Times New Roman"/>
          <w:sz w:val="20"/>
        </w:rPr>
        <w:t xml:space="preserve">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 </w:t>
      </w:r>
    </w:p>
    <w:p>
      <w:pPr>
        <w:pStyle w:val="TextBody"/>
        <w:spacing w:before="240" w:after="0"/>
        <w:jc w:val="left"/>
        <w:rPr>
          <w:rFonts w:ascii="Times New Roman" w:hAnsi="Times New Roman"/>
          <w:sz w:val="20"/>
        </w:rPr>
      </w:pPr>
      <w:r>
        <w:rPr>
          <w:rFonts w:ascii="Times New Roman" w:hAnsi="Times New Roman"/>
          <w:sz w:val="20"/>
        </w:rPr>
        <w:t xml:space="preserve">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When the Trustee incurs expenses or renders services after an Event of Default specified in Section 6.1(d) or (e) occurs, the expenses and the compensation for the services are intended to constitute expenses of administration under any Bankruptcy Law. </w:t>
      </w:r>
    </w:p>
    <w:p>
      <w:pPr>
        <w:pStyle w:val="TextBody"/>
        <w:spacing w:before="240" w:after="0"/>
        <w:jc w:val="left"/>
        <w:rPr>
          <w:rFonts w:ascii="Times New Roman" w:hAnsi="Times New Roman"/>
          <w:sz w:val="20"/>
        </w:rPr>
      </w:pPr>
      <w:r>
        <w:rPr>
          <w:rFonts w:ascii="Times New Roman" w:hAnsi="Times New Roman"/>
          <w:sz w:val="20"/>
        </w:rPr>
        <w:t xml:space="preserve">The provisions of this Section shall survive the termination of this Indenture or the resignation or removal of the Trustee. </w:t>
      </w:r>
    </w:p>
    <w:p>
      <w:pPr>
        <w:pStyle w:val="TextBody"/>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Replacement of Trustee</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A resignation or removal of the Trustee and appointment of a successor Trustee shall become effective only upon the successor Trustees acceptance of appointment as provided in this Section. </w:t>
      </w:r>
    </w:p>
    <w:p>
      <w:pPr>
        <w:pStyle w:val="TextBody"/>
        <w:spacing w:before="240" w:after="0"/>
        <w:jc w:val="left"/>
        <w:rPr>
          <w:rFonts w:ascii="Times New Roman" w:hAnsi="Times New Roman"/>
          <w:sz w:val="20"/>
        </w:rPr>
      </w:pPr>
      <w:r>
        <w:rPr>
          <w:rFonts w:ascii="Times New Roman" w:hAnsi="Times New Roman"/>
          <w:sz w:val="20"/>
        </w:rPr>
        <w:t xml:space="preserve">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 </w:t>
      </w:r>
    </w:p>
    <w:p>
      <w:pPr>
        <w:pStyle w:val="TextBody"/>
        <w:spacing w:before="240" w:after="0"/>
        <w:jc w:val="left"/>
        <w:rPr>
          <w:rFonts w:ascii="Times New Roman" w:hAnsi="Times New Roman"/>
          <w:sz w:val="20"/>
        </w:rPr>
      </w:pPr>
      <w:r>
        <w:rPr>
          <w:rFonts w:ascii="Times New Roman" w:hAnsi="Times New Roman"/>
          <w:sz w:val="20"/>
        </w:rPr>
        <w:t xml:space="preserve">(a) the Trustee fails to comply with Section 7.10; </w:t>
      </w:r>
    </w:p>
    <w:p>
      <w:pPr>
        <w:pStyle w:val="TextBody"/>
        <w:spacing w:before="240" w:after="0"/>
        <w:jc w:val="left"/>
        <w:rPr>
          <w:rFonts w:ascii="Times New Roman" w:hAnsi="Times New Roman"/>
          <w:sz w:val="20"/>
        </w:rPr>
      </w:pPr>
      <w:r>
        <w:rPr>
          <w:rFonts w:ascii="Times New Roman" w:hAnsi="Times New Roman"/>
          <w:sz w:val="20"/>
        </w:rPr>
        <w:t xml:space="preserve">(b) the Trustee is adjudged a bankrupt or an insolvent or an order for relief is entered with respect to the Trustee under any Bankruptcy Law; </w:t>
      </w:r>
    </w:p>
    <w:p>
      <w:pPr>
        <w:pStyle w:val="TextBody"/>
        <w:spacing w:before="240" w:after="0"/>
        <w:jc w:val="left"/>
        <w:rPr>
          <w:rFonts w:ascii="Times New Roman" w:hAnsi="Times New Roman"/>
          <w:sz w:val="20"/>
        </w:rPr>
      </w:pPr>
      <w:r>
        <w:rPr>
          <w:rFonts w:ascii="Times New Roman" w:hAnsi="Times New Roman"/>
          <w:sz w:val="20"/>
        </w:rPr>
        <w:t xml:space="preserve">(c) a Custodian or public officer takes charge of the Trustee or its property; or </w:t>
      </w:r>
    </w:p>
    <w:p>
      <w:pPr>
        <w:pStyle w:val="TextBody"/>
        <w:spacing w:before="240" w:after="0"/>
        <w:jc w:val="left"/>
        <w:rPr>
          <w:rFonts w:ascii="Times New Roman" w:hAnsi="Times New Roman"/>
          <w:sz w:val="20"/>
        </w:rPr>
      </w:pPr>
      <w:r>
        <w:rPr>
          <w:rFonts w:ascii="Times New Roman" w:hAnsi="Times New Roman"/>
          <w:sz w:val="20"/>
        </w:rPr>
        <w:t xml:space="preserve">(d) the Trustee becomes incapable of acting. </w:t>
      </w:r>
    </w:p>
    <w:p>
      <w:pPr>
        <w:pStyle w:val="TextBody"/>
        <w:spacing w:before="240" w:after="0"/>
        <w:jc w:val="left"/>
        <w:rPr>
          <w:rFonts w:ascii="Times New Roman" w:hAnsi="Times New Roman"/>
          <w:sz w:val="20"/>
        </w:rPr>
      </w:pPr>
      <w:r>
        <w:rPr>
          <w:rFonts w:ascii="Times New Roman" w:hAnsi="Times New Roman"/>
          <w:sz w:val="20"/>
        </w:rPr>
        <w:t xml:space="preserve">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 </w:t>
      </w:r>
    </w:p>
    <w:p>
      <w:pPr>
        <w:pStyle w:val="TextBody"/>
        <w:spacing w:before="240" w:after="0"/>
        <w:jc w:val="left"/>
        <w:rPr>
          <w:rFonts w:ascii="Times New Roman" w:hAnsi="Times New Roman"/>
          <w:sz w:val="20"/>
        </w:rPr>
      </w:pPr>
      <w:r>
        <w:rPr>
          <w:rFonts w:ascii="Times New Roman" w:hAnsi="Times New Roman"/>
          <w:sz w:val="20"/>
        </w:rPr>
        <w:t xml:space="preserve">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 </w:t>
      </w:r>
    </w:p>
    <w:p>
      <w:pPr>
        <w:pStyle w:val="TextBody"/>
        <w:spacing w:before="240" w:after="0"/>
        <w:jc w:val="left"/>
        <w:rPr>
          <w:rFonts w:ascii="Times New Roman" w:hAnsi="Times New Roman"/>
          <w:sz w:val="20"/>
        </w:rPr>
      </w:pPr>
      <w:r>
        <w:rPr>
          <w:rFonts w:ascii="Times New Roman" w:hAnsi="Times New Roman"/>
          <w:sz w:val="20"/>
        </w:rPr>
        <w:t xml:space="preserve">A successor Trustee shall deliver a written acceptance of its appointment to the retiring Trustee and to the Company. Promptly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Successor Trustee by Merger, Etc</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 </w:t>
      </w:r>
    </w:p>
    <w:p>
      <w:pPr>
        <w:pStyle w:val="TextBody"/>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Eligibility; Disqualification</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This Indenture shall always have a Trustee who satisfies the requirements of TIA § 310(a)(1), (2) and (5). The Trustee shall always have a combined capital and surplus of at least $50,000,000 as set forth in its most recent published annual report of condition. The Trustee shall comply with TIA § 310(b). </w:t>
      </w:r>
    </w:p>
    <w:p>
      <w:pPr>
        <w:pStyle w:val="TextBody"/>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Preferential Collection of Claims Against Company</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Trustee is subject to TIA § 311(a), excluding any creditor relationship listed in TIA § 311(b). A Trustee who has resigned or been removed shall be subject to TIA § 311(a) to the extent indicated. </w:t>
      </w:r>
    </w:p>
    <w:p>
      <w:pPr>
        <w:pStyle w:val="TextBody"/>
        <w:spacing w:before="480" w:after="0"/>
        <w:jc w:val="center"/>
        <w:rPr>
          <w:rFonts w:ascii="Times New Roman" w:hAnsi="Times New Roman"/>
          <w:b/>
          <w:sz w:val="20"/>
        </w:rPr>
      </w:pPr>
      <w:r>
        <w:rPr>
          <w:rFonts w:ascii="Times New Roman" w:hAnsi="Times New Roman"/>
          <w:b/>
          <w:sz w:val="20"/>
        </w:rPr>
        <w:t xml:space="preserve">ARTICLE VIII </w:t>
      </w:r>
    </w:p>
    <w:p>
      <w:pPr>
        <w:pStyle w:val="TextBody"/>
        <w:spacing w:before="0" w:after="0"/>
        <w:jc w:val="center"/>
        <w:rPr>
          <w:rFonts w:ascii="Times New Roman" w:hAnsi="Times New Roman"/>
          <w:b/>
          <w:sz w:val="20"/>
        </w:rPr>
      </w:pPr>
      <w:r>
        <w:rPr>
          <w:rFonts w:ascii="Times New Roman" w:hAnsi="Times New Roman"/>
          <w:b/>
          <w:sz w:val="20"/>
        </w:rPr>
        <w:t xml:space="preserve">SATISFACTION AND DISCHARGE; DEFEASANCE </w:t>
      </w:r>
    </w:p>
    <w:p>
      <w:pPr>
        <w:pStyle w:val="TextBody"/>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Satisfaction and Discharge of Indenture</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 </w:t>
      </w:r>
    </w:p>
    <w:p>
      <w:pPr>
        <w:pStyle w:val="TextBody"/>
        <w:spacing w:before="240" w:after="0"/>
        <w:jc w:val="left"/>
        <w:rPr>
          <w:rFonts w:ascii="Times New Roman" w:hAnsi="Times New Roman"/>
          <w:sz w:val="20"/>
        </w:rPr>
      </w:pPr>
      <w:r>
        <w:rPr>
          <w:rFonts w:ascii="Times New Roman" w:hAnsi="Times New Roman"/>
          <w:sz w:val="20"/>
        </w:rPr>
        <w:t xml:space="preserve">(a) either </w:t>
      </w:r>
    </w:p>
    <w:p>
      <w:pPr>
        <w:pStyle w:val="TextBody"/>
        <w:spacing w:before="240" w:after="0"/>
        <w:jc w:val="left"/>
        <w:rPr>
          <w:rFonts w:ascii="Times New Roman" w:hAnsi="Times New Roman"/>
          <w:sz w:val="20"/>
        </w:rPr>
      </w:pPr>
      <w:r>
        <w:rPr>
          <w:rFonts w:ascii="Times New Roman" w:hAnsi="Times New Roman"/>
          <w:sz w:val="20"/>
        </w:rPr>
        <w:t xml:space="preserve">(i) all Securities of such Series theretofore authenticated and delivered (other than Securities that have been destroyed, lost or stolen and that have been replaced or paid) have been delivered to the Trustee for cancellation; or </w:t>
      </w:r>
    </w:p>
    <w:p>
      <w:pPr>
        <w:pStyle w:val="TextBody"/>
        <w:spacing w:before="240" w:after="0"/>
        <w:jc w:val="left"/>
        <w:rPr>
          <w:rFonts w:ascii="Times New Roman" w:hAnsi="Times New Roman"/>
          <w:sz w:val="20"/>
        </w:rPr>
      </w:pPr>
      <w:r>
        <w:rPr>
          <w:rFonts w:ascii="Times New Roman" w:hAnsi="Times New Roman"/>
          <w:sz w:val="20"/>
        </w:rPr>
        <w:t xml:space="preserve">(ii) all such Securities of such Series not theretofore delivered to the Trustee for cancellation </w:t>
      </w:r>
    </w:p>
    <w:p>
      <w:pPr>
        <w:pStyle w:val="TextBody"/>
        <w:spacing w:before="240" w:after="0"/>
        <w:jc w:val="left"/>
        <w:rPr>
          <w:rFonts w:ascii="Times New Roman" w:hAnsi="Times New Roman"/>
          <w:sz w:val="20"/>
        </w:rPr>
      </w:pPr>
      <w:r>
        <w:rPr>
          <w:rFonts w:ascii="Times New Roman" w:hAnsi="Times New Roman"/>
          <w:sz w:val="20"/>
        </w:rPr>
        <w:t xml:space="preserve">(1) have become due and payable by reason of sending a notice of redemption or otherwise,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(2) will become due and payable at their Stated Maturity within one year, or </w:t>
      </w:r>
    </w:p>
    <w:p>
      <w:pPr>
        <w:pStyle w:val="TextBody"/>
        <w:spacing w:before="240" w:after="0"/>
        <w:jc w:val="left"/>
        <w:rPr>
          <w:rFonts w:ascii="Times New Roman" w:hAnsi="Times New Roman"/>
          <w:sz w:val="20"/>
        </w:rPr>
      </w:pPr>
      <w:r>
        <w:rPr>
          <w:rFonts w:ascii="Times New Roman" w:hAnsi="Times New Roman"/>
          <w:sz w:val="20"/>
        </w:rPr>
        <w:t xml:space="preserve">(3) have been called for redemption or are to be called for redemption within one year under arrangements satisfactory to the Trustee for the giving of notice of redemption by the Trustee in the name, and at the expense, of the Company, or </w:t>
      </w:r>
    </w:p>
    <w:p>
      <w:pPr>
        <w:pStyle w:val="TextBody"/>
        <w:spacing w:before="240" w:after="0"/>
        <w:jc w:val="left"/>
        <w:rPr>
          <w:rFonts w:ascii="Times New Roman" w:hAnsi="Times New Roman"/>
          <w:sz w:val="20"/>
        </w:rPr>
      </w:pPr>
      <w:r>
        <w:rPr>
          <w:rFonts w:ascii="Times New Roman" w:hAnsi="Times New Roman"/>
          <w:sz w:val="20"/>
        </w:rPr>
        <w:t xml:space="preserve">(4) are deemed paid and discharged pursuant to Section 8.3, as applicable; </w:t>
      </w:r>
    </w:p>
    <w:p>
      <w:pPr>
        <w:pStyle w:val="TextBody"/>
        <w:spacing w:before="240" w:after="0"/>
        <w:jc w:val="left"/>
        <w:rPr>
          <w:rFonts w:ascii="Times New Roman" w:hAnsi="Times New Roman"/>
          <w:sz w:val="20"/>
        </w:rPr>
      </w:pPr>
      <w:r>
        <w:rPr>
          <w:rFonts w:ascii="Times New Roman" w:hAnsi="Times New Roman"/>
          <w:sz w:val="20"/>
        </w:rPr>
        <w:t xml:space="preserve">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analogous payments) of and interest on all the Securities of such Series on the dates such installments of principal or interest are due; </w:t>
      </w:r>
    </w:p>
    <w:p>
      <w:pPr>
        <w:pStyle w:val="TextBody"/>
        <w:spacing w:before="240" w:after="0"/>
        <w:jc w:val="left"/>
        <w:rPr>
          <w:rFonts w:ascii="Times New Roman" w:hAnsi="Times New Roman"/>
          <w:sz w:val="20"/>
        </w:rPr>
      </w:pPr>
      <w:r>
        <w:rPr>
          <w:rFonts w:ascii="Times New Roman" w:hAnsi="Times New Roman"/>
          <w:sz w:val="20"/>
        </w:rPr>
        <w:t xml:space="preserve">(b) the Company has paid or caused to be paid all other sums payable hereunder by the Company; and </w:t>
      </w:r>
    </w:p>
    <w:p>
      <w:pPr>
        <w:pStyle w:val="TextBody"/>
        <w:spacing w:before="240" w:after="0"/>
        <w:jc w:val="left"/>
        <w:rPr>
          <w:rFonts w:ascii="Times New Roman" w:hAnsi="Times New Roman"/>
          <w:sz w:val="20"/>
        </w:rPr>
      </w:pPr>
      <w:r>
        <w:rPr>
          <w:rFonts w:ascii="Times New Roman" w:hAnsi="Times New Roman"/>
          <w:sz w:val="20"/>
        </w:rPr>
        <w:t xml:space="preserve">(c) the Company shall have delivered to the Trustee an Officers Certificate and an Opinion of Counsel, each stating that all conditions precedent provided for relating to the satisfaction and discharge contemplated by this Section have been complied with. </w:t>
      </w:r>
    </w:p>
    <w:p>
      <w:pPr>
        <w:pStyle w:val="TextBody"/>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 </w:t>
      </w:r>
    </w:p>
    <w:p>
      <w:pPr>
        <w:pStyle w:val="TextBody"/>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Application of Trust Funds; Indemnification</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(a) 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 </w:t>
      </w:r>
    </w:p>
    <w:p>
      <w:pPr>
        <w:pStyle w:val="TextBody"/>
        <w:spacing w:before="240" w:after="0"/>
        <w:jc w:val="left"/>
        <w:rPr>
          <w:rFonts w:ascii="Times New Roman" w:hAnsi="Times New Roman"/>
          <w:sz w:val="20"/>
        </w:rPr>
      </w:pPr>
      <w:r>
        <w:rPr>
          <w:rFonts w:ascii="Times New Roman" w:hAnsi="Times New Roman"/>
          <w:sz w:val="20"/>
        </w:rPr>
        <w:t xml:space="preserve">(b) 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 </w:t>
      </w:r>
    </w:p>
    <w:p>
      <w:pPr>
        <w:pStyle w:val="TextBody"/>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Legal Defeasance of Securities of any Series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 </w:t>
      </w:r>
    </w:p>
    <w:p>
      <w:pPr>
        <w:pStyle w:val="TextBody"/>
        <w:spacing w:before="240" w:after="0"/>
        <w:jc w:val="left"/>
        <w:rPr>
          <w:rFonts w:ascii="Times New Roman" w:hAnsi="Times New Roman"/>
          <w:sz w:val="20"/>
        </w:rPr>
      </w:pPr>
      <w:r>
        <w:rPr>
          <w:rFonts w:ascii="Times New Roman" w:hAnsi="Times New Roman"/>
          <w:sz w:val="20"/>
        </w:rPr>
        <w:t xml:space="preserve">(a) 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 </w:t>
      </w:r>
    </w:p>
    <w:p>
      <w:pPr>
        <w:pStyle w:val="TextBody"/>
        <w:spacing w:before="240" w:after="0"/>
        <w:jc w:val="left"/>
        <w:rPr>
          <w:rFonts w:ascii="Times New Roman" w:hAnsi="Times New Roman"/>
          <w:sz w:val="20"/>
        </w:rPr>
      </w:pPr>
      <w:r>
        <w:rPr>
          <w:rFonts w:ascii="Times New Roman" w:hAnsi="Times New Roman"/>
          <w:sz w:val="20"/>
        </w:rPr>
        <w:t xml:space="preserve">(b) the provisions of Sections 2.4, 2.5, 2.7, 2.8, 7.7, 8.2, 8.3, 8.5 and 8.6; and </w:t>
      </w:r>
    </w:p>
    <w:p>
      <w:pPr>
        <w:pStyle w:val="TextBody"/>
        <w:spacing w:before="240" w:after="0"/>
        <w:jc w:val="left"/>
        <w:rPr>
          <w:rFonts w:ascii="Times New Roman" w:hAnsi="Times New Roman"/>
          <w:sz w:val="20"/>
        </w:rPr>
      </w:pPr>
      <w:r>
        <w:rPr>
          <w:rFonts w:ascii="Times New Roman" w:hAnsi="Times New Roman"/>
          <w:sz w:val="20"/>
        </w:rPr>
        <w:t xml:space="preserve">(c) the rights, powers, trusts and immunities of the Trustee hereunder and the Companys obligations in connection therewith; </w:t>
      </w:r>
    </w:p>
    <w:p>
      <w:pPr>
        <w:pStyle w:val="TextBody"/>
        <w:spacing w:before="240" w:after="0"/>
        <w:jc w:val="left"/>
        <w:rPr>
          <w:rFonts w:ascii="Times New Roman" w:hAnsi="Times New Roman"/>
          <w:sz w:val="20"/>
        </w:rPr>
      </w:pPr>
      <w:r>
        <w:rPr>
          <w:rFonts w:ascii="Times New Roman" w:hAnsi="Times New Roman"/>
          <w:sz w:val="20"/>
        </w:rPr>
        <w:t xml:space="preserve">provided that, the following conditions shall have been satisfied: </w:t>
      </w:r>
    </w:p>
    <w:p>
      <w:pPr>
        <w:pStyle w:val="TextBody"/>
        <w:spacing w:before="240" w:after="0"/>
        <w:jc w:val="left"/>
        <w:rPr>
          <w:rFonts w:ascii="Times New Roman" w:hAnsi="Times New Roman"/>
          <w:sz w:val="20"/>
        </w:rPr>
      </w:pPr>
      <w:r>
        <w:rPr>
          <w:rFonts w:ascii="Times New Roman" w:hAnsi="Times New Roman"/>
          <w:sz w:val="20"/>
        </w:rPr>
        <w:t xml:space="preserve">(d) 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 such deposit will not result in a breach or violation of, or constitute a default under, this Indenture or any other agreement or instrument to which the Company is a party or by which it is bound; </w:t>
      </w:r>
    </w:p>
    <w:p>
      <w:pPr>
        <w:pStyle w:val="TextBody"/>
        <w:spacing w:before="240" w:after="0"/>
        <w:jc w:val="left"/>
        <w:rPr>
          <w:rFonts w:ascii="Times New Roman" w:hAnsi="Times New Roman"/>
          <w:sz w:val="20"/>
        </w:rPr>
      </w:pPr>
      <w:r>
        <w:rPr>
          <w:rFonts w:ascii="Times New Roman" w:hAnsi="Times New Roman"/>
          <w:sz w:val="20"/>
        </w:rPr>
        <w:t xml:space="preserve">(f) no Default or Event of Default with respect to the Securities of such Series shall have occurred and be continuing on the date of such deposit or during the period ending on the 91st day after such date; </w:t>
      </w:r>
    </w:p>
    <w:p>
      <w:pPr>
        <w:pStyle w:val="TextBody"/>
        <w:spacing w:before="240" w:after="0"/>
        <w:jc w:val="left"/>
        <w:rPr>
          <w:rFonts w:ascii="Times New Roman" w:hAnsi="Times New Roman"/>
          <w:sz w:val="20"/>
        </w:rPr>
      </w:pPr>
      <w:r>
        <w:rPr>
          <w:rFonts w:ascii="Times New Roman" w:hAnsi="Times New Roman"/>
          <w:sz w:val="20"/>
        </w:rPr>
        <w:t xml:space="preserve">(g)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w:t>
      </w:r>
    </w:p>
    <w:p>
      <w:pPr>
        <w:pStyle w:val="TextBody"/>
        <w:spacing w:before="240" w:after="0"/>
        <w:jc w:val="left"/>
        <w:rPr>
          <w:rFonts w:ascii="Times New Roman" w:hAnsi="Times New Roman"/>
          <w:sz w:val="20"/>
        </w:rPr>
      </w:pPr>
      <w:r>
        <w:rPr>
          <w:rFonts w:ascii="Times New Roman" w:hAnsi="Times New Roman"/>
          <w:sz w:val="20"/>
        </w:rPr>
        <w:t xml:space="preserve">(h) the Company shall have delivered to the Trustee an Officers Certificate stating that the deposit was not made by the Company with the intent of defeating, hindering, delaying or defrauding any other creditors of the Company; and </w:t>
      </w:r>
    </w:p>
    <w:p>
      <w:pPr>
        <w:pStyle w:val="TextBody"/>
        <w:spacing w:before="240" w:after="0"/>
        <w:jc w:val="left"/>
        <w:rPr>
          <w:rFonts w:ascii="Times New Roman" w:hAnsi="Times New Roman"/>
          <w:sz w:val="20"/>
        </w:rPr>
      </w:pPr>
      <w:r>
        <w:rPr>
          <w:rFonts w:ascii="Times New Roman" w:hAnsi="Times New Roman"/>
          <w:sz w:val="20"/>
        </w:rPr>
        <w:t xml:space="preserve">(i) the Company shall have delivered to the Trustee an Officers Certificate and an Opinion of Counsel, each stating that all conditions precedent provided for relating to the defeasance contemplated by this Section have been complied with. </w:t>
      </w:r>
    </w:p>
    <w:p>
      <w:pPr>
        <w:pStyle w:val="TextBody"/>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Covenant Defeasance</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 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 </w:t>
      </w:r>
    </w:p>
    <w:p>
      <w:pPr>
        <w:pStyle w:val="TextBody"/>
        <w:spacing w:before="240" w:after="0"/>
        <w:jc w:val="left"/>
        <w:rPr>
          <w:rFonts w:ascii="Times New Roman" w:hAnsi="Times New Roman"/>
          <w:sz w:val="20"/>
        </w:rPr>
      </w:pPr>
      <w:r>
        <w:rPr>
          <w:rFonts w:ascii="Times New Roman" w:hAnsi="Times New Roman"/>
          <w:sz w:val="20"/>
        </w:rPr>
        <w:t xml:space="preserve">(b) such deposit will not result in a breach or violation of, or constitute a default under, this Indenture or any other agreement or instrument to which the Company is a party or by which it is bound; </w:t>
      </w:r>
    </w:p>
    <w:p>
      <w:pPr>
        <w:pStyle w:val="TextBody"/>
        <w:spacing w:before="240" w:after="0"/>
        <w:jc w:val="left"/>
        <w:rPr>
          <w:rFonts w:ascii="Times New Roman" w:hAnsi="Times New Roman"/>
          <w:sz w:val="20"/>
        </w:rPr>
      </w:pPr>
      <w:r>
        <w:rPr>
          <w:rFonts w:ascii="Times New Roman" w:hAnsi="Times New Roman"/>
          <w:sz w:val="20"/>
        </w:rPr>
        <w:t xml:space="preserve">(c) no Default or Event of Default with respect to the Securities of such Series shall have occurred and be continuing on the date of such deposit; </w:t>
      </w:r>
    </w:p>
    <w:p>
      <w:pPr>
        <w:pStyle w:val="TextBody"/>
        <w:spacing w:before="240" w:after="0"/>
        <w:jc w:val="left"/>
        <w:rPr>
          <w:rFonts w:ascii="Times New Roman" w:hAnsi="Times New Roman"/>
          <w:sz w:val="20"/>
        </w:rPr>
      </w:pPr>
      <w:r>
        <w:rPr>
          <w:rFonts w:ascii="Times New Roman" w:hAnsi="Times New Roman"/>
          <w:sz w:val="20"/>
        </w:rPr>
        <w:t xml:space="preserve">(d)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that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 </w:t>
      </w:r>
    </w:p>
    <w:p>
      <w:pPr>
        <w:pStyle w:val="TextBody"/>
        <w:spacing w:before="240" w:after="0"/>
        <w:jc w:val="left"/>
        <w:rPr>
          <w:rFonts w:ascii="Times New Roman" w:hAnsi="Times New Roman"/>
          <w:sz w:val="20"/>
        </w:rPr>
      </w:pPr>
      <w:r>
        <w:rPr>
          <w:rFonts w:ascii="Times New Roman" w:hAnsi="Times New Roman"/>
          <w:sz w:val="20"/>
        </w:rPr>
        <w:t xml:space="preserve">(e) The Company shall have delivered to the Trustee an Officers Certificate stating the deposit was not made by the Company with the intent of defeating, hindering, delaying or defrauding any other creditors of the Company; and </w:t>
      </w:r>
    </w:p>
    <w:p>
      <w:pPr>
        <w:pStyle w:val="TextBody"/>
        <w:spacing w:before="240" w:after="0"/>
        <w:jc w:val="left"/>
        <w:rPr>
          <w:rFonts w:ascii="Times New Roman" w:hAnsi="Times New Roman"/>
          <w:sz w:val="20"/>
        </w:rPr>
      </w:pPr>
      <w:r>
        <w:rPr>
          <w:rFonts w:ascii="Times New Roman" w:hAnsi="Times New Roman"/>
          <w:sz w:val="20"/>
        </w:rPr>
        <w:t xml:space="preserve">(f) The Company shall have delivered to the Trustee an Officers Certificate and an Opinion of Counsel, each stating that all conditions precedent herein provided for relating to the covenant defeasance contemplated by this Section have been complied with. </w:t>
      </w:r>
    </w:p>
    <w:p>
      <w:pPr>
        <w:pStyle w:val="TextBody"/>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Repayment to Company</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Reinstatement</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 </w:t>
      </w:r>
    </w:p>
    <w:p>
      <w:pPr>
        <w:pStyle w:val="TextBody"/>
        <w:spacing w:before="480" w:after="0"/>
        <w:jc w:val="center"/>
        <w:rPr>
          <w:rFonts w:ascii="Times New Roman" w:hAnsi="Times New Roman"/>
          <w:b/>
          <w:sz w:val="20"/>
        </w:rPr>
      </w:pPr>
      <w:r>
        <w:rPr>
          <w:rFonts w:ascii="Times New Roman" w:hAnsi="Times New Roman"/>
          <w:b/>
          <w:sz w:val="20"/>
        </w:rPr>
        <w:t xml:space="preserve">ARTICLE IX </w:t>
      </w:r>
    </w:p>
    <w:p>
      <w:pPr>
        <w:pStyle w:val="TextBody"/>
        <w:spacing w:before="0" w:after="0"/>
        <w:jc w:val="center"/>
        <w:rPr>
          <w:rFonts w:ascii="Times New Roman" w:hAnsi="Times New Roman"/>
          <w:b/>
          <w:sz w:val="20"/>
        </w:rPr>
      </w:pPr>
      <w:r>
        <w:rPr>
          <w:rFonts w:ascii="Times New Roman" w:hAnsi="Times New Roman"/>
          <w:b/>
          <w:sz w:val="20"/>
        </w:rPr>
        <w:t xml:space="preserve">AMENDMENTS AND WAIVERS </w:t>
      </w:r>
    </w:p>
    <w:p>
      <w:pPr>
        <w:pStyle w:val="TextBody"/>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Without Consent of Holders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Company and the Trustee may amend or supplement this Indenture or the Securities of one or more Series without the consent of any Securityholder: </w:t>
      </w:r>
    </w:p>
    <w:p>
      <w:pPr>
        <w:pStyle w:val="TextBody"/>
        <w:spacing w:before="240" w:after="0"/>
        <w:jc w:val="left"/>
        <w:rPr>
          <w:rFonts w:ascii="Times New Roman" w:hAnsi="Times New Roman"/>
          <w:sz w:val="20"/>
        </w:rPr>
      </w:pPr>
      <w:r>
        <w:rPr>
          <w:rFonts w:ascii="Times New Roman" w:hAnsi="Times New Roman"/>
          <w:sz w:val="20"/>
        </w:rPr>
        <w:t xml:space="preserve">(a) to cure any ambiguity, defect or inconsistency as evidenced by an Officer Certificate; </w:t>
      </w:r>
    </w:p>
    <w:p>
      <w:pPr>
        <w:pStyle w:val="TextBody"/>
        <w:spacing w:before="240" w:after="0"/>
        <w:jc w:val="left"/>
        <w:rPr>
          <w:rFonts w:ascii="Times New Roman" w:hAnsi="Times New Roman"/>
          <w:sz w:val="20"/>
        </w:rPr>
      </w:pPr>
      <w:r>
        <w:rPr>
          <w:rFonts w:ascii="Times New Roman" w:hAnsi="Times New Roman"/>
          <w:sz w:val="20"/>
        </w:rPr>
        <w:t xml:space="preserve">(b) to comply with Article V; </w:t>
      </w:r>
    </w:p>
    <w:p>
      <w:pPr>
        <w:pStyle w:val="TextBody"/>
        <w:spacing w:before="240" w:after="0"/>
        <w:jc w:val="left"/>
        <w:rPr>
          <w:rFonts w:ascii="Times New Roman" w:hAnsi="Times New Roman"/>
          <w:sz w:val="20"/>
        </w:rPr>
      </w:pPr>
      <w:r>
        <w:rPr>
          <w:rFonts w:ascii="Times New Roman" w:hAnsi="Times New Roman"/>
          <w:sz w:val="20"/>
        </w:rPr>
        <w:t xml:space="preserve">(c) to provide for uncertificated Securities in addition to or in place of certificated Securities; </w:t>
      </w:r>
    </w:p>
    <w:p>
      <w:pPr>
        <w:pStyle w:val="TextBody"/>
        <w:spacing w:before="240" w:after="0"/>
        <w:jc w:val="left"/>
        <w:rPr>
          <w:rFonts w:ascii="Times New Roman" w:hAnsi="Times New Roman"/>
          <w:sz w:val="20"/>
        </w:rPr>
      </w:pPr>
      <w:r>
        <w:rPr>
          <w:rFonts w:ascii="Times New Roman" w:hAnsi="Times New Roman"/>
          <w:sz w:val="20"/>
        </w:rPr>
        <w:t xml:space="preserve">(d) to add guarantees with respect to Securities of any Series or secure Securities of any Series; </w:t>
      </w:r>
    </w:p>
    <w:p>
      <w:pPr>
        <w:pStyle w:val="TextBody"/>
        <w:spacing w:before="240" w:after="0"/>
        <w:jc w:val="left"/>
        <w:rPr>
          <w:rFonts w:ascii="Times New Roman" w:hAnsi="Times New Roman"/>
          <w:sz w:val="20"/>
        </w:rPr>
      </w:pPr>
      <w:r>
        <w:rPr>
          <w:rFonts w:ascii="Times New Roman" w:hAnsi="Times New Roman"/>
          <w:sz w:val="20"/>
        </w:rPr>
        <w:t xml:space="preserve">(e) to surrender any of the Companys rights or powers under this Indenture; </w:t>
      </w:r>
    </w:p>
    <w:p>
      <w:pPr>
        <w:pStyle w:val="TextBody"/>
        <w:spacing w:before="240" w:after="0"/>
        <w:jc w:val="left"/>
        <w:rPr>
          <w:rFonts w:ascii="Times New Roman" w:hAnsi="Times New Roman"/>
          <w:sz w:val="20"/>
        </w:rPr>
      </w:pPr>
      <w:r>
        <w:rPr>
          <w:rFonts w:ascii="Times New Roman" w:hAnsi="Times New Roman"/>
          <w:sz w:val="20"/>
        </w:rPr>
        <w:t xml:space="preserve">(f) to add covenants or events of default for the benefit of the holders of Securities of any Series; </w:t>
      </w:r>
    </w:p>
    <w:p>
      <w:pPr>
        <w:pStyle w:val="TextBody"/>
        <w:spacing w:before="240" w:after="0"/>
        <w:jc w:val="left"/>
        <w:rPr>
          <w:rFonts w:ascii="Times New Roman" w:hAnsi="Times New Roman"/>
          <w:sz w:val="20"/>
        </w:rPr>
      </w:pPr>
      <w:r>
        <w:rPr>
          <w:rFonts w:ascii="Times New Roman" w:hAnsi="Times New Roman"/>
          <w:sz w:val="20"/>
        </w:rPr>
        <w:t xml:space="preserve">(g) to comply with the applicable procedures of the applicable depositary; </w:t>
      </w:r>
    </w:p>
    <w:p>
      <w:pPr>
        <w:pStyle w:val="TextBody"/>
        <w:spacing w:before="240" w:after="0"/>
        <w:jc w:val="left"/>
        <w:rPr>
          <w:rFonts w:ascii="Times New Roman" w:hAnsi="Times New Roman"/>
          <w:sz w:val="20"/>
        </w:rPr>
      </w:pPr>
      <w:r>
        <w:rPr>
          <w:rFonts w:ascii="Times New Roman" w:hAnsi="Times New Roman"/>
          <w:sz w:val="20"/>
        </w:rPr>
        <w:t xml:space="preserve">(h) to make any change that does not adversely affect the rights of any Securityholder; </w:t>
      </w:r>
    </w:p>
    <w:p>
      <w:pPr>
        <w:pStyle w:val="TextBody"/>
        <w:spacing w:before="240" w:after="0"/>
        <w:jc w:val="left"/>
        <w:rPr>
          <w:rFonts w:ascii="Times New Roman" w:hAnsi="Times New Roman"/>
          <w:sz w:val="20"/>
        </w:rPr>
      </w:pPr>
      <w:r>
        <w:rPr>
          <w:rFonts w:ascii="Times New Roman" w:hAnsi="Times New Roman"/>
          <w:sz w:val="20"/>
        </w:rPr>
        <w:t xml:space="preserve">(i) to provide for the issuance of and establish the form and terms and conditions of Securities of any Series as permitted by this Indenture;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(j)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w:t>
      </w:r>
    </w:p>
    <w:p>
      <w:pPr>
        <w:pStyle w:val="TextBody"/>
        <w:spacing w:before="240" w:after="0"/>
        <w:jc w:val="left"/>
        <w:rPr>
          <w:rFonts w:ascii="Times New Roman" w:hAnsi="Times New Roman"/>
          <w:sz w:val="20"/>
        </w:rPr>
      </w:pPr>
      <w:r>
        <w:rPr>
          <w:rFonts w:ascii="Times New Roman" w:hAnsi="Times New Roman"/>
          <w:sz w:val="20"/>
        </w:rPr>
        <w:t xml:space="preserve">(k) to comply with requirements of the SEC in order to effect or maintain the qualification of this Indenture under the TIA; </w:t>
      </w:r>
    </w:p>
    <w:p>
      <w:pPr>
        <w:pStyle w:val="TextBody"/>
        <w:spacing w:before="240" w:after="0"/>
        <w:jc w:val="left"/>
        <w:rPr>
          <w:rFonts w:ascii="Times New Roman" w:hAnsi="Times New Roman"/>
          <w:sz w:val="20"/>
        </w:rPr>
      </w:pPr>
      <w:r>
        <w:rPr>
          <w:rFonts w:ascii="Times New Roman" w:hAnsi="Times New Roman"/>
          <w:sz w:val="20"/>
        </w:rPr>
        <w:t xml:space="preserve">(l) 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 </w:t>
      </w:r>
    </w:p>
    <w:p>
      <w:pPr>
        <w:pStyle w:val="TextBody"/>
        <w:spacing w:before="240" w:after="0"/>
        <w:jc w:val="left"/>
        <w:rPr>
          <w:rFonts w:ascii="Times New Roman" w:hAnsi="Times New Roman"/>
          <w:sz w:val="20"/>
        </w:rPr>
      </w:pPr>
      <w:r>
        <w:rPr>
          <w:rFonts w:ascii="Times New Roman" w:hAnsi="Times New Roman"/>
          <w:sz w:val="20"/>
        </w:rPr>
        <w:t xml:space="preserve">(m) to conform any provision of this Indenture, in so far as it relates to the Securities of such Series, to the description of the Securities of such Series in the prospectus supplement relation to the offering of the Securities of such Series. </w:t>
      </w:r>
    </w:p>
    <w:p>
      <w:pPr>
        <w:pStyle w:val="TextBody"/>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With Consent of Holders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 </w:t>
      </w:r>
    </w:p>
    <w:p>
      <w:pPr>
        <w:pStyle w:val="TextBody"/>
        <w:spacing w:before="240" w:after="0"/>
        <w:jc w:val="left"/>
        <w:rPr>
          <w:rFonts w:ascii="Times New Roman" w:hAnsi="Times New Roman"/>
          <w:sz w:val="20"/>
        </w:rPr>
      </w:pPr>
      <w:r>
        <w:rPr>
          <w:rFonts w:ascii="Times New Roman" w:hAnsi="Times New Roman"/>
          <w:sz w:val="20"/>
        </w:rPr>
        <w:t xml:space="preserve">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 </w:t>
      </w:r>
    </w:p>
    <w:p>
      <w:pPr>
        <w:pStyle w:val="TextBody"/>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Limitations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Without the consent of each Securityholder affected, an amendment or waiver may not: </w:t>
      </w:r>
    </w:p>
    <w:p>
      <w:pPr>
        <w:pStyle w:val="TextBody"/>
        <w:spacing w:before="240" w:after="0"/>
        <w:jc w:val="left"/>
        <w:rPr>
          <w:rFonts w:ascii="Times New Roman" w:hAnsi="Times New Roman"/>
          <w:sz w:val="20"/>
        </w:rPr>
      </w:pPr>
      <w:r>
        <w:rPr>
          <w:rFonts w:ascii="Times New Roman" w:hAnsi="Times New Roman"/>
          <w:sz w:val="20"/>
        </w:rPr>
        <w:t xml:space="preserve">(a) reduce the principal amount of Securities whose Holders must consent to an amendment, supplement or waiver;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reduce the rate of or extend the time for payment of interest (including default interest) on any Security; </w:t>
      </w:r>
    </w:p>
    <w:p>
      <w:pPr>
        <w:pStyle w:val="TextBody"/>
        <w:spacing w:before="240" w:after="0"/>
        <w:jc w:val="left"/>
        <w:rPr>
          <w:rFonts w:ascii="Times New Roman" w:hAnsi="Times New Roman"/>
          <w:sz w:val="20"/>
        </w:rPr>
      </w:pPr>
      <w:r>
        <w:rPr>
          <w:rFonts w:ascii="Times New Roman" w:hAnsi="Times New Roman"/>
          <w:sz w:val="20"/>
        </w:rPr>
        <w:t xml:space="preserve">(c) reduce the principal or change the Stated Maturity of any Security or reduce the amount of, or postpone the date fixed for, the payment of any sinking fund or analogous obligation; </w:t>
      </w:r>
    </w:p>
    <w:p>
      <w:pPr>
        <w:pStyle w:val="TextBody"/>
        <w:spacing w:before="240" w:after="0"/>
        <w:jc w:val="left"/>
        <w:rPr>
          <w:rFonts w:ascii="Times New Roman" w:hAnsi="Times New Roman"/>
          <w:sz w:val="20"/>
        </w:rPr>
      </w:pPr>
      <w:r>
        <w:rPr>
          <w:rFonts w:ascii="Times New Roman" w:hAnsi="Times New Roman"/>
          <w:sz w:val="20"/>
        </w:rPr>
        <w:t xml:space="preserve">(d) reduce the principal amount of Discount Securities payable upon acceleration of the maturity thereof; </w:t>
      </w:r>
    </w:p>
    <w:p>
      <w:pPr>
        <w:pStyle w:val="TextBody"/>
        <w:spacing w:before="240" w:after="0"/>
        <w:jc w:val="left"/>
        <w:rPr>
          <w:rFonts w:ascii="Times New Roman" w:hAnsi="Times New Roman"/>
          <w:sz w:val="20"/>
        </w:rPr>
      </w:pPr>
      <w:r>
        <w:rPr>
          <w:rFonts w:ascii="Times New Roman" w:hAnsi="Times New Roman"/>
          <w:sz w:val="20"/>
        </w:rPr>
        <w:t xml:space="preserve">(e)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 </w:t>
      </w:r>
    </w:p>
    <w:p>
      <w:pPr>
        <w:pStyle w:val="TextBody"/>
        <w:spacing w:before="240" w:after="0"/>
        <w:jc w:val="left"/>
        <w:rPr>
          <w:rFonts w:ascii="Times New Roman" w:hAnsi="Times New Roman"/>
          <w:sz w:val="20"/>
        </w:rPr>
      </w:pPr>
      <w:r>
        <w:rPr>
          <w:rFonts w:ascii="Times New Roman" w:hAnsi="Times New Roman"/>
          <w:sz w:val="20"/>
        </w:rPr>
        <w:t xml:space="preserve">(f) make the principal of or interest, if any, on any Security payable in any currency other than that stated in the Security; </w:t>
      </w:r>
    </w:p>
    <w:p>
      <w:pPr>
        <w:pStyle w:val="TextBody"/>
        <w:spacing w:before="240" w:after="0"/>
        <w:jc w:val="left"/>
        <w:rPr>
          <w:rFonts w:ascii="Times New Roman" w:hAnsi="Times New Roman"/>
          <w:sz w:val="20"/>
        </w:rPr>
      </w:pPr>
      <w:r>
        <w:rPr>
          <w:rFonts w:ascii="Times New Roman" w:hAnsi="Times New Roman"/>
          <w:sz w:val="20"/>
        </w:rPr>
        <w:t xml:space="preserve">(g) make any change in Sections 6.8, 6.13 or 9.3 (this sentence); or </w:t>
      </w:r>
    </w:p>
    <w:p>
      <w:pPr>
        <w:pStyle w:val="TextBody"/>
        <w:spacing w:before="240" w:after="0"/>
        <w:jc w:val="left"/>
        <w:rPr>
          <w:rFonts w:ascii="Times New Roman" w:hAnsi="Times New Roman"/>
          <w:sz w:val="20"/>
        </w:rPr>
      </w:pPr>
      <w:r>
        <w:rPr>
          <w:rFonts w:ascii="Times New Roman" w:hAnsi="Times New Roman"/>
          <w:sz w:val="20"/>
        </w:rPr>
        <w:t xml:space="preserve">(h) waive a redemption payment with respect to any Security, provided that such redemption is made at the Companys option. </w:t>
      </w:r>
    </w:p>
    <w:p>
      <w:pPr>
        <w:pStyle w:val="TextBody"/>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Compliance with Trust Indenture Act</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Every amendment to this Indenture or the Securities of one or more Series shall be set forth in a supplemental indenture hereto that complies with the TIA as then in effect. </w:t>
      </w:r>
    </w:p>
    <w:p>
      <w:pPr>
        <w:pStyle w:val="TextBody"/>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Revocation and Effect of Consents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 </w:t>
      </w:r>
    </w:p>
    <w:p>
      <w:pPr>
        <w:pStyle w:val="TextBody"/>
        <w:spacing w:before="240" w:after="0"/>
        <w:jc w:val="left"/>
        <w:rPr>
          <w:rFonts w:ascii="Times New Roman" w:hAnsi="Times New Roman"/>
          <w:sz w:val="20"/>
        </w:rPr>
      </w:pPr>
      <w:r>
        <w:rPr>
          <w:rFonts w:ascii="Times New Roman" w:hAnsi="Times New Roman"/>
          <w:sz w:val="20"/>
        </w:rPr>
        <w:t xml:space="preserve">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 </w:t>
      </w:r>
    </w:p>
    <w:p>
      <w:pPr>
        <w:pStyle w:val="TextBody"/>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sz w:val="20"/>
          <w:u w:val="single"/>
        </w:rPr>
        <w:t>Notation on or Exchange of Securities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 </w:t>
      </w:r>
    </w:p>
    <w:p>
      <w:pPr>
        <w:pStyle w:val="TextBody"/>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sz w:val="20"/>
          <w:u w:val="single"/>
        </w:rPr>
        <w:t>Trustee Protected</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 </w:t>
      </w:r>
    </w:p>
    <w:p>
      <w:pPr>
        <w:pStyle w:val="TextBody"/>
        <w:spacing w:before="480" w:after="0"/>
        <w:jc w:val="center"/>
        <w:rPr>
          <w:rFonts w:ascii="Times New Roman" w:hAnsi="Times New Roman"/>
          <w:b/>
          <w:sz w:val="20"/>
        </w:rPr>
      </w:pPr>
      <w:r>
        <w:rPr>
          <w:rFonts w:ascii="Times New Roman" w:hAnsi="Times New Roman"/>
          <w:b/>
          <w:sz w:val="20"/>
        </w:rPr>
        <w:t xml:space="preserve">ARTICLE X </w:t>
      </w:r>
    </w:p>
    <w:p>
      <w:pPr>
        <w:pStyle w:val="TextBody"/>
        <w:spacing w:before="0" w:after="0"/>
        <w:jc w:val="center"/>
        <w:rPr>
          <w:rFonts w:ascii="Times New Roman" w:hAnsi="Times New Roman"/>
          <w:b/>
          <w:sz w:val="20"/>
        </w:rPr>
      </w:pPr>
      <w:r>
        <w:rPr>
          <w:rFonts w:ascii="Times New Roman" w:hAnsi="Times New Roman"/>
          <w:b/>
          <w:sz w:val="20"/>
        </w:rPr>
        <w:t xml:space="preserve">MISCELLANEOUS </w:t>
      </w:r>
    </w:p>
    <w:p>
      <w:pPr>
        <w:pStyle w:val="TextBody"/>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Trust Indenture Act Controls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If any provision of this Indenture limits, qualifies, or conflicts with another provision which is required or deemed to be included in this Indenture by the TIA, such required or deemed provision shall control. </w:t>
      </w:r>
    </w:p>
    <w:p>
      <w:pPr>
        <w:pStyle w:val="TextBody"/>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Notices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 </w:t>
      </w:r>
    </w:p>
    <w:p>
      <w:pPr>
        <w:pStyle w:val="TextBody"/>
        <w:spacing w:before="240" w:after="0"/>
        <w:jc w:val="left"/>
        <w:rPr>
          <w:rFonts w:ascii="Times New Roman" w:hAnsi="Times New Roman"/>
          <w:sz w:val="20"/>
        </w:rPr>
      </w:pPr>
      <w:r>
        <w:rPr>
          <w:rFonts w:ascii="Times New Roman" w:hAnsi="Times New Roman"/>
          <w:sz w:val="20"/>
        </w:rPr>
        <w:t xml:space="preserve">if to the Company: </w:t>
      </w:r>
    </w:p>
    <w:p>
      <w:pPr>
        <w:pStyle w:val="TextBody"/>
        <w:spacing w:before="240" w:after="0"/>
        <w:jc w:val="left"/>
        <w:rPr>
          <w:rFonts w:ascii="Times New Roman" w:hAnsi="Times New Roman"/>
          <w:sz w:val="20"/>
        </w:rPr>
      </w:pPr>
      <w:r>
        <w:rPr>
          <w:rFonts w:ascii="Times New Roman" w:hAnsi="Times New Roman"/>
          <w:sz w:val="20"/>
        </w:rPr>
        <w:t xml:space="preserve">Bakkt Holdings, Inc. </w:t>
      </w:r>
    </w:p>
    <w:p>
      <w:pPr>
        <w:pStyle w:val="TextBody"/>
        <w:spacing w:before="0" w:after="0"/>
        <w:jc w:val="left"/>
        <w:rPr>
          <w:rFonts w:ascii="Times New Roman" w:hAnsi="Times New Roman"/>
          <w:sz w:val="20"/>
        </w:rPr>
      </w:pPr>
      <w:r>
        <w:rPr>
          <w:rFonts w:ascii="Times New Roman" w:hAnsi="Times New Roman"/>
          <w:sz w:val="20"/>
        </w:rPr>
        <w:t xml:space="preserve">10000 Avalon Boulevard, Suite 1000 </w:t>
      </w:r>
    </w:p>
    <w:p>
      <w:pPr>
        <w:pStyle w:val="TextBody"/>
        <w:spacing w:before="0" w:after="0"/>
        <w:jc w:val="left"/>
        <w:rPr>
          <w:rFonts w:ascii="Times New Roman" w:hAnsi="Times New Roman"/>
          <w:sz w:val="20"/>
        </w:rPr>
      </w:pPr>
      <w:r>
        <w:rPr>
          <w:rFonts w:ascii="Times New Roman" w:hAnsi="Times New Roman"/>
          <w:sz w:val="20"/>
        </w:rPr>
        <w:t xml:space="preserve">Alpharetta, Georgia 30009 </w:t>
      </w:r>
    </w:p>
    <w:p>
      <w:pPr>
        <w:pStyle w:val="TextBody"/>
        <w:spacing w:before="0" w:after="0"/>
        <w:jc w:val="left"/>
        <w:rPr>
          <w:rFonts w:ascii="Times New Roman" w:hAnsi="Times New Roman"/>
          <w:sz w:val="20"/>
        </w:rPr>
      </w:pPr>
      <w:r>
        <w:rPr>
          <w:rFonts w:ascii="Times New Roman" w:hAnsi="Times New Roman"/>
          <w:sz w:val="20"/>
        </w:rPr>
        <w:t xml:space="preserve">Attention: General Counsel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with a copy to: </w:t>
      </w:r>
    </w:p>
    <w:p>
      <w:pPr>
        <w:pStyle w:val="TextBody"/>
        <w:spacing w:before="120" w:after="0"/>
        <w:jc w:val="left"/>
        <w:rPr>
          <w:rFonts w:ascii="Times New Roman" w:hAnsi="Times New Roman"/>
          <w:sz w:val="20"/>
        </w:rPr>
      </w:pPr>
      <w:r>
        <w:rPr>
          <w:rFonts w:ascii="Times New Roman" w:hAnsi="Times New Roman"/>
          <w:sz w:val="20"/>
        </w:rPr>
        <w:t xml:space="preserve">Wilson Sonsini Goodrich &amp; Rosati, Professional Corporation </w:t>
      </w:r>
    </w:p>
    <w:p>
      <w:pPr>
        <w:pStyle w:val="TextBody"/>
        <w:spacing w:before="0" w:after="0"/>
        <w:jc w:val="left"/>
        <w:rPr>
          <w:rFonts w:ascii="Times New Roman" w:hAnsi="Times New Roman"/>
          <w:sz w:val="20"/>
        </w:rPr>
      </w:pPr>
      <w:r>
        <w:rPr>
          <w:rFonts w:ascii="Times New Roman" w:hAnsi="Times New Roman"/>
          <w:sz w:val="20"/>
        </w:rPr>
        <w:t xml:space="preserve">900 S. Capital of Texas Highway </w:t>
      </w:r>
    </w:p>
    <w:p>
      <w:pPr>
        <w:pStyle w:val="TextBody"/>
        <w:spacing w:before="0" w:after="0"/>
        <w:jc w:val="left"/>
        <w:rPr>
          <w:rFonts w:ascii="Times New Roman" w:hAnsi="Times New Roman"/>
          <w:sz w:val="20"/>
        </w:rPr>
      </w:pPr>
      <w:r>
        <w:rPr>
          <w:rFonts w:ascii="Times New Roman" w:hAnsi="Times New Roman"/>
          <w:sz w:val="20"/>
        </w:rPr>
        <w:t xml:space="preserve">Las Cimas IV, 5th Floor </w:t>
      </w:r>
    </w:p>
    <w:p>
      <w:pPr>
        <w:pStyle w:val="TextBody"/>
        <w:spacing w:before="0" w:after="0"/>
        <w:jc w:val="left"/>
        <w:rPr>
          <w:rFonts w:ascii="Times New Roman" w:hAnsi="Times New Roman"/>
          <w:sz w:val="20"/>
        </w:rPr>
      </w:pPr>
      <w:r>
        <w:rPr>
          <w:rFonts w:ascii="Times New Roman" w:hAnsi="Times New Roman"/>
          <w:sz w:val="20"/>
        </w:rPr>
        <w:t xml:space="preserve">Austin, TX 78746 </w:t>
      </w:r>
    </w:p>
    <w:p>
      <w:pPr>
        <w:pStyle w:val="TextBody"/>
        <w:spacing w:before="0" w:after="0"/>
        <w:jc w:val="left"/>
        <w:rPr>
          <w:rFonts w:ascii="Times New Roman" w:hAnsi="Times New Roman"/>
          <w:sz w:val="20"/>
        </w:rPr>
      </w:pPr>
      <w:r>
        <w:rPr>
          <w:rFonts w:ascii="Times New Roman" w:hAnsi="Times New Roman"/>
          <w:sz w:val="20"/>
        </w:rPr>
        <w:t xml:space="preserve">Attention: J. Matthew Lyons </w:t>
      </w:r>
    </w:p>
    <w:p>
      <w:pPr>
        <w:pStyle w:val="TextBody"/>
        <w:spacing w:before="240" w:after="0"/>
        <w:jc w:val="left"/>
        <w:rPr>
          <w:rFonts w:ascii="Times New Roman" w:hAnsi="Times New Roman"/>
          <w:sz w:val="20"/>
        </w:rPr>
      </w:pPr>
      <w:r>
        <w:rPr>
          <w:rFonts w:ascii="Times New Roman" w:hAnsi="Times New Roman"/>
          <w:sz w:val="20"/>
        </w:rPr>
        <w:t xml:space="preserve">if to the Trustee: </w:t>
      </w:r>
    </w:p>
    <w:p>
      <w:pPr>
        <w:pStyle w:val="TextBody"/>
        <w:spacing w:before="120" w:after="0"/>
        <w:jc w:val="left"/>
        <w:rPr>
          <w:rFonts w:ascii="Times New Roman" w:hAnsi="Times New Roman"/>
          <w:sz w:val="20"/>
        </w:rPr>
      </w:pPr>
      <w:r>
        <w:rPr>
          <w:rFonts w:ascii="Times New Roman" w:hAnsi="Times New Roman"/>
          <w:sz w:val="20"/>
        </w:rPr>
        <w:t xml:space="preserve">[__________] </w:t>
      </w:r>
    </w:p>
    <w:p>
      <w:pPr>
        <w:pStyle w:val="TextBody"/>
        <w:spacing w:before="0" w:after="0"/>
        <w:jc w:val="left"/>
        <w:rPr>
          <w:rFonts w:ascii="Times New Roman" w:hAnsi="Times New Roman"/>
          <w:sz w:val="20"/>
        </w:rPr>
      </w:pPr>
      <w:r>
        <w:rPr>
          <w:rFonts w:ascii="Times New Roman" w:hAnsi="Times New Roman"/>
          <w:sz w:val="20"/>
        </w:rPr>
        <w:t xml:space="preserve">[__________] </w:t>
      </w:r>
    </w:p>
    <w:p>
      <w:pPr>
        <w:pStyle w:val="TextBody"/>
        <w:spacing w:before="0" w:after="0"/>
        <w:jc w:val="left"/>
        <w:rPr>
          <w:rFonts w:ascii="Times New Roman" w:hAnsi="Times New Roman"/>
          <w:sz w:val="20"/>
        </w:rPr>
      </w:pPr>
      <w:r>
        <w:rPr>
          <w:rFonts w:ascii="Times New Roman" w:hAnsi="Times New Roman"/>
          <w:sz w:val="20"/>
        </w:rPr>
        <w:t xml:space="preserve">Attention: [__________] </w:t>
      </w:r>
    </w:p>
    <w:p>
      <w:pPr>
        <w:pStyle w:val="TextBody"/>
        <w:spacing w:before="240" w:after="0"/>
        <w:jc w:val="left"/>
        <w:rPr>
          <w:rFonts w:ascii="Times New Roman" w:hAnsi="Times New Roman"/>
          <w:sz w:val="20"/>
        </w:rPr>
      </w:pPr>
      <w:r>
        <w:rPr>
          <w:rFonts w:ascii="Times New Roman" w:hAnsi="Times New Roman"/>
          <w:sz w:val="20"/>
        </w:rPr>
        <w:t xml:space="preserve">The Company or the Trustee by notice to the other may designate additional or different addresses for subsequent notices or communications. Any notice or communication delivered to the Trustee shall be deemed effective upon actual receipt thereof. </w:t>
      </w:r>
    </w:p>
    <w:p>
      <w:pPr>
        <w:pStyle w:val="TextBody"/>
        <w:spacing w:before="240" w:after="0"/>
        <w:jc w:val="left"/>
        <w:rPr>
          <w:rFonts w:ascii="Times New Roman" w:hAnsi="Times New Roman"/>
          <w:sz w:val="20"/>
        </w:rPr>
      </w:pPr>
      <w:r>
        <w:rPr>
          <w:rFonts w:ascii="Times New Roman" w:hAnsi="Times New Roman"/>
          <w:sz w:val="20"/>
        </w:rPr>
        <w:t xml:space="preserve">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 </w:t>
      </w:r>
    </w:p>
    <w:p>
      <w:pPr>
        <w:pStyle w:val="TextBody"/>
        <w:spacing w:before="240" w:after="0"/>
        <w:jc w:val="left"/>
        <w:rPr>
          <w:rFonts w:ascii="Times New Roman" w:hAnsi="Times New Roman"/>
          <w:sz w:val="20"/>
        </w:rPr>
      </w:pPr>
      <w:r>
        <w:rPr>
          <w:rFonts w:ascii="Times New Roman" w:hAnsi="Times New Roman"/>
          <w:sz w:val="20"/>
        </w:rPr>
        <w:t xml:space="preserve">If a notice or communication is sent or published in the manner provided above, within the time prescribed, it is duly given, whether or not the Securityholder receives it. </w:t>
      </w:r>
    </w:p>
    <w:p>
      <w:pPr>
        <w:pStyle w:val="TextBody"/>
        <w:spacing w:before="240" w:after="0"/>
        <w:jc w:val="left"/>
        <w:rPr>
          <w:rFonts w:ascii="Times New Roman" w:hAnsi="Times New Roman"/>
          <w:sz w:val="20"/>
        </w:rPr>
      </w:pPr>
      <w:r>
        <w:rPr>
          <w:rFonts w:ascii="Times New Roman" w:hAnsi="Times New Roman"/>
          <w:sz w:val="20"/>
        </w:rPr>
        <w:t xml:space="preserve">If the Company sends a notice or communication to Securityholders, it shall send a copy to the Trustee and each Agent at the same time. </w:t>
      </w:r>
    </w:p>
    <w:p>
      <w:pPr>
        <w:pStyle w:val="TextBody"/>
        <w:spacing w:before="240" w:after="0"/>
        <w:jc w:val="left"/>
        <w:rPr>
          <w:rFonts w:ascii="Times New Roman" w:hAnsi="Times New Roman"/>
          <w:sz w:val="20"/>
        </w:rPr>
      </w:pPr>
      <w:r>
        <w:rPr>
          <w:rFonts w:ascii="Times New Roman" w:hAnsi="Times New Roman"/>
          <w:sz w:val="20"/>
        </w:rPr>
        <w:t xml:space="preserve">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 </w:t>
      </w:r>
    </w:p>
    <w:p>
      <w:pPr>
        <w:pStyle w:val="TextBody"/>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Communication by Holders with Other Holders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Certificate and Opinion as to Conditions Precedent</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Upon any request or application by the Company to the Trustee to take any action under this Indenture, the Company shall furnish to the Trustee: </w:t>
      </w:r>
    </w:p>
    <w:p>
      <w:pPr>
        <w:pStyle w:val="TextBody"/>
        <w:spacing w:before="240" w:after="0"/>
        <w:jc w:val="left"/>
        <w:rPr>
          <w:rFonts w:ascii="Times New Roman" w:hAnsi="Times New Roman"/>
          <w:sz w:val="20"/>
        </w:rPr>
      </w:pPr>
      <w:r>
        <w:rPr>
          <w:rFonts w:ascii="Times New Roman" w:hAnsi="Times New Roman"/>
          <w:sz w:val="20"/>
        </w:rPr>
        <w:t xml:space="preserve">(a) an Officers Certificate stating that, in the opinion of the signers, all conditions precedent, if any, provided for in this Indenture relating to the proposed action have been complied with; and </w:t>
      </w:r>
    </w:p>
    <w:p>
      <w:pPr>
        <w:pStyle w:val="TextBody"/>
        <w:spacing w:before="240" w:after="0"/>
        <w:jc w:val="left"/>
        <w:rPr>
          <w:rFonts w:ascii="Times New Roman" w:hAnsi="Times New Roman"/>
          <w:sz w:val="20"/>
        </w:rPr>
      </w:pPr>
      <w:r>
        <w:rPr>
          <w:rFonts w:ascii="Times New Roman" w:hAnsi="Times New Roman"/>
          <w:sz w:val="20"/>
        </w:rPr>
        <w:t xml:space="preserve">(b) an Opinion of Counsel stating that, in the opinion of such counsel, all such conditions precedent have been complied with. </w:t>
      </w:r>
    </w:p>
    <w:p>
      <w:pPr>
        <w:pStyle w:val="TextBody"/>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Statements Required in Certificate or Opinion</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Each certificate or opinion with respect to compliance with a condition or covenant provided for in this Indenture (other than a certificate provided pursuant to TIA § 314(a)(4)) shall comply with the provisions of TIA § 314(e) and shall include: </w:t>
      </w:r>
    </w:p>
    <w:p>
      <w:pPr>
        <w:pStyle w:val="TextBody"/>
        <w:spacing w:before="240" w:after="0"/>
        <w:jc w:val="left"/>
        <w:rPr>
          <w:rFonts w:ascii="Times New Roman" w:hAnsi="Times New Roman"/>
          <w:sz w:val="20"/>
        </w:rPr>
      </w:pPr>
      <w:r>
        <w:rPr>
          <w:rFonts w:ascii="Times New Roman" w:hAnsi="Times New Roman"/>
          <w:sz w:val="20"/>
        </w:rPr>
        <w:t xml:space="preserve">(a) a statement that the person making such certificate or opinion has read such covenant or condition; </w:t>
      </w:r>
    </w:p>
    <w:p>
      <w:pPr>
        <w:pStyle w:val="TextBody"/>
        <w:spacing w:before="24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in such certificate or opinion are based; </w:t>
      </w:r>
    </w:p>
    <w:p>
      <w:pPr>
        <w:pStyle w:val="TextBody"/>
        <w:spacing w:before="240" w:after="0"/>
        <w:jc w:val="left"/>
        <w:rPr>
          <w:rFonts w:ascii="Times New Roman" w:hAnsi="Times New Roman"/>
          <w:sz w:val="20"/>
        </w:rPr>
      </w:pPr>
      <w:r>
        <w:rPr>
          <w:rFonts w:ascii="Times New Roman" w:hAnsi="Times New Roman"/>
          <w:sz w:val="20"/>
        </w:rPr>
        <w:t xml:space="preserve">(c) a statement that, in the opinion of such person, he has made such examination or investigation as is necessary to enable him to express an informed opinion as to whether or not such covenant or condition has been complied with; and </w:t>
      </w:r>
    </w:p>
    <w:p>
      <w:pPr>
        <w:pStyle w:val="TextBody"/>
        <w:spacing w:before="240" w:after="0"/>
        <w:jc w:val="left"/>
        <w:rPr>
          <w:rFonts w:ascii="Times New Roman" w:hAnsi="Times New Roman"/>
          <w:sz w:val="20"/>
        </w:rPr>
      </w:pPr>
      <w:r>
        <w:rPr>
          <w:rFonts w:ascii="Times New Roman" w:hAnsi="Times New Roman"/>
          <w:sz w:val="20"/>
        </w:rPr>
        <w:t xml:space="preserve">(d) a statement as to whether or not, in the opinion of such person, such condition or covenant has been complied with. </w:t>
      </w:r>
    </w:p>
    <w:p>
      <w:pPr>
        <w:pStyle w:val="TextBody"/>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Rules by Trustee and Agents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Trustee may make reasonable rules for action by or a meeting of Securityholders of one or more Series. Any Agent may make reasonable rules and set reasonable requirements for its functions. </w:t>
      </w:r>
    </w:p>
    <w:p>
      <w:pPr>
        <w:pStyle w:val="TextBody"/>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Legal Holidays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A </w:t>
      </w:r>
      <w:r>
        <w:rPr>
          <w:rFonts w:ascii="Times New Roman" w:hAnsi="Times New Roman"/>
          <w:i/>
          <w:sz w:val="20"/>
        </w:rPr>
        <w:t>Legal Holiday</w:t>
      </w:r>
      <w:r>
        <w:rPr>
          <w:rFonts w:ascii="Times New Roman" w:hAnsi="Times New Roman"/>
          <w:sz w:val="20"/>
        </w:rPr>
        <w:t xml:space="preserve"> is any day that is not a Business Day. If a payment date is a Legal Holiday at a place of payment, payment may be made at that place on the next succeeding day that is not a Legal Holiday, and no interest shall accrue for the intervening period.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No Recourse Against Others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 </w:t>
      </w:r>
    </w:p>
    <w:p>
      <w:pPr>
        <w:pStyle w:val="TextBody"/>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Counterparts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w:t>
      </w:r>
    </w:p>
    <w:p>
      <w:pPr>
        <w:pStyle w:val="TextBody"/>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Governing Law; Waiver of Jury Trial; Consent to Jurisdiction</w:t>
      </w:r>
      <w:r>
        <w:rPr>
          <w:rFonts w:ascii="Times New Roman" w:hAnsi="Times New Roman"/>
          <w:sz w:val="20"/>
        </w:rPr>
        <w:t>.</w:t>
      </w:r>
    </w:p>
    <w:p>
      <w:pPr>
        <w:pStyle w:val="TextBody"/>
        <w:spacing w:before="240" w:after="0"/>
        <w:jc w:val="left"/>
        <w:rPr>
          <w:rFonts w:ascii="Times New Roman" w:hAnsi="Times New Roman"/>
          <w:b/>
          <w:sz w:val="20"/>
        </w:rPr>
      </w:pPr>
      <w:r>
        <w:rPr>
          <w:rFonts w:ascii="Times New Roman" w:hAnsi="Times New Roman"/>
          <w:b/>
          <w:sz w:val="20"/>
        </w:rPr>
        <w:t xml:space="preserve">THIS INDENTURE AND THE SECURITIES, INCLUDING 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 </w:t>
      </w:r>
    </w:p>
    <w:p>
      <w:pPr>
        <w:pStyle w:val="TextBody"/>
        <w:spacing w:before="240" w:after="0"/>
        <w:jc w:val="left"/>
        <w:rPr>
          <w:rFonts w:ascii="Times New Roman" w:hAnsi="Times New Roman"/>
          <w:sz w:val="20"/>
        </w:rPr>
      </w:pPr>
      <w:r>
        <w:rPr>
          <w:rFonts w:ascii="Times New Roman" w:hAnsi="Times New Roman"/>
          <w:sz w:val="20"/>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hAnsi="Times New Roman"/>
          <w:i/>
          <w:sz w:val="20"/>
        </w:rPr>
        <w:t>Specified Courts</w:t>
      </w:r>
      <w:r>
        <w:rPr>
          <w:rFonts w:ascii="Times New Roman" w:hAnsi="Times New Roman"/>
          <w:sz w:val="20"/>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 </w:t>
      </w:r>
    </w:p>
    <w:p>
      <w:pPr>
        <w:pStyle w:val="TextBody"/>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No Adverse Interpretation of Other Agreements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This Indenture may not be used to interpret another indenture, loan or debt agreement of the Company or a Subsidiary of the Company. Any such indenture, loan or debt agreement may not be used to interpret this Indenture.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Successors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All agreements of the Company in this Indenture and the Securities shall bind its successor. All agreements of the Trustee in this Indenture shall bind its successor. </w:t>
      </w:r>
    </w:p>
    <w:p>
      <w:pPr>
        <w:pStyle w:val="TextBody"/>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sz w:val="20"/>
          <w:u w:val="single"/>
        </w:rPr>
        <w:t>Severability</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In case any provision in this Indenture or in the Securities shall be invalid, illegal or unenforceable, the validity, legality and enforceability of the remaining provisions shall not in any way be affected or impaired thereby. </w:t>
      </w:r>
    </w:p>
    <w:p>
      <w:pPr>
        <w:pStyle w:val="TextBody"/>
        <w:spacing w:before="240" w:after="0"/>
        <w:jc w:val="left"/>
        <w:rPr>
          <w:rFonts w:ascii="Times New Roman" w:hAnsi="Times New Roman"/>
          <w:sz w:val="20"/>
        </w:rPr>
      </w:pPr>
      <w:r>
        <w:rPr>
          <w:rFonts w:ascii="Times New Roman" w:hAnsi="Times New Roman"/>
          <w:sz w:val="20"/>
        </w:rPr>
        <w:t xml:space="preserve">Section 10.14 </w:t>
      </w:r>
      <w:r>
        <w:rPr>
          <w:rFonts w:ascii="Times New Roman" w:hAnsi="Times New Roman"/>
          <w:sz w:val="20"/>
          <w:u w:val="single"/>
        </w:rPr>
        <w:t>Table of Contents, Headings, Etc</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Table of Contents, Cross Reference Table, and headings of the Articles and Sections of this Indenture have been inserted for convenience of reference only, are not to be considered a part hereof, and shall in no way modify or restrict any of the terms or provisions hereof. </w:t>
      </w:r>
    </w:p>
    <w:p>
      <w:pPr>
        <w:pStyle w:val="TextBody"/>
        <w:spacing w:before="240" w:after="0"/>
        <w:jc w:val="left"/>
        <w:rPr>
          <w:rFonts w:ascii="Times New Roman" w:hAnsi="Times New Roman"/>
          <w:sz w:val="20"/>
        </w:rPr>
      </w:pPr>
      <w:r>
        <w:rPr>
          <w:rFonts w:ascii="Times New Roman" w:hAnsi="Times New Roman"/>
          <w:sz w:val="20"/>
        </w:rPr>
        <w:t xml:space="preserve">Section 10.15 </w:t>
      </w:r>
      <w:r>
        <w:rPr>
          <w:rFonts w:ascii="Times New Roman" w:hAnsi="Times New Roman"/>
          <w:sz w:val="20"/>
          <w:u w:val="single"/>
        </w:rPr>
        <w:t>Securities in a Foreign Currency</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 </w:t>
      </w:r>
    </w:p>
    <w:p>
      <w:pPr>
        <w:pStyle w:val="TextBody"/>
        <w:spacing w:before="240" w:after="0"/>
        <w:jc w:val="left"/>
        <w:rPr>
          <w:rFonts w:ascii="Times New Roman" w:hAnsi="Times New Roman"/>
          <w:sz w:val="20"/>
        </w:rPr>
      </w:pPr>
      <w:r>
        <w:rPr>
          <w:rFonts w:ascii="Times New Roman" w:hAnsi="Times New Roman"/>
          <w:sz w:val="20"/>
        </w:rPr>
        <w:t xml:space="preserve">All decisions and determinations provided for in the preceding paragraph shall, in the absence of manifest error, to the extent permitted by law, be conclusive for all purposes and irrevocably binding upon the Trustee and all 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10.16 </w:t>
      </w:r>
      <w:r>
        <w:rPr>
          <w:rFonts w:ascii="Times New Roman" w:hAnsi="Times New Roman"/>
          <w:sz w:val="20"/>
          <w:u w:val="single"/>
        </w:rPr>
        <w:t>Judgment Currency</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hAnsi="Times New Roman"/>
          <w:i/>
          <w:sz w:val="20"/>
        </w:rPr>
        <w:t>Required Currency</w:t>
      </w:r>
      <w:r>
        <w:rPr>
          <w:rFonts w:ascii="Times New Roman" w:hAnsi="Times New Roman"/>
          <w:sz w:val="20"/>
        </w:rPr>
        <w:t>) into a currency in which a judgment will be rendered (the </w:t>
      </w:r>
      <w:r>
        <w:rPr>
          <w:rFonts w:ascii="Times New Roman" w:hAnsi="Times New Roman"/>
          <w:i/>
          <w:sz w:val="20"/>
        </w:rPr>
        <w:t>Judgment Currency</w:t>
      </w:r>
      <w:r>
        <w:rPr>
          <w:rFonts w:ascii="Times New Roman" w:hAnsi="Times New Roman"/>
          <w:sz w:val="20"/>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hAnsi="Times New Roman"/>
          <w:i/>
          <w:sz w:val="20"/>
        </w:rPr>
        <w:t>New York Banking Day</w:t>
      </w:r>
      <w:r>
        <w:rPr>
          <w:rFonts w:ascii="Times New Roman" w:hAnsi="Times New Roman"/>
          <w:sz w:val="20"/>
        </w:rPr>
        <w:t xml:space="preserve"> means any day except a Saturday, Sunday or a Legal Holiday in The City of New York on which banking institutions are authorized or required by law, regulation or executive order to close. </w:t>
      </w:r>
    </w:p>
    <w:p>
      <w:pPr>
        <w:pStyle w:val="TextBody"/>
        <w:spacing w:before="240" w:after="0"/>
        <w:jc w:val="left"/>
        <w:rPr>
          <w:rFonts w:ascii="Times New Roman" w:hAnsi="Times New Roman"/>
          <w:sz w:val="20"/>
        </w:rPr>
      </w:pPr>
      <w:r>
        <w:rPr>
          <w:rFonts w:ascii="Times New Roman" w:hAnsi="Times New Roman"/>
          <w:sz w:val="20"/>
        </w:rPr>
        <w:t xml:space="preserve">Section 10.17 </w:t>
      </w:r>
      <w:r>
        <w:rPr>
          <w:rFonts w:ascii="Times New Roman" w:hAnsi="Times New Roman"/>
          <w:sz w:val="20"/>
          <w:u w:val="single"/>
        </w:rPr>
        <w:t>Force Majeure</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 </w:t>
      </w:r>
    </w:p>
    <w:p>
      <w:pPr>
        <w:pStyle w:val="TextBody"/>
        <w:spacing w:before="240" w:after="0"/>
        <w:jc w:val="left"/>
        <w:rPr>
          <w:rFonts w:ascii="Times New Roman" w:hAnsi="Times New Roman"/>
          <w:sz w:val="20"/>
        </w:rPr>
      </w:pPr>
      <w:r>
        <w:rPr>
          <w:rFonts w:ascii="Times New Roman" w:hAnsi="Times New Roman"/>
          <w:sz w:val="20"/>
        </w:rPr>
        <w:t xml:space="preserve">Section 10.18 </w:t>
      </w:r>
      <w:r>
        <w:rPr>
          <w:rFonts w:ascii="Times New Roman" w:hAnsi="Times New Roman"/>
          <w:sz w:val="20"/>
          <w:u w:val="single"/>
        </w:rPr>
        <w:t>U.S.A. Patriot Act</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XI </w:t>
      </w:r>
    </w:p>
    <w:p>
      <w:pPr>
        <w:pStyle w:val="TextBody"/>
        <w:spacing w:before="0" w:after="0"/>
        <w:jc w:val="center"/>
        <w:rPr>
          <w:rFonts w:ascii="Times New Roman" w:hAnsi="Times New Roman"/>
          <w:b/>
          <w:sz w:val="20"/>
        </w:rPr>
      </w:pPr>
      <w:r>
        <w:rPr>
          <w:rFonts w:ascii="Times New Roman" w:hAnsi="Times New Roman"/>
          <w:b/>
          <w:sz w:val="20"/>
        </w:rPr>
        <w:t xml:space="preserve">SINKING FUNDS </w:t>
      </w:r>
    </w:p>
    <w:p>
      <w:pPr>
        <w:pStyle w:val="TextBody"/>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Applicability of Article</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 </w:t>
      </w:r>
    </w:p>
    <w:p>
      <w:pPr>
        <w:pStyle w:val="TextBody"/>
        <w:spacing w:before="240" w:after="0"/>
        <w:jc w:val="left"/>
        <w:rPr>
          <w:rFonts w:ascii="Times New Roman" w:hAnsi="Times New Roman"/>
          <w:sz w:val="20"/>
        </w:rPr>
      </w:pPr>
      <w:r>
        <w:rPr>
          <w:rFonts w:ascii="Times New Roman" w:hAnsi="Times New Roman"/>
          <w:sz w:val="20"/>
        </w:rPr>
        <w:t>The minimum amount of any sinking fund payment provided for by the terms of the Securities of any Series is herein referred to as a </w:t>
      </w:r>
      <w:r>
        <w:rPr>
          <w:rFonts w:ascii="Times New Roman" w:hAnsi="Times New Roman"/>
          <w:i/>
          <w:sz w:val="20"/>
        </w:rPr>
        <w:t>mandatory sinking fund payment</w:t>
      </w:r>
      <w:r>
        <w:rPr>
          <w:rFonts w:ascii="Times New Roman" w:hAnsi="Times New Roman"/>
          <w:sz w:val="20"/>
        </w:rPr>
        <w:t> and any other amount provided for by the terms of Securities of such Series is herein referred to as an </w:t>
      </w:r>
      <w:r>
        <w:rPr>
          <w:rFonts w:ascii="Times New Roman" w:hAnsi="Times New Roman"/>
          <w:i/>
          <w:sz w:val="20"/>
        </w:rPr>
        <w:t>optional sinking fund payment</w:t>
      </w:r>
      <w:r>
        <w:rPr>
          <w:rFonts w:ascii="Times New Roman" w:hAnsi="Times New Roman"/>
          <w:sz w:val="20"/>
        </w:rPr>
        <w:t xml:space="preserve">.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 </w:t>
      </w:r>
    </w:p>
    <w:p>
      <w:pPr>
        <w:pStyle w:val="TextBody"/>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Satisfaction of Sinking Fund Payments with Securities</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 </w:t>
      </w:r>
    </w:p>
    <w:p>
      <w:pPr>
        <w:pStyle w:val="TextBody"/>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Redemption of Securities for Sinking Fund</w:t>
      </w:r>
      <w:r>
        <w:rPr>
          <w:rFonts w:ascii="Times New Roman" w:hAnsi="Times New Roman"/>
          <w:sz w:val="20"/>
        </w:rPr>
        <w:t>.</w:t>
      </w:r>
    </w:p>
    <w:p>
      <w:pPr>
        <w:pStyle w:val="TextBody"/>
        <w:spacing w:before="240" w:after="0"/>
        <w:jc w:val="left"/>
        <w:rPr>
          <w:rFonts w:ascii="Times New Roman" w:hAnsi="Times New Roman"/>
          <w:sz w:val="20"/>
        </w:rPr>
      </w:pPr>
      <w:r>
        <w:rPr>
          <w:rFonts w:ascii="Times New Roman" w:hAnsi="Times New Roman"/>
          <w:sz w:val="20"/>
        </w:rPr>
        <w:t xml:space="preserve">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the day and year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97"/>
        <w:gridCol w:w="85"/>
        <w:gridCol w:w="3500"/>
      </w:tblGrid>
      <w:tr>
        <w:trPr/>
        <w:tc>
          <w:tcPr>
            <w:tcW w:w="497"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350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BAKKT HOLDINGS, INC.</w:t>
            </w:r>
          </w:p>
        </w:tc>
      </w:tr>
      <w:tr>
        <w:trPr>
          <w:trHeight w:val="240" w:hRule="atLeast"/>
        </w:trPr>
        <w:tc>
          <w:tcPr>
            <w:tcW w:w="497" w:type="dxa"/>
            <w:tcBorders/>
            <w:shd w:fill="auto" w:val="clear"/>
            <w:vAlign w:val="center"/>
          </w:tcPr>
          <w:p>
            <w:pPr>
              <w:pStyle w:val="TableContents"/>
              <w:spacing w:before="0" w:after="283"/>
              <w:rPr>
                <w:sz w:val="4"/>
                <w:szCs w:val="4"/>
              </w:rPr>
            </w:pPr>
            <w:r>
              <w:rPr>
                <w:sz w:val="4"/>
                <w:szCs w:val="4"/>
              </w:rPr>
            </w:r>
          </w:p>
        </w:tc>
        <w:tc>
          <w:tcPr>
            <w:tcW w:w="3585" w:type="dxa"/>
            <w:gridSpan w:val="2"/>
            <w:tcBorders/>
            <w:shd w:fill="auto" w:val="clear"/>
            <w:vAlign w:val="center"/>
          </w:tcPr>
          <w:p>
            <w:pPr>
              <w:pStyle w:val="TableContents"/>
              <w:spacing w:before="0" w:after="283"/>
              <w:rPr>
                <w:sz w:val="4"/>
                <w:szCs w:val="4"/>
              </w:rPr>
            </w:pPr>
            <w:r>
              <w:rPr>
                <w:sz w:val="4"/>
                <w:szCs w:val="4"/>
              </w:rPr>
            </w:r>
          </w:p>
        </w:tc>
      </w:tr>
      <w:tr>
        <w:trPr/>
        <w:tc>
          <w:tcPr>
            <w:tcW w:w="497" w:type="dxa"/>
            <w:tcBorders/>
            <w:shd w:fill="auto" w:val="clear"/>
          </w:tcPr>
          <w:p>
            <w:pPr>
              <w:pStyle w:val="TableContents"/>
              <w:spacing w:before="0" w:after="283"/>
              <w:rPr/>
            </w:pPr>
            <w:r>
              <w:rPr/>
              <w:t>By:</w:t>
            </w:r>
          </w:p>
        </w:tc>
        <w:tc>
          <w:tcPr>
            <w:tcW w:w="85" w:type="dxa"/>
            <w:tcBorders/>
            <w:shd w:fill="auto" w:val="clear"/>
            <w:vAlign w:val="bottom"/>
          </w:tcPr>
          <w:p>
            <w:pPr>
              <w:pStyle w:val="TableContents"/>
              <w:spacing w:before="0" w:after="283"/>
              <w:rPr/>
            </w:pPr>
            <w:r>
              <w:rPr/>
              <w:t> </w:t>
            </w:r>
          </w:p>
        </w:tc>
        <w:tc>
          <w:tcPr>
            <w:tcW w:w="3500" w:type="dxa"/>
            <w:tcBorders/>
            <w:shd w:fill="auto" w:val="clear"/>
          </w:tcPr>
          <w:p>
            <w:pPr>
              <w:pStyle w:val="TableContents"/>
              <w:pBdr>
                <w:bottom w:val="single" w:sz="2" w:space="1" w:color="000000"/>
              </w:pBdr>
              <w:spacing w:before="0" w:after="20"/>
              <w:rPr/>
            </w:pPr>
            <w:r>
              <w:rPr/>
              <w:t> </w:t>
            </w:r>
          </w:p>
        </w:tc>
      </w:tr>
      <w:tr>
        <w:trPr/>
        <w:tc>
          <w:tcPr>
            <w:tcW w:w="497" w:type="dxa"/>
            <w:tcBorders/>
            <w:shd w:fill="auto" w:val="clea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3500" w:type="dxa"/>
            <w:tcBorders/>
            <w:shd w:fill="auto" w:val="clear"/>
          </w:tcPr>
          <w:p>
            <w:pPr>
              <w:pStyle w:val="TableContents"/>
              <w:spacing w:before="0" w:after="283"/>
              <w:rPr/>
            </w:pPr>
            <w:r>
              <w:rPr/>
              <w:t>Name:</w:t>
            </w:r>
          </w:p>
        </w:tc>
      </w:tr>
      <w:tr>
        <w:trPr/>
        <w:tc>
          <w:tcPr>
            <w:tcW w:w="497" w:type="dxa"/>
            <w:tcBorders/>
            <w:shd w:fill="auto" w:val="clea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3500" w:type="dxa"/>
            <w:tcBorders/>
            <w:shd w:fill="auto" w:val="clear"/>
          </w:tcPr>
          <w:p>
            <w:pPr>
              <w:pStyle w:val="TableContents"/>
              <w:spacing w:before="0" w:after="283"/>
              <w:rPr/>
            </w:pPr>
            <w:r>
              <w:rPr/>
              <w:t>Its: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[__________],</w:t>
            </w:r>
          </w:p>
        </w:tc>
      </w:tr>
      <w:tr>
        <w:trPr/>
        <w:tc>
          <w:tcPr>
            <w:tcW w:w="4082" w:type="dxa"/>
            <w:gridSpan w:val="3"/>
            <w:tcBorders/>
            <w:shd w:fill="auto" w:val="clear"/>
          </w:tcPr>
          <w:p>
            <w:pPr>
              <w:pStyle w:val="TableContents"/>
              <w:spacing w:before="0" w:after="283"/>
              <w:rPr/>
            </w:pPr>
            <w:r>
              <w:rPr/>
              <w:t>as Trustee</w:t>
            </w:r>
          </w:p>
        </w:tc>
      </w:tr>
      <w:tr>
        <w:trPr>
          <w:trHeight w:val="240" w:hRule="atLeast"/>
        </w:trPr>
        <w:tc>
          <w:tcPr>
            <w:tcW w:w="497" w:type="dxa"/>
            <w:tcBorders/>
            <w:shd w:fill="auto" w:val="clear"/>
            <w:vAlign w:val="center"/>
          </w:tcPr>
          <w:p>
            <w:pPr>
              <w:pStyle w:val="TableContents"/>
              <w:spacing w:before="0" w:after="283"/>
              <w:rPr>
                <w:sz w:val="4"/>
                <w:szCs w:val="4"/>
              </w:rPr>
            </w:pPr>
            <w:r>
              <w:rPr>
                <w:sz w:val="4"/>
                <w:szCs w:val="4"/>
              </w:rPr>
            </w:r>
          </w:p>
        </w:tc>
        <w:tc>
          <w:tcPr>
            <w:tcW w:w="3585" w:type="dxa"/>
            <w:gridSpan w:val="2"/>
            <w:tcBorders/>
            <w:shd w:fill="auto" w:val="clear"/>
            <w:vAlign w:val="center"/>
          </w:tcPr>
          <w:p>
            <w:pPr>
              <w:pStyle w:val="TableContents"/>
              <w:spacing w:before="0" w:after="283"/>
              <w:rPr>
                <w:sz w:val="4"/>
                <w:szCs w:val="4"/>
              </w:rPr>
            </w:pPr>
            <w:r>
              <w:rPr>
                <w:sz w:val="4"/>
                <w:szCs w:val="4"/>
              </w:rPr>
            </w:r>
          </w:p>
        </w:tc>
      </w:tr>
      <w:tr>
        <w:trPr/>
        <w:tc>
          <w:tcPr>
            <w:tcW w:w="497" w:type="dxa"/>
            <w:tcBorders/>
            <w:shd w:fill="auto" w:val="clear"/>
          </w:tcPr>
          <w:p>
            <w:pPr>
              <w:pStyle w:val="TableContents"/>
              <w:spacing w:before="0" w:after="283"/>
              <w:rPr/>
            </w:pPr>
            <w:r>
              <w:rPr/>
              <w:t>By:</w:t>
            </w:r>
          </w:p>
        </w:tc>
        <w:tc>
          <w:tcPr>
            <w:tcW w:w="85" w:type="dxa"/>
            <w:tcBorders/>
            <w:shd w:fill="auto" w:val="clear"/>
            <w:vAlign w:val="bottom"/>
          </w:tcPr>
          <w:p>
            <w:pPr>
              <w:pStyle w:val="TableContents"/>
              <w:spacing w:before="0" w:after="283"/>
              <w:rPr/>
            </w:pPr>
            <w:r>
              <w:rPr/>
              <w:t> </w:t>
            </w:r>
          </w:p>
        </w:tc>
        <w:tc>
          <w:tcPr>
            <w:tcW w:w="3500" w:type="dxa"/>
            <w:tcBorders/>
            <w:shd w:fill="auto" w:val="clear"/>
          </w:tcPr>
          <w:p>
            <w:pPr>
              <w:pStyle w:val="TableContents"/>
              <w:pBdr>
                <w:bottom w:val="single" w:sz="2" w:space="1" w:color="000000"/>
              </w:pBdr>
              <w:spacing w:before="0" w:after="20"/>
              <w:rPr/>
            </w:pPr>
            <w:r>
              <w:rPr/>
              <w:t> </w:t>
            </w:r>
          </w:p>
        </w:tc>
      </w:tr>
      <w:tr>
        <w:trPr/>
        <w:tc>
          <w:tcPr>
            <w:tcW w:w="497" w:type="dxa"/>
            <w:tcBorders/>
            <w:shd w:fill="auto" w:val="clea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3500" w:type="dxa"/>
            <w:tcBorders/>
            <w:shd w:fill="auto" w:val="clear"/>
          </w:tcPr>
          <w:p>
            <w:pPr>
              <w:pStyle w:val="TableContents"/>
              <w:spacing w:before="0" w:after="283"/>
              <w:rPr/>
            </w:pPr>
            <w:r>
              <w:rPr/>
              <w:t>Name:</w:t>
            </w:r>
          </w:p>
        </w:tc>
      </w:tr>
      <w:tr>
        <w:trPr/>
        <w:tc>
          <w:tcPr>
            <w:tcW w:w="497" w:type="dxa"/>
            <w:tcBorders/>
            <w:shd w:fill="auto" w:val="clea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3500" w:type="dxa"/>
            <w:tcBorders/>
            <w:shd w:fill="auto" w:val="clear"/>
          </w:tcPr>
          <w:p>
            <w:pPr>
              <w:pStyle w:val="TableContents"/>
              <w:spacing w:before="0" w:after="283"/>
              <w:rPr/>
            </w:pPr>
            <w:r>
              <w:rPr/>
              <w:t>Its:</w:t>
            </w:r>
          </w:p>
        </w:tc>
      </w:tr>
    </w:tbl>
    <w:p>
      <w:pPr>
        <w:pStyle w:val="TextBody"/>
        <w:spacing w:before="0" w:after="0"/>
        <w:jc w:val="right"/>
        <w:rPr>
          <w:rFonts w:ascii="Times New Roman" w:hAnsi="Times New Roman"/>
          <w:b/>
          <w:sz w:val="20"/>
        </w:rPr>
      </w:pPr>
      <w:r>
        <w:br w:type="page"/>
      </w:r>
      <w:bookmarkStart w:id="20" w:name="d492054dex51.htm"/>
      <w:bookmarkStart w:id="21" w:name="ksd492054dex51"/>
      <w:bookmarkEnd w:id="20"/>
      <w:bookmarkEnd w:id="21"/>
      <w:r>
        <w:rPr>
          <w:rFonts w:ascii="Times New Roman" w:hAnsi="Times New Roman"/>
          <w:b/>
          <w:sz w:val="20"/>
        </w:rPr>
        <w:t xml:space="preserve">Exhibit 5.1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706"/>
        <w:gridCol w:w="120"/>
        <w:gridCol w:w="3006"/>
        <w:gridCol w:w="120"/>
        <w:gridCol w:w="3253"/>
      </w:tblGrid>
      <w:tr>
        <w:trPr/>
        <w:tc>
          <w:tcPr>
            <w:tcW w:w="37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53" w:type="dxa"/>
            <w:tcBorders/>
            <w:shd w:fill="auto" w:val="clear"/>
            <w:vAlign w:val="center"/>
          </w:tcPr>
          <w:p>
            <w:pPr>
              <w:pStyle w:val="TableContents"/>
              <w:spacing w:before="0" w:after="283"/>
              <w:rPr>
                <w:sz w:val="4"/>
                <w:szCs w:val="4"/>
              </w:rPr>
            </w:pPr>
            <w:r>
              <w:rPr>
                <w:sz w:val="4"/>
                <w:szCs w:val="4"/>
              </w:rPr>
            </w:r>
          </w:p>
        </w:tc>
      </w:tr>
      <w:tr>
        <w:trPr/>
        <w:tc>
          <w:tcPr>
            <w:tcW w:w="3706" w:type="dxa"/>
            <w:tcBorders/>
            <w:shd w:fill="auto" w:val="clear"/>
          </w:tcPr>
          <w:p>
            <w:pPr>
              <w:pStyle w:val="TableContents"/>
              <w:spacing w:before="0" w:after="283"/>
              <w:rPr/>
            </w:pPr>
            <w:r>
              <w:rPr/>
              <w:drawing>
                <wp:inline distT="0" distB="0" distL="0" distR="0">
                  <wp:extent cx="121920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219200" cy="457200"/>
                          </a:xfrm>
                          <a:prstGeom prst="rect">
                            <a:avLst/>
                          </a:prstGeom>
                        </pic:spPr>
                      </pic:pic>
                    </a:graphicData>
                  </a:graphic>
                </wp:inline>
              </w:drawing>
            </w:r>
            <w:r>
              <w:rPr/>
              <w:t xml:space="preserve"> </w:t>
            </w:r>
          </w:p>
        </w:tc>
        <w:tc>
          <w:tcPr>
            <w:tcW w:w="120" w:type="dxa"/>
            <w:tcBorders/>
            <w:shd w:fill="auto" w:val="clear"/>
            <w:vAlign w:val="bottom"/>
          </w:tcPr>
          <w:p>
            <w:pPr>
              <w:pStyle w:val="TableContents"/>
              <w:spacing w:before="0" w:after="283"/>
              <w:rPr/>
            </w:pPr>
            <w:r>
              <w:rPr/>
              <w:t>  </w:t>
            </w:r>
          </w:p>
        </w:tc>
        <w:tc>
          <w:tcPr>
            <w:tcW w:w="3006"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53" w:type="dxa"/>
            <w:tcBorders/>
            <w:shd w:fill="auto" w:val="clear"/>
          </w:tcPr>
          <w:p>
            <w:pPr>
              <w:pStyle w:val="TableContents"/>
              <w:spacing w:before="0" w:after="0"/>
              <w:rPr>
                <w:rFonts w:ascii="Times New Roman" w:hAnsi="Times New Roman"/>
                <w:sz w:val="20"/>
              </w:rPr>
            </w:pPr>
            <w:r>
              <w:rPr>
                <w:rFonts w:ascii="Times New Roman" w:hAnsi="Times New Roman"/>
                <w:sz w:val="20"/>
              </w:rPr>
              <w:t>Wilson Sonsini Goodrich &amp; Rosati Professional Corporation</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900 S. Capital of Texas Highway</w:t>
            </w:r>
          </w:p>
          <w:p>
            <w:pPr>
              <w:pStyle w:val="TableContents"/>
              <w:spacing w:before="0" w:after="0"/>
              <w:rPr>
                <w:rFonts w:ascii="Times New Roman" w:hAnsi="Times New Roman"/>
                <w:sz w:val="20"/>
              </w:rPr>
            </w:pPr>
            <w:r>
              <w:rPr>
                <w:rFonts w:ascii="Times New Roman" w:hAnsi="Times New Roman"/>
                <w:sz w:val="20"/>
              </w:rPr>
              <w:t>Las Cimas IV, 5th Floor</w:t>
            </w:r>
          </w:p>
          <w:p>
            <w:pPr>
              <w:pStyle w:val="TableContents"/>
              <w:spacing w:before="0" w:after="0"/>
              <w:rPr>
                <w:rFonts w:ascii="Times New Roman" w:hAnsi="Times New Roman"/>
                <w:sz w:val="20"/>
              </w:rPr>
            </w:pPr>
            <w:r>
              <w:rPr>
                <w:rFonts w:ascii="Times New Roman" w:hAnsi="Times New Roman"/>
                <w:sz w:val="20"/>
              </w:rPr>
              <w:t>Austin, TX 78746</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O: (512) 338-5400</w:t>
            </w:r>
          </w:p>
          <w:p>
            <w:pPr>
              <w:pStyle w:val="TableContents"/>
              <w:spacing w:before="0" w:after="20"/>
              <w:rPr>
                <w:rFonts w:ascii="Times New Roman" w:hAnsi="Times New Roman"/>
                <w:sz w:val="20"/>
              </w:rPr>
            </w:pPr>
            <w:r>
              <w:rPr>
                <w:rFonts w:ascii="Times New Roman" w:hAnsi="Times New Roman"/>
                <w:sz w:val="20"/>
              </w:rPr>
              <w:t>F: (512) 338-5499</w:t>
            </w:r>
          </w:p>
        </w:tc>
      </w:tr>
    </w:tbl>
    <w:p>
      <w:pPr>
        <w:pStyle w:val="TextBody"/>
        <w:spacing w:before="240" w:after="0"/>
        <w:jc w:val="center"/>
        <w:rPr>
          <w:rFonts w:ascii="Times New Roman" w:hAnsi="Times New Roman"/>
          <w:sz w:val="20"/>
        </w:rPr>
      </w:pPr>
      <w:r>
        <w:rPr>
          <w:rFonts w:ascii="Times New Roman" w:hAnsi="Times New Roman"/>
          <w:sz w:val="20"/>
        </w:rPr>
        <w:t xml:space="preserve">April 20, 2023 </w:t>
      </w:r>
    </w:p>
    <w:p>
      <w:pPr>
        <w:pStyle w:val="TextBody"/>
        <w:spacing w:before="240" w:after="0"/>
        <w:jc w:val="left"/>
        <w:rPr>
          <w:rFonts w:ascii="Times New Roman" w:hAnsi="Times New Roman"/>
          <w:sz w:val="20"/>
        </w:rPr>
      </w:pPr>
      <w:r>
        <w:rPr>
          <w:rFonts w:ascii="Times New Roman" w:hAnsi="Times New Roman"/>
          <w:sz w:val="20"/>
        </w:rPr>
        <w:t xml:space="preserve">Bakkt Holdings, Inc. </w:t>
      </w:r>
    </w:p>
    <w:p>
      <w:pPr>
        <w:pStyle w:val="TextBody"/>
        <w:spacing w:before="0" w:after="0"/>
        <w:jc w:val="left"/>
        <w:rPr>
          <w:rFonts w:ascii="Times New Roman" w:hAnsi="Times New Roman"/>
          <w:sz w:val="20"/>
        </w:rPr>
      </w:pPr>
      <w:r>
        <w:rPr>
          <w:rFonts w:ascii="Times New Roman" w:hAnsi="Times New Roman"/>
          <w:sz w:val="20"/>
        </w:rPr>
        <w:t xml:space="preserve">10000 Avalon Boulevard, Suite 1000 </w:t>
      </w:r>
    </w:p>
    <w:p>
      <w:pPr>
        <w:pStyle w:val="TextBody"/>
        <w:spacing w:before="0" w:after="0"/>
        <w:jc w:val="left"/>
        <w:rPr>
          <w:rFonts w:ascii="Times New Roman" w:hAnsi="Times New Roman"/>
          <w:sz w:val="20"/>
        </w:rPr>
      </w:pPr>
      <w:r>
        <w:rPr>
          <w:rFonts w:ascii="Times New Roman" w:hAnsi="Times New Roman"/>
          <w:sz w:val="20"/>
        </w:rPr>
        <w:t xml:space="preserve">Alpharetta, Georgia 30009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b/>
              </w:rPr>
            </w:pPr>
            <w:r>
              <w:rPr>
                <w:b/>
              </w:rPr>
              <w:t>Re:</w:t>
            </w:r>
          </w:p>
        </w:tc>
        <w:tc>
          <w:tcPr>
            <w:tcW w:w="928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Registration Statement on Form S-3 </w:t>
            </w:r>
          </w:p>
        </w:tc>
      </w:tr>
    </w:tbl>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120" w:after="0"/>
        <w:jc w:val="left"/>
        <w:rPr>
          <w:rFonts w:ascii="Times New Roman" w:hAnsi="Times New Roman"/>
          <w:sz w:val="20"/>
        </w:rPr>
      </w:pPr>
      <w:r>
        <w:rPr>
          <w:rFonts w:ascii="Times New Roman" w:hAnsi="Times New Roman"/>
          <w:sz w:val="20"/>
        </w:rPr>
        <w:t xml:space="preserve">At your request, we have examined the Registration Statement on Form S-3 (the Registration Statement), filed by Bakkt Holdings, Inc., a Delaware corporation (the Company), with the Securities and Exchange Commission (the Commission) in connection with the registration pursuant to the Securities Act of 1933, as amended (the Act), of the Securities (as defined below). </w:t>
      </w:r>
    </w:p>
    <w:p>
      <w:pPr>
        <w:pStyle w:val="TextBody"/>
        <w:spacing w:before="240" w:after="0"/>
        <w:jc w:val="left"/>
        <w:rPr>
          <w:rFonts w:ascii="Times New Roman" w:hAnsi="Times New Roman"/>
          <w:sz w:val="20"/>
        </w:rPr>
      </w:pPr>
      <w:r>
        <w:rPr>
          <w:rFonts w:ascii="Times New Roman" w:hAnsi="Times New Roman"/>
          <w:sz w:val="20"/>
        </w:rPr>
        <w:t xml:space="preserve">The Registration Statement relates to the proposed issuance and sale by the Company, from time to time, pursuant to Rule 415 under the Act, as set forth in the Registration Statement, the prospectus contained therein (the Prospectus) and the supplements to the prospectus referred to therein (each a Prospectus Supplement), of up to an aggregate offering price of $115,000,000, or the equivalent thereof, of (a) shares of the Companys Class A common stock, $0.0001 par value per share (the Class A Common Stock); (b) shares of the Companys preferred stock, $0.0001 par value per share (the Preferred Stock); (c) the Companys debt securities (the Debt Securities); (d) warrants to purchase Class A Common Stock, Preferred Stock or Debt Securities (the Warrants); and (e) units consisting of two or more securities described above in any combination (the Units) (the Class A Common Stock, the Preferred Stock, the Debt Securities, the Warrants and the Units are collectively referred to herein as the Securities). </w:t>
      </w:r>
    </w:p>
    <w:p>
      <w:pPr>
        <w:pStyle w:val="TextBody"/>
        <w:spacing w:before="240" w:after="0"/>
        <w:jc w:val="left"/>
        <w:rPr>
          <w:rFonts w:ascii="Times New Roman" w:hAnsi="Times New Roman"/>
          <w:sz w:val="20"/>
        </w:rPr>
      </w:pPr>
      <w:r>
        <w:rPr>
          <w:rFonts w:ascii="Times New Roman" w:hAnsi="Times New Roman"/>
          <w:sz w:val="20"/>
        </w:rPr>
        <w:t xml:space="preserve">The Securities are to be sold from time to time as set forth in the Registration Statement, the Prospectus contained therein and the Prospectus Supplements. The Debt Securities are to be issued pursuant to a debt securities indenture (the Indenture), a form of which has been filed as an exhibit to the Registration Statement and is to be entered into between the Company and a trustee to be named in a Prospectus Supplement to the Registration Statement (the Trustee). The Securities are to be sold pursuant to a purchase, underwriting or similar agreement in substantially the form to be filed under a Current Report on Form 8-K. The Debt Securities are to be issued in the form set forth in the Indenture. The Indenture may be supplemented in connection with the issuance of each such series of Debt Securities, by a supplemental indenture or other appropriate action of the Company creating such series of Debt Securities. </w:t>
      </w:r>
    </w:p>
    <w:p>
      <w:pPr>
        <w:pStyle w:val="TextBody"/>
        <w:spacing w:before="0" w:after="0"/>
        <w:jc w:val="left"/>
        <w:rPr/>
      </w:pPr>
      <w:r>
        <w:rPr/>
        <w:t> </w:t>
      </w:r>
    </w:p>
    <w:p>
      <w:pPr>
        <w:pStyle w:val="TextBody"/>
        <w:spacing w:before="0" w:after="0"/>
        <w:jc w:val="center"/>
        <w:rPr>
          <w:rFonts w:ascii="Times New Roman" w:hAnsi="Times New Roman"/>
          <w:sz w:val="16"/>
        </w:rPr>
      </w:pPr>
      <w:r>
        <w:rPr>
          <w:rFonts w:ascii="Times New Roman" w:hAnsi="Times New Roman"/>
          <w:sz w:val="16"/>
        </w:rPr>
        <w:t xml:space="preserve">AUSTIN    BEIJING    BOSTON    BOULDER    BRUSSELS     HONG KONG    LONDON    LOS ANGELES    NEW YORK    PALO ALTO </w:t>
      </w:r>
    </w:p>
    <w:p>
      <w:pPr>
        <w:pStyle w:val="TextBody"/>
        <w:spacing w:before="120" w:after="0"/>
        <w:jc w:val="center"/>
        <w:rPr>
          <w:rFonts w:ascii="Times New Roman" w:hAnsi="Times New Roman"/>
          <w:sz w:val="16"/>
        </w:rPr>
      </w:pPr>
      <w:r>
        <w:rPr>
          <w:rFonts w:ascii="Times New Roman" w:hAnsi="Times New Roman"/>
          <w:sz w:val="16"/>
        </w:rPr>
        <w:t xml:space="preserve">SALT LAKE CITY    SAN DIEGO    SAN FRANCISCO    SEATTLE    SHANGHAI    WASHINGTON, DC    WILMINGTON, DE </w:t>
      </w:r>
      <w:r>
        <w:br w:type="page"/>
      </w:r>
    </w:p>
    <w:p>
      <w:pPr>
        <w:pStyle w:val="HorizontalLine"/>
        <w:pBdr>
          <w:bottom w:val="double" w:sz="6" w:space="0" w:color="808080"/>
        </w:pBdr>
        <w:rPr/>
      </w:pPr>
      <w:r>
        <w:rPr/>
      </w:r>
    </w:p>
    <w:p>
      <w:pPr>
        <w:pStyle w:val="TextBody"/>
        <w:spacing w:before="0" w:after="0"/>
        <w:jc w:val="left"/>
        <w:rPr/>
      </w:pPr>
      <w:r>
        <w:rPr/>
        <w:drawing>
          <wp:inline distT="0" distB="0" distL="0" distR="0">
            <wp:extent cx="609600"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609600" cy="228600"/>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Bakkt Holdings, Inc. </w:t>
      </w:r>
    </w:p>
    <w:p>
      <w:pPr>
        <w:pStyle w:val="TextBody"/>
        <w:spacing w:before="0" w:after="0"/>
        <w:jc w:val="left"/>
        <w:rPr>
          <w:rFonts w:ascii="Times New Roman" w:hAnsi="Times New Roman"/>
          <w:sz w:val="20"/>
        </w:rPr>
      </w:pPr>
      <w:r>
        <w:rPr>
          <w:rFonts w:ascii="Times New Roman" w:hAnsi="Times New Roman"/>
          <w:sz w:val="20"/>
        </w:rPr>
        <w:t xml:space="preserve">April 20, 2023 </w:t>
      </w:r>
    </w:p>
    <w:p>
      <w:pPr>
        <w:pStyle w:val="TextBody"/>
        <w:spacing w:before="0" w:after="0"/>
        <w:jc w:val="left"/>
        <w:rPr>
          <w:rFonts w:ascii="Times New Roman" w:hAnsi="Times New Roman"/>
          <w:sz w:val="20"/>
        </w:rPr>
      </w:pPr>
      <w:r>
        <w:rPr>
          <w:rFonts w:ascii="Times New Roman" w:hAnsi="Times New Roman"/>
          <w:sz w:val="20"/>
        </w:rPr>
        <w:t xml:space="preserve">Page 2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(d) that the Registration Statement, and any amendments thereto (including post-effective amendments), will have become effective under the Act; (e) that a Prospectus Supplement will have been filed with the Commission describing the Securities offered thereby; (f) that the Securities will be issued and sold in compliance with applicable U.S. federal and state securities laws and in the manner stated in the Registration Statement and the applicable Prospectus Supplement; (g) that a definitive purchase, underwriting or similar agreement with respect to any Securities offered will have been duly authorized and validly executed and delivered by the Company and the other parties thereto; (h) that any Securities issuable upon conversion, exchange, redemption or exercise of any Securities being offered will be duly authorized, created and, if appropriate, reserved for issuance upon such conversion, exchange, redemption or exercise; (i) with respect to shares of Class A Common Stock or Preferred Stock, that there will be sufficient shares of Class A Common Stock or Preferred Stock authorized under the Companys organizational documents that are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 The term Board means the Board of Directors of the Company or a duly constituted and acting committee thereof. </w:t>
      </w:r>
    </w:p>
    <w:p>
      <w:pPr>
        <w:pStyle w:val="TextBody"/>
        <w:spacing w:before="240" w:after="0"/>
        <w:jc w:val="left"/>
        <w:rPr>
          <w:rFonts w:ascii="Times New Roman" w:hAnsi="Times New Roman"/>
          <w:sz w:val="20"/>
        </w:rPr>
      </w:pPr>
      <w:r>
        <w:rPr>
          <w:rFonts w:ascii="Times New Roman" w:hAnsi="Times New Roman"/>
          <w:sz w:val="20"/>
        </w:rPr>
        <w:t xml:space="preserve">Based on such examination, we are of the opinion that: </w:t>
      </w:r>
    </w:p>
    <w:p>
      <w:pPr>
        <w:pStyle w:val="TextBody"/>
        <w:spacing w:before="120" w:after="0"/>
        <w:jc w:val="left"/>
        <w:rPr>
          <w:rFonts w:ascii="Times New Roman" w:hAnsi="Times New Roman"/>
          <w:sz w:val="20"/>
        </w:rPr>
      </w:pPr>
      <w:r>
        <w:rPr>
          <w:rFonts w:ascii="Times New Roman" w:hAnsi="Times New Roman"/>
          <w:sz w:val="20"/>
        </w:rPr>
        <w:t xml:space="preserve">1. With respect to the shares of Class A Common Stock, when: (a) the Board has taken all necessary corporate action to approve the issuance and the terms of the offering of the shares of Class A Common Stock and related matters; and (b) the shares of Class A Common Stock have been duly delivered either (i) in accordance with the applicable definitive purchase, underwriting or similar agreement approved by the Board, or upon the exercise of Warrants to purchase Class A Common Stock, upon payment of the consideration therefor (not less than the par value of the Class A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Class A Common Stock will be validly issued, fully paid and nonassessable. </w:t>
      </w:r>
    </w:p>
    <w:p>
      <w:pPr>
        <w:pStyle w:val="TextBody"/>
        <w:spacing w:before="240" w:after="0"/>
        <w:jc w:val="left"/>
        <w:rPr>
          <w:rFonts w:ascii="Times New Roman" w:hAnsi="Times New Roman"/>
          <w:sz w:val="20"/>
        </w:rPr>
      </w:pPr>
      <w:r>
        <w:rPr>
          <w:rFonts w:ascii="Times New Roman" w:hAnsi="Times New Roman"/>
          <w:sz w:val="20"/>
        </w:rPr>
        <w:t xml:space="preserve">2. 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General Corporation Law of the State of Delaware (the DGCL) and the filing of the Certificate with the Secretary of State of the State of Delaware; and (b) the shares of Preferred Stock have been duly delivered either (i) 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Preferred Stock will be validly issued, fully paid and nonassessable. </w:t>
      </w:r>
      <w:r>
        <w:br w:type="page"/>
      </w:r>
    </w:p>
    <w:p>
      <w:pPr>
        <w:pStyle w:val="HorizontalLine"/>
        <w:pBdr>
          <w:bottom w:val="double" w:sz="6" w:space="0" w:color="808080"/>
        </w:pBdr>
        <w:rPr/>
      </w:pPr>
      <w:r>
        <w:rPr/>
      </w:r>
    </w:p>
    <w:p>
      <w:pPr>
        <w:pStyle w:val="TextBody"/>
        <w:spacing w:before="0" w:after="0"/>
        <w:jc w:val="left"/>
        <w:rPr/>
      </w:pPr>
      <w:r>
        <w:rPr/>
        <w:drawing>
          <wp:inline distT="0" distB="0" distL="0" distR="0">
            <wp:extent cx="609600" cy="228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7"/>
                    <a:stretch>
                      <a:fillRect/>
                    </a:stretch>
                  </pic:blipFill>
                  <pic:spPr bwMode="auto">
                    <a:xfrm>
                      <a:off x="0" y="0"/>
                      <a:ext cx="609600" cy="228600"/>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Bakkt Holdings, Inc. </w:t>
      </w:r>
    </w:p>
    <w:p>
      <w:pPr>
        <w:pStyle w:val="TextBody"/>
        <w:spacing w:before="0" w:after="0"/>
        <w:jc w:val="left"/>
        <w:rPr>
          <w:rFonts w:ascii="Times New Roman" w:hAnsi="Times New Roman"/>
          <w:sz w:val="20"/>
        </w:rPr>
      </w:pPr>
      <w:r>
        <w:rPr>
          <w:rFonts w:ascii="Times New Roman" w:hAnsi="Times New Roman"/>
          <w:sz w:val="20"/>
        </w:rPr>
        <w:t xml:space="preserve">April 20, 2023 </w:t>
      </w:r>
    </w:p>
    <w:p>
      <w:pPr>
        <w:pStyle w:val="TextBody"/>
        <w:spacing w:before="0" w:after="0"/>
        <w:jc w:val="left"/>
        <w:rPr>
          <w:rFonts w:ascii="Times New Roman" w:hAnsi="Times New Roman"/>
          <w:sz w:val="20"/>
        </w:rPr>
      </w:pPr>
      <w:r>
        <w:rPr>
          <w:rFonts w:ascii="Times New Roman" w:hAnsi="Times New Roman"/>
          <w:sz w:val="20"/>
        </w:rPr>
        <w:t xml:space="preserve">Page 3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3. With respect to Debt Securities to be issued under the Indenture, when: (a) the Trustee is qualified to act as Trustee under the Indenture and the Company has filed a Form T-1 for the Trustee with the Commission; (b) the Trustee has duly executed and delivered the Indenture; (c) the Indenture has been duly authorized and validly executed and delivered by the Company to the Trustee; (d) the Indenture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such Debt Securities will constitute valid and binding obligations of the Company, enforceable against the Company in accordance with their terms, and entitled to the benefits of the Indenture. </w:t>
      </w:r>
    </w:p>
    <w:p>
      <w:pPr>
        <w:pStyle w:val="TextBody"/>
        <w:spacing w:before="240" w:after="0"/>
        <w:jc w:val="left"/>
        <w:rPr>
          <w:rFonts w:ascii="Times New Roman" w:hAnsi="Times New Roman"/>
          <w:sz w:val="20"/>
        </w:rPr>
      </w:pPr>
      <w:r>
        <w:rPr>
          <w:rFonts w:ascii="Times New Roman" w:hAnsi="Times New Roman"/>
          <w:sz w:val="20"/>
        </w:rPr>
        <w:t xml:space="preserve">4. 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as applicable, duly authorized, executed and delivered by the Company and a warrant agent and the certificates for the Warrants have been duly executed and delivered by the Company and such warrant agent, then the Warrants will constitute valid and binding obligations of the Company, enforceable against the Company in accordance with their terms. </w:t>
      </w:r>
    </w:p>
    <w:p>
      <w:pPr>
        <w:pStyle w:val="TextBody"/>
        <w:spacing w:before="240" w:after="0"/>
        <w:jc w:val="left"/>
        <w:rPr>
          <w:rFonts w:ascii="Times New Roman" w:hAnsi="Times New Roman"/>
          <w:sz w:val="20"/>
        </w:rPr>
      </w:pPr>
      <w:r>
        <w:rPr>
          <w:rFonts w:ascii="Times New Roman" w:hAnsi="Times New Roman"/>
          <w:sz w:val="20"/>
        </w:rPr>
        <w:t xml:space="preserve">5. With respect to the Units, when: (a) the Board has taken all necessary corporate action to approve the issuance and terms of the Units (including any Securities underlying the Units) and related matters; and (b) the Units (including 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Securities underlying the Units) have been duly executed and delivered by the Company and any applicable unit or other agents, then the Units will constitute valid and binding obligations of the Company, enforceable against the Company in accordance with their terms. </w:t>
      </w:r>
    </w:p>
    <w:p>
      <w:pPr>
        <w:pStyle w:val="TextBody"/>
        <w:spacing w:before="240" w:after="0"/>
        <w:jc w:val="left"/>
        <w:rPr>
          <w:rFonts w:ascii="Times New Roman" w:hAnsi="Times New Roman"/>
          <w:sz w:val="20"/>
        </w:rPr>
      </w:pPr>
      <w:r>
        <w:rPr>
          <w:rFonts w:ascii="Times New Roman" w:hAnsi="Times New Roman"/>
          <w:sz w:val="20"/>
        </w:rPr>
        <w:t xml:space="preserve">Our opinion that any document is legal, valid and binding is qualified as to: </w:t>
      </w:r>
    </w:p>
    <w:p>
      <w:pPr>
        <w:pStyle w:val="TextBody"/>
        <w:spacing w:before="120" w:after="0"/>
        <w:jc w:val="left"/>
        <w:rPr>
          <w:rFonts w:ascii="Times New Roman" w:hAnsi="Times New Roman"/>
          <w:sz w:val="20"/>
        </w:rPr>
      </w:pPr>
      <w:r>
        <w:rPr>
          <w:rFonts w:ascii="Times New Roman" w:hAnsi="Times New Roman"/>
          <w:sz w:val="20"/>
        </w:rPr>
        <w:t xml:space="preserve">(a) limitations imposed by bankruptcy, insolvency, reorganization, arrangement, fraudulent transfer, moratorium or other similar laws relating to or affecting the rights of creditors generally; </w:t>
      </w:r>
    </w:p>
    <w:p>
      <w:pPr>
        <w:pStyle w:val="TextBody"/>
        <w:spacing w:before="240" w:after="0"/>
        <w:jc w:val="left"/>
        <w:rPr>
          <w:rFonts w:ascii="Times New Roman" w:hAnsi="Times New Roman"/>
          <w:sz w:val="20"/>
        </w:rPr>
      </w:pPr>
      <w:r>
        <w:rPr>
          <w:rFonts w:ascii="Times New Roman" w:hAnsi="Times New Roman"/>
          <w:sz w:val="20"/>
        </w:rPr>
        <w:t xml:space="preserve">(b) rights to indemnification and contribution, which may be limited by applicable law or equitable principles; and </w:t>
      </w:r>
      <w:r>
        <w:br w:type="page"/>
      </w:r>
    </w:p>
    <w:p>
      <w:pPr>
        <w:pStyle w:val="HorizontalLine"/>
        <w:pBdr>
          <w:bottom w:val="double" w:sz="6" w:space="0" w:color="808080"/>
        </w:pBdr>
        <w:rPr/>
      </w:pPr>
      <w:r>
        <w:rPr/>
      </w:r>
    </w:p>
    <w:p>
      <w:pPr>
        <w:pStyle w:val="TextBody"/>
        <w:spacing w:before="0" w:after="0"/>
        <w:jc w:val="left"/>
        <w:rPr/>
      </w:pPr>
      <w:r>
        <w:rPr/>
        <w:drawing>
          <wp:inline distT="0" distB="0" distL="0" distR="0">
            <wp:extent cx="609600" cy="228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8"/>
                    <a:stretch>
                      <a:fillRect/>
                    </a:stretch>
                  </pic:blipFill>
                  <pic:spPr bwMode="auto">
                    <a:xfrm>
                      <a:off x="0" y="0"/>
                      <a:ext cx="609600" cy="228600"/>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Bakkt Holdings, Inc. </w:t>
      </w:r>
    </w:p>
    <w:p>
      <w:pPr>
        <w:pStyle w:val="TextBody"/>
        <w:spacing w:before="0" w:after="0"/>
        <w:jc w:val="left"/>
        <w:rPr>
          <w:rFonts w:ascii="Times New Roman" w:hAnsi="Times New Roman"/>
          <w:sz w:val="20"/>
        </w:rPr>
      </w:pPr>
      <w:r>
        <w:rPr>
          <w:rFonts w:ascii="Times New Roman" w:hAnsi="Times New Roman"/>
          <w:sz w:val="20"/>
        </w:rPr>
        <w:t xml:space="preserve">April 20, 2023 </w:t>
      </w:r>
    </w:p>
    <w:p>
      <w:pPr>
        <w:pStyle w:val="TextBody"/>
        <w:spacing w:before="0" w:after="0"/>
        <w:jc w:val="left"/>
        <w:rPr>
          <w:rFonts w:ascii="Times New Roman" w:hAnsi="Times New Roman"/>
          <w:sz w:val="20"/>
        </w:rPr>
      </w:pPr>
      <w:r>
        <w:rPr>
          <w:rFonts w:ascii="Times New Roman" w:hAnsi="Times New Roman"/>
          <w:sz w:val="20"/>
        </w:rPr>
        <w:t xml:space="preserve">Page 4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(c) the effect of general principles of equity, including without limitation concepts of materiality, reasonableness, good faith and fair dealing, and the possible unavailability of specific performance or injunctive relief, whether considered in a proceeding in equity or at law. </w:t>
      </w:r>
    </w:p>
    <w:p>
      <w:pPr>
        <w:pStyle w:val="TextBody"/>
        <w:spacing w:before="240" w:after="0"/>
        <w:jc w:val="left"/>
        <w:rPr>
          <w:rFonts w:ascii="Times New Roman" w:hAnsi="Times New Roman"/>
          <w:sz w:val="20"/>
        </w:rPr>
      </w:pPr>
      <w:r>
        <w:rPr>
          <w:rFonts w:ascii="Times New Roman" w:hAnsi="Times New Roman"/>
          <w:sz w:val="20"/>
        </w:rPr>
        <w:t xml:space="preserve">We express no opinion as to the laws of any other jurisdiction, other than the federal laws of the United States of America, the laws of the State of New York as to the enforceability of the Debt Securities and the DGCL. </w:t>
      </w:r>
    </w:p>
    <w:p>
      <w:pPr>
        <w:pStyle w:val="TextBody"/>
        <w:spacing w:before="240" w:after="0"/>
        <w:jc w:val="center"/>
        <w:rPr>
          <w:rFonts w:ascii="Times New Roman" w:hAnsi="Times New Roman"/>
          <w:sz w:val="20"/>
        </w:rPr>
      </w:pPr>
      <w:r>
        <w:rPr>
          <w:rFonts w:ascii="Times New Roman" w:hAnsi="Times New Roman"/>
          <w:sz w:val="20"/>
        </w:rPr>
        <w:t xml:space="preserve">* * * </w:t>
      </w:r>
      <w:r>
        <w:br w:type="page"/>
      </w:r>
    </w:p>
    <w:p>
      <w:pPr>
        <w:pStyle w:val="HorizontalLine"/>
        <w:pBdr>
          <w:bottom w:val="double" w:sz="6" w:space="0" w:color="808080"/>
        </w:pBdr>
        <w:rPr/>
      </w:pPr>
      <w:r>
        <w:rPr/>
      </w:r>
    </w:p>
    <w:p>
      <w:pPr>
        <w:pStyle w:val="TextBody"/>
        <w:spacing w:before="0" w:after="0"/>
        <w:jc w:val="left"/>
        <w:rPr/>
      </w:pPr>
      <w:r>
        <w:rPr/>
        <w:drawing>
          <wp:inline distT="0" distB="0" distL="0" distR="0">
            <wp:extent cx="609600" cy="228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9"/>
                    <a:stretch>
                      <a:fillRect/>
                    </a:stretch>
                  </pic:blipFill>
                  <pic:spPr bwMode="auto">
                    <a:xfrm>
                      <a:off x="0" y="0"/>
                      <a:ext cx="609600" cy="228600"/>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Bakkt Holdings, Inc. </w:t>
      </w:r>
    </w:p>
    <w:p>
      <w:pPr>
        <w:pStyle w:val="TextBody"/>
        <w:spacing w:before="0" w:after="0"/>
        <w:jc w:val="left"/>
        <w:rPr>
          <w:rFonts w:ascii="Times New Roman" w:hAnsi="Times New Roman"/>
          <w:sz w:val="20"/>
        </w:rPr>
      </w:pPr>
      <w:r>
        <w:rPr>
          <w:rFonts w:ascii="Times New Roman" w:hAnsi="Times New Roman"/>
          <w:sz w:val="20"/>
        </w:rPr>
        <w:t xml:space="preserve">April 20, 2023 </w:t>
      </w:r>
    </w:p>
    <w:p>
      <w:pPr>
        <w:pStyle w:val="TextBody"/>
        <w:spacing w:before="0" w:after="0"/>
        <w:jc w:val="left"/>
        <w:rPr>
          <w:rFonts w:ascii="Times New Roman" w:hAnsi="Times New Roman"/>
          <w:sz w:val="20"/>
        </w:rPr>
      </w:pPr>
      <w:r>
        <w:rPr>
          <w:rFonts w:ascii="Times New Roman" w:hAnsi="Times New Roman"/>
          <w:sz w:val="20"/>
        </w:rPr>
        <w:t xml:space="preserve">Page 5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thereby admit that we are in the category of persons whose consent is required under Section 7 of the Act or the rules and regulations of the Commission thereunder.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/s/ Wilson Sonsini Goodrich &amp; Rosati, P.C.</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WILSON SONSINI GOODRICH &amp; ROSATI</w:t>
            </w:r>
          </w:p>
        </w:tc>
      </w:tr>
      <w:tr>
        <w:trPr/>
        <w:tc>
          <w:tcPr>
            <w:tcW w:w="4082" w:type="dxa"/>
            <w:tcBorders/>
            <w:shd w:fill="auto" w:val="clear"/>
          </w:tcPr>
          <w:p>
            <w:pPr>
              <w:pStyle w:val="TableContents"/>
              <w:spacing w:before="0" w:after="283"/>
              <w:rPr/>
            </w:pPr>
            <w:r>
              <w:rPr/>
              <w:t>Professional Corporation</w:t>
            </w:r>
          </w:p>
        </w:tc>
      </w:tr>
    </w:tbl>
    <w:p>
      <w:pPr>
        <w:pStyle w:val="TextBody"/>
        <w:spacing w:before="0" w:after="0"/>
        <w:jc w:val="right"/>
        <w:rPr>
          <w:rFonts w:ascii="Times New Roman" w:hAnsi="Times New Roman"/>
          <w:b/>
          <w:sz w:val="20"/>
        </w:rPr>
      </w:pPr>
      <w:r>
        <w:br w:type="page"/>
      </w:r>
      <w:bookmarkStart w:id="22" w:name="d492054dex231.htm"/>
      <w:bookmarkStart w:id="23" w:name="ksd492054dex231"/>
      <w:bookmarkEnd w:id="22"/>
      <w:bookmarkEnd w:id="23"/>
      <w:r>
        <w:rPr>
          <w:rFonts w:ascii="Times New Roman" w:hAnsi="Times New Roman"/>
          <w:b/>
          <w:sz w:val="20"/>
        </w:rPr>
        <w:t xml:space="preserve">Exhibit 23.1 </w:t>
      </w:r>
    </w:p>
    <w:p>
      <w:pPr>
        <w:pStyle w:val="TextBody"/>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120" w:after="0"/>
        <w:jc w:val="left"/>
        <w:rPr>
          <w:rFonts w:ascii="Times New Roman" w:hAnsi="Times New Roman"/>
          <w:sz w:val="20"/>
        </w:rPr>
      </w:pPr>
      <w:r>
        <w:rPr>
          <w:rFonts w:ascii="Times New Roman" w:hAnsi="Times New Roman"/>
          <w:sz w:val="20"/>
        </w:rPr>
        <w:t xml:space="preserve">We consent to the reference to our firm under the caption Experts in the Form S-3 Registration Statement and related Prospectus of Bakkt Holdings, Inc. for the registration of Class A Common Stock, Preferred Stock, Debt Securities, Warrants and Units with an aggregate offering price not to exceed $115,000,000 and to the incorporation by reference therein of our report dated March 24, 2023, with respect to the consolidated financial statements of Bakkt Holdings Inc. included in its Annual Report (Form 10-K) for the year ended December 31, 2022, filed with the Securities and Exchange Commission.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Ernst &amp; Young LLP</w:t>
            </w:r>
          </w:p>
        </w:tc>
      </w:tr>
    </w:tbl>
    <w:p>
      <w:pPr>
        <w:pStyle w:val="TextBody"/>
        <w:spacing w:before="240" w:after="0"/>
        <w:jc w:val="left"/>
        <w:rPr>
          <w:rFonts w:ascii="Times New Roman" w:hAnsi="Times New Roman"/>
          <w:sz w:val="20"/>
        </w:rPr>
      </w:pPr>
      <w:r>
        <w:rPr>
          <w:rFonts w:ascii="Times New Roman" w:hAnsi="Times New Roman"/>
          <w:sz w:val="20"/>
        </w:rPr>
        <w:t xml:space="preserve">Atlanta, Georgia </w:t>
      </w:r>
    </w:p>
    <w:p>
      <w:pPr>
        <w:pStyle w:val="TextBody"/>
        <w:spacing w:before="120" w:after="0"/>
        <w:jc w:val="left"/>
        <w:rPr>
          <w:rFonts w:ascii="Times New Roman" w:hAnsi="Times New Roman"/>
          <w:sz w:val="20"/>
        </w:rPr>
      </w:pPr>
      <w:r>
        <w:rPr>
          <w:rFonts w:ascii="Times New Roman" w:hAnsi="Times New Roman"/>
          <w:sz w:val="20"/>
        </w:rPr>
        <w:t xml:space="preserve">April 20, 2023 </w:t>
      </w:r>
      <w:r>
        <w:br w:type="page"/>
      </w:r>
    </w:p>
    <w:p>
      <w:pPr>
        <w:pStyle w:val="TextBody"/>
        <w:spacing w:before="0" w:after="0"/>
        <w:jc w:val="right"/>
        <w:rPr>
          <w:rFonts w:ascii="Times New Roman" w:hAnsi="Times New Roman"/>
          <w:b/>
          <w:sz w:val="20"/>
        </w:rPr>
      </w:pPr>
      <w:bookmarkStart w:id="24" w:name="d492054dex232.htm"/>
      <w:bookmarkStart w:id="25" w:name="ksd492054dex232"/>
      <w:bookmarkEnd w:id="24"/>
      <w:bookmarkEnd w:id="25"/>
      <w:r>
        <w:rPr>
          <w:rFonts w:ascii="Times New Roman" w:hAnsi="Times New Roman"/>
          <w:b/>
          <w:sz w:val="20"/>
        </w:rPr>
        <w:t xml:space="preserve">Exhibit 23.2 </w:t>
      </w:r>
    </w:p>
    <w:p>
      <w:pPr>
        <w:pStyle w:val="TextBody"/>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hereby consent to the incorporation by reference in the Prospectus constituting a part of this Registration Statement to Form S-3 of our report dated March 28, 2022, relating to the consolidated financial statements of Bakkt Holdings, Inc. (f/k/a VPC Impact Acquisition Holdings), which is contained in Exhibit 99.1 to Form 8-K (File No. 001-39544), filed on April 5, 2022. We also consent to the reference to our firm under the caption Experts in the Prospectus. </w:t>
      </w:r>
    </w:p>
    <w:p>
      <w:pPr>
        <w:pStyle w:val="TextBody"/>
        <w:spacing w:before="240" w:after="0"/>
        <w:jc w:val="left"/>
        <w:rPr>
          <w:rFonts w:ascii="Times New Roman" w:hAnsi="Times New Roman"/>
          <w:sz w:val="20"/>
        </w:rPr>
      </w:pPr>
      <w:r>
        <w:rPr>
          <w:rFonts w:ascii="Times New Roman" w:hAnsi="Times New Roman"/>
          <w:sz w:val="20"/>
        </w:rPr>
        <w:t xml:space="preserve">/s/ WithumSmith+Brown, PC </w:t>
      </w:r>
    </w:p>
    <w:p>
      <w:pPr>
        <w:pStyle w:val="TextBody"/>
        <w:spacing w:before="240" w:after="0"/>
        <w:jc w:val="left"/>
        <w:rPr>
          <w:rFonts w:ascii="Times New Roman" w:hAnsi="Times New Roman"/>
          <w:sz w:val="20"/>
        </w:rPr>
      </w:pPr>
      <w:r>
        <w:rPr>
          <w:rFonts w:ascii="Times New Roman" w:hAnsi="Times New Roman"/>
          <w:sz w:val="20"/>
        </w:rPr>
        <w:t xml:space="preserve">New York, New York </w:t>
      </w:r>
    </w:p>
    <w:p>
      <w:pPr>
        <w:pStyle w:val="TextBody"/>
        <w:spacing w:before="0" w:after="0"/>
        <w:jc w:val="left"/>
        <w:rPr>
          <w:rFonts w:ascii="Times New Roman" w:hAnsi="Times New Roman"/>
          <w:sz w:val="20"/>
        </w:rPr>
      </w:pPr>
      <w:r>
        <w:rPr>
          <w:rFonts w:ascii="Times New Roman" w:hAnsi="Times New Roman"/>
          <w:sz w:val="20"/>
        </w:rPr>
        <w:t xml:space="preserve">April 20,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TextBody"/>
        <w:spacing w:before="0" w:after="0"/>
        <w:jc w:val="right"/>
        <w:rPr>
          <w:rFonts w:ascii="Times New Roman" w:hAnsi="Times New Roman"/>
          <w:b/>
          <w:sz w:val="20"/>
        </w:rPr>
      </w:pPr>
      <w:bookmarkStart w:id="26" w:name="d492054dex233.htm"/>
      <w:bookmarkStart w:id="27" w:name="ksd492054dex233"/>
      <w:bookmarkEnd w:id="26"/>
      <w:bookmarkEnd w:id="27"/>
      <w:r>
        <w:rPr>
          <w:rFonts w:ascii="Times New Roman" w:hAnsi="Times New Roman"/>
          <w:b/>
          <w:sz w:val="20"/>
        </w:rPr>
        <w:t xml:space="preserve">Exhibit 23.3 </w:t>
      </w:r>
    </w:p>
    <w:p>
      <w:pPr>
        <w:pStyle w:val="TextBody"/>
        <w:spacing w:before="240" w:after="0"/>
        <w:jc w:val="center"/>
        <w:rPr>
          <w:rFonts w:ascii="Times New Roman" w:hAnsi="Times New Roman"/>
          <w:b/>
          <w:sz w:val="20"/>
        </w:rPr>
      </w:pPr>
      <w:r>
        <w:rPr>
          <w:rFonts w:ascii="Times New Roman" w:hAnsi="Times New Roman"/>
          <w:b/>
          <w:sz w:val="20"/>
        </w:rPr>
        <w:t xml:space="preserve">Consent of Independent Auditor </w:t>
      </w:r>
    </w:p>
    <w:p>
      <w:pPr>
        <w:pStyle w:val="TextBody"/>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Bakkt Holdings, Inc. of our report dated March 29, 2023, except for the second paragraph of Note 16 as to which the date is April 18, 2023, with respect to the financial statements of Apex Crypto, LLC as of December 31, 2022 and 2021 and for the years then ended appearing in the Current Report on Form 8-K/A filed by Bakkt Holdings, Inc. on April 18, 2023. </w:t>
      </w:r>
    </w:p>
    <w:p>
      <w:pPr>
        <w:pStyle w:val="TextBody"/>
        <w:spacing w:before="240" w:after="0"/>
        <w:jc w:val="left"/>
        <w:rPr>
          <w:rFonts w:ascii="Times New Roman" w:hAnsi="Times New Roman"/>
          <w:sz w:val="20"/>
        </w:rPr>
      </w:pPr>
      <w:r>
        <w:rPr>
          <w:rFonts w:ascii="Times New Roman" w:hAnsi="Times New Roman"/>
          <w:sz w:val="20"/>
        </w:rPr>
        <w:t xml:space="preserve">We also consent to the reference of our firm under the heading Experts in such Registration Statement. </w:t>
      </w:r>
    </w:p>
    <w:p>
      <w:pPr>
        <w:pStyle w:val="TextBody"/>
        <w:spacing w:before="240" w:after="0"/>
        <w:jc w:val="left"/>
        <w:rPr>
          <w:rFonts w:ascii="Times New Roman" w:hAnsi="Times New Roman"/>
          <w:sz w:val="20"/>
        </w:rPr>
      </w:pPr>
      <w:r>
        <w:rPr>
          <w:rFonts w:ascii="Times New Roman" w:hAnsi="Times New Roman"/>
          <w:sz w:val="20"/>
        </w:rPr>
        <w:t xml:space="preserve">/s/ RSM US LLP </w:t>
      </w:r>
    </w:p>
    <w:p>
      <w:pPr>
        <w:pStyle w:val="TextBody"/>
        <w:spacing w:before="240" w:after="0"/>
        <w:jc w:val="left"/>
        <w:rPr>
          <w:rFonts w:ascii="Times New Roman" w:hAnsi="Times New Roman"/>
          <w:sz w:val="20"/>
        </w:rPr>
      </w:pPr>
      <w:r>
        <w:rPr>
          <w:rFonts w:ascii="Times New Roman" w:hAnsi="Times New Roman"/>
          <w:sz w:val="20"/>
        </w:rPr>
        <w:t xml:space="preserve">Chicago, Illinois </w:t>
      </w:r>
    </w:p>
    <w:p>
      <w:pPr>
        <w:pStyle w:val="TextBody"/>
        <w:spacing w:before="0" w:after="0"/>
        <w:jc w:val="left"/>
        <w:rPr>
          <w:rFonts w:ascii="Times New Roman" w:hAnsi="Times New Roman"/>
          <w:sz w:val="20"/>
        </w:rPr>
      </w:pPr>
      <w:r>
        <w:rPr>
          <w:rFonts w:ascii="Times New Roman" w:hAnsi="Times New Roman"/>
          <w:sz w:val="20"/>
        </w:rPr>
        <w:t xml:space="preserve">April 20,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TextBody"/>
        <w:spacing w:before="0" w:after="0"/>
        <w:jc w:val="right"/>
        <w:rPr>
          <w:rFonts w:ascii="Times New Roman" w:hAnsi="Times New Roman"/>
          <w:b/>
          <w:sz w:val="20"/>
        </w:rPr>
      </w:pPr>
      <w:bookmarkStart w:id="28" w:name="d492054dexfilingfees.htm"/>
      <w:bookmarkStart w:id="29" w:name="ksd492054dexfilingfees"/>
      <w:bookmarkEnd w:id="28"/>
      <w:bookmarkEnd w:id="29"/>
      <w:r>
        <w:rPr>
          <w:rFonts w:ascii="Times New Roman" w:hAnsi="Times New Roman"/>
          <w:b/>
          <w:sz w:val="20"/>
        </w:rPr>
        <w:t xml:space="preserve">Exhibit 107 </w:t>
      </w:r>
    </w:p>
    <w:p>
      <w:pPr>
        <w:pStyle w:val="TextBody"/>
        <w:spacing w:before="120" w:after="0"/>
        <w:jc w:val="center"/>
        <w:rPr>
          <w:rFonts w:ascii="Times New Roman" w:hAnsi="Times New Roman"/>
          <w:b/>
          <w:sz w:val="20"/>
        </w:rPr>
      </w:pPr>
      <w:r>
        <w:rPr>
          <w:rFonts w:ascii="Times New Roman" w:hAnsi="Times New Roman"/>
          <w:b/>
          <w:sz w:val="20"/>
        </w:rPr>
        <w:t xml:space="preserve">Calculation of Filing Fee Table </w:t>
      </w:r>
    </w:p>
    <w:p>
      <w:pPr>
        <w:pStyle w:val="TextBody"/>
        <w:spacing w:before="120" w:after="0"/>
        <w:jc w:val="center"/>
        <w:rPr>
          <w:rFonts w:ascii="Times New Roman" w:hAnsi="Times New Roman"/>
          <w:sz w:val="20"/>
        </w:rPr>
      </w:pPr>
      <w:r>
        <w:rPr>
          <w:rFonts w:ascii="Times New Roman" w:hAnsi="Times New Roman"/>
          <w:sz w:val="20"/>
        </w:rPr>
        <w:t xml:space="preserve">Form S-3 </w:t>
      </w:r>
    </w:p>
    <w:p>
      <w:pPr>
        <w:pStyle w:val="TextBody"/>
        <w:spacing w:before="0" w:after="0"/>
        <w:jc w:val="center"/>
        <w:rPr>
          <w:rFonts w:ascii="Times New Roman" w:hAnsi="Times New Roman"/>
          <w:sz w:val="20"/>
        </w:rPr>
      </w:pPr>
      <w:r>
        <w:rPr>
          <w:rFonts w:ascii="Times New Roman" w:hAnsi="Times New Roman"/>
          <w:sz w:val="20"/>
        </w:rPr>
        <w:t xml:space="preserve">(Form Type) </w:t>
      </w:r>
    </w:p>
    <w:p>
      <w:pPr>
        <w:pStyle w:val="TextBody"/>
        <w:spacing w:before="120" w:after="0"/>
        <w:jc w:val="center"/>
        <w:rPr>
          <w:rFonts w:ascii="Times New Roman" w:hAnsi="Times New Roman"/>
          <w:b/>
          <w:sz w:val="20"/>
        </w:rPr>
      </w:pPr>
      <w:r>
        <w:rPr>
          <w:rFonts w:ascii="Times New Roman" w:hAnsi="Times New Roman"/>
          <w:b/>
          <w:sz w:val="20"/>
        </w:rPr>
        <w:t xml:space="preserve">BAKKT HOLDINGS, INC. </w:t>
      </w:r>
    </w:p>
    <w:p>
      <w:pPr>
        <w:pStyle w:val="TextBody"/>
        <w:spacing w:before="12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Table 1 - Newly Registered Securities </w:t>
      </w:r>
    </w:p>
    <w:p>
      <w:pPr>
        <w:pStyle w:val="TextBody"/>
        <w:spacing w:before="0" w:after="0"/>
        <w:jc w:val="left"/>
        <w:rPr/>
      </w:pPr>
      <w:r>
        <w:rPr/>
        <w:t> </w:t>
      </w:r>
    </w:p>
    <w:tbl>
      <w:tblPr>
        <w:tblW w:w="9610" w:type="dxa"/>
        <w:jc w:val="center"/>
        <w:tblInd w:w="0" w:type="dxa"/>
        <w:tblCellMar>
          <w:top w:w="0" w:type="dxa"/>
          <w:left w:w="0" w:type="dxa"/>
          <w:bottom w:w="0" w:type="dxa"/>
          <w:right w:w="0" w:type="dxa"/>
        </w:tblCellMar>
      </w:tblPr>
      <w:tblGrid>
        <w:gridCol w:w="1160"/>
        <w:gridCol w:w="60"/>
        <w:gridCol w:w="935"/>
        <w:gridCol w:w="60"/>
        <w:gridCol w:w="1100"/>
        <w:gridCol w:w="60"/>
        <w:gridCol w:w="1100"/>
        <w:gridCol w:w="60"/>
        <w:gridCol w:w="995"/>
        <w:gridCol w:w="60"/>
        <w:gridCol w:w="1640"/>
        <w:gridCol w:w="60"/>
        <w:gridCol w:w="1100"/>
        <w:gridCol w:w="60"/>
        <w:gridCol w:w="1160"/>
      </w:tblGrid>
      <w:tr>
        <w:trPr/>
        <w:tc>
          <w:tcPr>
            <w:tcW w:w="1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r>
      <w:tr>
        <w:trPr>
          <w:trHeight w:val="15" w:hRule="atLeast"/>
        </w:trPr>
        <w:tc>
          <w:tcPr>
            <w:tcW w:w="116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99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70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160" w:type="dxa"/>
            <w:tcBorders>
              <w:left w:val="single" w:sz="2" w:space="0" w:color="000000"/>
            </w:tcBorders>
            <w:shd w:fill="auto" w:val="clear"/>
            <w:tcMar>
              <w:left w:w="160" w:type="dxa"/>
            </w:tcMar>
            <w:vAlign w:val="bottom"/>
          </w:tcPr>
          <w:p>
            <w:pPr>
              <w:pStyle w:val="TableContents"/>
              <w:spacing w:before="0" w:after="283"/>
              <w:jc w:val="center"/>
              <w:rPr/>
            </w:pPr>
            <w:r>
              <w:rPr/>
              <w:t>Security Type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35"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Security</w:t>
              <w:br/>
              <w:t>Class</w:t>
            </w:r>
          </w:p>
          <w:p>
            <w:pPr>
              <w:pStyle w:val="TableContents"/>
              <w:spacing w:before="0" w:after="20"/>
              <w:jc w:val="center"/>
              <w:rPr>
                <w:rFonts w:ascii="Times New Roman" w:hAnsi="Times New Roman"/>
                <w:sz w:val="14"/>
              </w:rPr>
            </w:pPr>
            <w:r>
              <w:rPr>
                <w:rFonts w:ascii="Times New Roman" w:hAnsi="Times New Roman"/>
                <w:sz w:val="14"/>
              </w:rPr>
              <w:t>Title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Fee</w:t>
              <w:br/>
              <w:t>Calculation</w:t>
              <w:br/>
              <w:t>Rule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Amount</w:t>
              <w:br/>
              <w:t>Registered(1)</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center"/>
              <w:rPr/>
            </w:pPr>
            <w:r>
              <w:rPr/>
              <w:t>Proposed</w:t>
              <w:br/>
              <w:t>Maximum</w:t>
              <w:br/>
              <w:t>Offering</w:t>
              <w:br/>
              <w:t>Price Per</w:t>
              <w:br/>
              <w:t>Security(2)</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640" w:type="dxa"/>
            <w:tcBorders/>
            <w:shd w:fill="auto" w:val="clear"/>
            <w:vAlign w:val="bottom"/>
          </w:tcPr>
          <w:p>
            <w:pPr>
              <w:pStyle w:val="TableContents"/>
              <w:spacing w:before="0" w:after="283"/>
              <w:jc w:val="center"/>
              <w:rPr/>
            </w:pPr>
            <w:r>
              <w:rPr/>
              <w:t>Maximum Aggregate</w:t>
              <w:br/>
              <w:t>Offering Price(3)</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Fee</w:t>
            </w:r>
          </w:p>
          <w:p>
            <w:pPr>
              <w:pStyle w:val="TableContents"/>
              <w:spacing w:before="0" w:after="20"/>
              <w:jc w:val="center"/>
              <w:rPr>
                <w:rFonts w:ascii="Times New Roman" w:hAnsi="Times New Roman"/>
                <w:sz w:val="14"/>
              </w:rPr>
            </w:pPr>
            <w:r>
              <w:rPr>
                <w:rFonts w:ascii="Times New Roman" w:hAnsi="Times New Roman"/>
                <w:sz w:val="14"/>
              </w:rPr>
              <w:t>Rate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right w:val="single" w:sz="2" w:space="0" w:color="000000"/>
            </w:tcBorders>
            <w:shd w:fill="auto" w:val="clear"/>
            <w:tcMar>
              <w:right w:w="40" w:type="dxa"/>
            </w:tcMar>
            <w:vAlign w:val="bottom"/>
          </w:tcPr>
          <w:p>
            <w:pPr>
              <w:pStyle w:val="TableContents"/>
              <w:spacing w:before="0" w:after="283"/>
              <w:jc w:val="center"/>
              <w:rPr/>
            </w:pPr>
            <w:r>
              <w:rPr/>
              <w:t>Amount of</w:t>
              <w:br/>
              <w:t>Registration</w:t>
              <w:br/>
              <w:t>Fee</w:t>
            </w:r>
          </w:p>
        </w:tc>
      </w:tr>
      <w:tr>
        <w:trPr>
          <w:trHeight w:val="15" w:hRule="atLeast"/>
        </w:trPr>
        <w:tc>
          <w:tcPr>
            <w:tcW w:w="116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99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70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160" w:type="dxa"/>
            <w:tcBorders>
              <w:left w:val="single" w:sz="2" w:space="0" w:color="000000"/>
            </w:tcBorders>
            <w:shd w:fill="auto" w:val="clear"/>
            <w:tcMar>
              <w:left w:w="160" w:type="dxa"/>
            </w:tcMar>
          </w:tcPr>
          <w:p>
            <w:pPr>
              <w:pStyle w:val="TableContents"/>
              <w:spacing w:before="0" w:after="283"/>
              <w:jc w:val="center"/>
              <w:rPr/>
            </w:pPr>
            <w:r>
              <w:rPr/>
              <w:t>Equity</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center"/>
              <w:rPr/>
            </w:pPr>
            <w:r>
              <w:rPr/>
              <w:t>Class A Common Stock, par value $0.0001 per share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457(o)</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640"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$110.20 per $1,000,000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right w:val="single" w:sz="2" w:space="0" w:color="000000"/>
            </w:tcBorders>
            <w:shd w:fill="auto" w:val="clear"/>
            <w:tcMar>
              <w:right w:w="40" w:type="dxa"/>
            </w:tcMar>
            <w:vAlign w:val="bottom"/>
          </w:tcPr>
          <w:p>
            <w:pPr>
              <w:pStyle w:val="TableContents"/>
              <w:spacing w:before="0" w:after="283"/>
              <w:jc w:val="center"/>
              <w:rPr/>
            </w:pPr>
            <w:r>
              <w:rPr/>
              <w:t>$</w:t>
            </w:r>
          </w:p>
        </w:tc>
      </w:tr>
      <w:tr>
        <w:trPr>
          <w:trHeight w:val="15" w:hRule="atLeast"/>
        </w:trPr>
        <w:tc>
          <w:tcPr>
            <w:tcW w:w="116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99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70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160" w:type="dxa"/>
            <w:tcBorders>
              <w:left w:val="single" w:sz="2" w:space="0" w:color="000000"/>
            </w:tcBorders>
            <w:shd w:fill="auto" w:val="clear"/>
            <w:tcMar>
              <w:left w:w="160" w:type="dxa"/>
            </w:tcMar>
          </w:tcPr>
          <w:p>
            <w:pPr>
              <w:pStyle w:val="TableContents"/>
              <w:spacing w:before="0" w:after="283"/>
              <w:jc w:val="center"/>
              <w:rPr/>
            </w:pPr>
            <w:r>
              <w:rPr/>
              <w:t>Equity</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center"/>
              <w:rPr/>
            </w:pPr>
            <w:r>
              <w:rPr/>
              <w:t>Preferred Stock, par value $0.0001 per share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457(o)</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640"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$110.20 per $1,000,000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right w:val="single" w:sz="2" w:space="0" w:color="000000"/>
            </w:tcBorders>
            <w:shd w:fill="auto" w:val="clear"/>
            <w:tcMar>
              <w:right w:w="40" w:type="dxa"/>
            </w:tcMar>
            <w:vAlign w:val="bottom"/>
          </w:tcPr>
          <w:p>
            <w:pPr>
              <w:pStyle w:val="TableContents"/>
              <w:spacing w:before="0" w:after="283"/>
              <w:jc w:val="center"/>
              <w:rPr/>
            </w:pPr>
            <w:r>
              <w:rPr/>
              <w:t>$</w:t>
            </w:r>
          </w:p>
        </w:tc>
      </w:tr>
      <w:tr>
        <w:trPr>
          <w:trHeight w:val="15" w:hRule="atLeast"/>
        </w:trPr>
        <w:tc>
          <w:tcPr>
            <w:tcW w:w="116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99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70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160" w:type="dxa"/>
            <w:tcBorders>
              <w:left w:val="single" w:sz="2" w:space="0" w:color="000000"/>
            </w:tcBorders>
            <w:shd w:fill="auto" w:val="clear"/>
            <w:tcMar>
              <w:left w:w="160" w:type="dxa"/>
            </w:tcMar>
          </w:tcPr>
          <w:p>
            <w:pPr>
              <w:pStyle w:val="TableContents"/>
              <w:spacing w:before="0" w:after="283"/>
              <w:jc w:val="center"/>
              <w:rPr/>
            </w:pPr>
            <w:r>
              <w:rPr/>
              <w:t>Debt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center"/>
              <w:rPr/>
            </w:pPr>
            <w:r>
              <w:rPr/>
              <w:t>Debt Securities</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457(o)</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640"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$110.20 per $1,000,000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right w:val="single" w:sz="2" w:space="0" w:color="000000"/>
            </w:tcBorders>
            <w:shd w:fill="auto" w:val="clear"/>
            <w:tcMar>
              <w:right w:w="40" w:type="dxa"/>
            </w:tcMar>
            <w:vAlign w:val="bottom"/>
          </w:tcPr>
          <w:p>
            <w:pPr>
              <w:pStyle w:val="TableContents"/>
              <w:spacing w:before="0" w:after="283"/>
              <w:jc w:val="center"/>
              <w:rPr/>
            </w:pPr>
            <w:r>
              <w:rPr/>
              <w:t>$</w:t>
            </w:r>
          </w:p>
        </w:tc>
      </w:tr>
      <w:tr>
        <w:trPr>
          <w:trHeight w:val="15" w:hRule="atLeast"/>
        </w:trPr>
        <w:tc>
          <w:tcPr>
            <w:tcW w:w="116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99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70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160" w:type="dxa"/>
            <w:tcBorders>
              <w:left w:val="single" w:sz="2" w:space="0" w:color="000000"/>
            </w:tcBorders>
            <w:shd w:fill="auto" w:val="clear"/>
            <w:tcMar>
              <w:left w:w="160" w:type="dxa"/>
            </w:tcMar>
          </w:tcPr>
          <w:p>
            <w:pPr>
              <w:pStyle w:val="TableContents"/>
              <w:spacing w:before="0" w:after="283"/>
              <w:jc w:val="center"/>
              <w:rPr/>
            </w:pPr>
            <w:r>
              <w:rPr/>
              <w:t>Debt Convertible into Equity</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center"/>
              <w:rPr/>
            </w:pPr>
            <w:r>
              <w:rPr/>
              <w:t>Warrants</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457(o)</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640"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$110.20 per $1,000,000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right w:val="single" w:sz="2" w:space="0" w:color="000000"/>
            </w:tcBorders>
            <w:shd w:fill="auto" w:val="clear"/>
            <w:tcMar>
              <w:right w:w="40" w:type="dxa"/>
            </w:tcMar>
            <w:vAlign w:val="bottom"/>
          </w:tcPr>
          <w:p>
            <w:pPr>
              <w:pStyle w:val="TableContents"/>
              <w:spacing w:before="0" w:after="283"/>
              <w:jc w:val="center"/>
              <w:rPr/>
            </w:pPr>
            <w:r>
              <w:rPr/>
              <w:t>$</w:t>
            </w:r>
          </w:p>
        </w:tc>
      </w:tr>
      <w:tr>
        <w:trPr>
          <w:trHeight w:val="15" w:hRule="atLeast"/>
        </w:trPr>
        <w:tc>
          <w:tcPr>
            <w:tcW w:w="116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99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70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160" w:type="dxa"/>
            <w:tcBorders>
              <w:left w:val="single" w:sz="2" w:space="0" w:color="000000"/>
            </w:tcBorders>
            <w:shd w:fill="auto" w:val="clear"/>
            <w:tcMar>
              <w:left w:w="160" w:type="dxa"/>
            </w:tcMar>
          </w:tcPr>
          <w:p>
            <w:pPr>
              <w:pStyle w:val="TableContents"/>
              <w:spacing w:before="0" w:after="283"/>
              <w:jc w:val="center"/>
              <w:rPr/>
            </w:pPr>
            <w:r>
              <w:rPr/>
              <w:t>Equity</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center"/>
              <w:rPr/>
            </w:pPr>
            <w:r>
              <w:rPr/>
              <w:t>Units</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457(o)</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640"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$110.20 per $1,000,000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right w:val="single" w:sz="2" w:space="0" w:color="000000"/>
            </w:tcBorders>
            <w:shd w:fill="auto" w:val="clear"/>
            <w:tcMar>
              <w:right w:w="40" w:type="dxa"/>
            </w:tcMar>
            <w:vAlign w:val="bottom"/>
          </w:tcPr>
          <w:p>
            <w:pPr>
              <w:pStyle w:val="TableContents"/>
              <w:spacing w:before="0" w:after="283"/>
              <w:jc w:val="center"/>
              <w:rPr/>
            </w:pPr>
            <w:r>
              <w:rPr/>
              <w:t>$</w:t>
            </w:r>
          </w:p>
        </w:tc>
      </w:tr>
      <w:tr>
        <w:trPr>
          <w:trHeight w:val="15" w:hRule="atLeast"/>
        </w:trPr>
        <w:tc>
          <w:tcPr>
            <w:tcW w:w="116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99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70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160" w:type="dxa"/>
            <w:tcBorders>
              <w:left w:val="single" w:sz="2" w:space="0" w:color="000000"/>
            </w:tcBorders>
            <w:shd w:fill="auto" w:val="clear"/>
            <w:tcMar>
              <w:left w:w="160" w:type="dxa"/>
            </w:tcMar>
          </w:tcPr>
          <w:p>
            <w:pPr>
              <w:pStyle w:val="TableContents"/>
              <w:spacing w:before="0" w:after="283"/>
              <w:jc w:val="center"/>
              <w:rPr/>
            </w:pPr>
            <w:r>
              <w:rPr/>
              <w:t>Unallocated (Universal Shelf)</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457(o)</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640" w:type="dxa"/>
            <w:tcBorders/>
            <w:shd w:fill="auto" w:val="clear"/>
            <w:vAlign w:val="bottom"/>
          </w:tcPr>
          <w:p>
            <w:pPr>
              <w:pStyle w:val="TableContents"/>
              <w:spacing w:before="0" w:after="283"/>
              <w:jc w:val="center"/>
              <w:rPr/>
            </w:pPr>
            <w:r>
              <w:rPr/>
              <w:t>$115,000,000.00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$110.20 per $1,000,000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right w:val="single" w:sz="2" w:space="0" w:color="000000"/>
            </w:tcBorders>
            <w:shd w:fill="auto" w:val="clear"/>
            <w:tcMar>
              <w:right w:w="40" w:type="dxa"/>
            </w:tcMar>
            <w:vAlign w:val="bottom"/>
          </w:tcPr>
          <w:p>
            <w:pPr>
              <w:pStyle w:val="TableContents"/>
              <w:spacing w:before="0" w:after="283"/>
              <w:jc w:val="center"/>
              <w:rPr/>
            </w:pPr>
            <w:r>
              <w:rPr/>
              <w:t>$12,673.00</w:t>
            </w:r>
          </w:p>
        </w:tc>
      </w:tr>
      <w:tr>
        <w:trPr>
          <w:trHeight w:val="15" w:hRule="atLeast"/>
        </w:trPr>
        <w:tc>
          <w:tcPr>
            <w:tcW w:w="4475" w:type="dxa"/>
            <w:gridSpan w:val="7"/>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70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4475" w:type="dxa"/>
            <w:gridSpan w:val="7"/>
            <w:tcBorders>
              <w:left w:val="single" w:sz="2" w:space="0" w:color="000000"/>
            </w:tcBorders>
            <w:shd w:fill="auto" w:val="clear"/>
            <w:tcMar>
              <w:left w:w="160" w:type="dxa"/>
            </w:tcMar>
          </w:tcPr>
          <w:p>
            <w:pPr>
              <w:pStyle w:val="TableContents"/>
              <w:spacing w:before="0" w:after="283"/>
              <w:jc w:val="center"/>
              <w:rPr/>
            </w:pPr>
            <w:r>
              <w:rPr/>
              <w:t>Total Offering Amounts</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640" w:type="dxa"/>
            <w:tcBorders/>
            <w:shd w:fill="auto" w:val="clear"/>
            <w:vAlign w:val="bottom"/>
          </w:tcPr>
          <w:p>
            <w:pPr>
              <w:pStyle w:val="TableContents"/>
              <w:spacing w:before="0" w:after="283"/>
              <w:jc w:val="center"/>
              <w:rPr/>
            </w:pPr>
            <w:r>
              <w:rPr/>
              <w:t>$115,000,000.00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right w:val="single" w:sz="2" w:space="0" w:color="000000"/>
            </w:tcBorders>
            <w:shd w:fill="auto" w:val="clear"/>
            <w:tcMar>
              <w:right w:w="40" w:type="dxa"/>
            </w:tcMar>
            <w:vAlign w:val="bottom"/>
          </w:tcPr>
          <w:p>
            <w:pPr>
              <w:pStyle w:val="TableContents"/>
              <w:spacing w:before="0" w:after="283"/>
              <w:jc w:val="center"/>
              <w:rPr/>
            </w:pPr>
            <w:r>
              <w:rPr/>
              <w:t>$12,673.00</w:t>
            </w:r>
          </w:p>
        </w:tc>
      </w:tr>
      <w:tr>
        <w:trPr>
          <w:trHeight w:val="15" w:hRule="atLeast"/>
        </w:trPr>
        <w:tc>
          <w:tcPr>
            <w:tcW w:w="4475" w:type="dxa"/>
            <w:gridSpan w:val="7"/>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70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4475" w:type="dxa"/>
            <w:gridSpan w:val="7"/>
            <w:tcBorders>
              <w:left w:val="single" w:sz="2" w:space="0" w:color="000000"/>
            </w:tcBorders>
            <w:shd w:fill="auto" w:val="clear"/>
            <w:tcMar>
              <w:left w:w="160" w:type="dxa"/>
            </w:tcMar>
          </w:tcPr>
          <w:p>
            <w:pPr>
              <w:pStyle w:val="TableContents"/>
              <w:spacing w:before="0" w:after="283"/>
              <w:jc w:val="center"/>
              <w:rPr/>
            </w:pPr>
            <w:r>
              <w:rPr/>
              <w:t>Total Fees Previously Paid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64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right w:val="single" w:sz="2" w:space="0" w:color="000000"/>
            </w:tcBorders>
            <w:shd w:fill="auto" w:val="clear"/>
            <w:tcMar>
              <w:right w:w="40" w:type="dxa"/>
            </w:tcMar>
            <w:vAlign w:val="bottom"/>
          </w:tcPr>
          <w:p>
            <w:pPr>
              <w:pStyle w:val="TableContents"/>
              <w:spacing w:before="0" w:after="283"/>
              <w:jc w:val="center"/>
              <w:rPr/>
            </w:pPr>
            <w:r>
              <w:rPr/>
              <w:t></w:t>
            </w:r>
          </w:p>
        </w:tc>
      </w:tr>
      <w:tr>
        <w:trPr>
          <w:trHeight w:val="15" w:hRule="atLeast"/>
        </w:trPr>
        <w:tc>
          <w:tcPr>
            <w:tcW w:w="4475" w:type="dxa"/>
            <w:gridSpan w:val="7"/>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70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4475" w:type="dxa"/>
            <w:gridSpan w:val="7"/>
            <w:tcBorders>
              <w:left w:val="single" w:sz="2" w:space="0" w:color="000000"/>
            </w:tcBorders>
            <w:shd w:fill="auto" w:val="clear"/>
            <w:tcMar>
              <w:left w:w="160" w:type="dxa"/>
            </w:tcMar>
          </w:tcPr>
          <w:p>
            <w:pPr>
              <w:pStyle w:val="TableContents"/>
              <w:spacing w:before="0" w:after="283"/>
              <w:jc w:val="center"/>
              <w:rPr/>
            </w:pPr>
            <w:r>
              <w:rPr/>
              <w:t>Total Fee Offsets</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64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right w:val="single" w:sz="2" w:space="0" w:color="000000"/>
            </w:tcBorders>
            <w:shd w:fill="auto" w:val="clear"/>
            <w:tcMar>
              <w:right w:w="40" w:type="dxa"/>
            </w:tcMar>
            <w:vAlign w:val="bottom"/>
          </w:tcPr>
          <w:p>
            <w:pPr>
              <w:pStyle w:val="TableContents"/>
              <w:spacing w:before="0" w:after="283"/>
              <w:jc w:val="center"/>
              <w:rPr/>
            </w:pPr>
            <w:r>
              <w:rPr/>
              <w:t></w:t>
            </w:r>
          </w:p>
        </w:tc>
      </w:tr>
      <w:tr>
        <w:trPr>
          <w:trHeight w:val="15" w:hRule="atLeast"/>
        </w:trPr>
        <w:tc>
          <w:tcPr>
            <w:tcW w:w="4475" w:type="dxa"/>
            <w:gridSpan w:val="7"/>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70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4475" w:type="dxa"/>
            <w:gridSpan w:val="7"/>
            <w:tcBorders>
              <w:left w:val="single" w:sz="2" w:space="0" w:color="000000"/>
              <w:bottom w:val="single" w:sz="2" w:space="0" w:color="000000"/>
            </w:tcBorders>
            <w:shd w:fill="auto" w:val="clear"/>
            <w:tcMar>
              <w:left w:w="160" w:type="dxa"/>
              <w:bottom w:w="28" w:type="dxa"/>
            </w:tcMar>
          </w:tcPr>
          <w:p>
            <w:pPr>
              <w:pStyle w:val="TableContents"/>
              <w:spacing w:before="0" w:after="283"/>
              <w:jc w:val="center"/>
              <w:rPr/>
            </w:pPr>
            <w:r>
              <w:rPr/>
              <w:t>Net Fee Due</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9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4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0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60"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jc w:val="center"/>
              <w:rPr/>
            </w:pPr>
            <w:r>
              <w:rPr/>
              <w:t>$12,673.00</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securities registered hereunder include such indeterminate number of (a) shares of Class A Common Stock, (b) shares of preferred stock, (c) debt securities, (d) warrants to purchase Class A Common Stock, preferred stock or debt securities of the registrant and (e) units consisting of two or more of these securities in any combination, as may be sold from time to time by the registrant. There are also being registered hereunder an indeterminate number of shares of Class A Common Stock and preferred stock as shall be issuable upon conversion, exchange or exercise of any securities that provide for such issuance.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 Separate consideration may or may not be received for securities that are issuable on exercise, conversion or exchange of other securities.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Estimated solely for the purpose of calculating the registration fee. Subject to Rule 462(b) under the Securities Act, the aggregate maximum offering price of all securities issued by the registrant pursuant to this registration statement will not exceed $115,000,000.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Narrow">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20302/000182030223000016/bakkt-20221231.htm" TargetMode="External"/><Relationship Id="rId4" Type="http://schemas.openxmlformats.org/officeDocument/2006/relationships/hyperlink" Target="http://www.sec.gov/Archives/edgar/data/../../../ix?doc=/Archives/edgar/data/1820302/000182030223000006/bakkt-20230309.htm" TargetMode="External"/><Relationship Id="rId5" Type="http://schemas.openxmlformats.org/officeDocument/2006/relationships/hyperlink" Target="http://www.sec.gov/Archives/edgar/data/../../../ix?doc=/Archives/edgar/data/1820302/000119312523089016/d482123d8k.htm" TargetMode="External"/><Relationship Id="rId6" Type="http://schemas.openxmlformats.org/officeDocument/2006/relationships/hyperlink" Target="http://www.sec.gov/Archives/edgar/data/../../../ix?doc=/Archives/edgar/data/0001820302/000182030223000033/bakkt-20230418.htm" TargetMode="External"/><Relationship Id="rId7" Type="http://schemas.openxmlformats.org/officeDocument/2006/relationships/hyperlink" Target="http://www.sec.gov/Archives/edgar/data/../../../ix?doc=/Archives/edgar/data/0001820302/000119312522096343/d322705d8ka.htm" TargetMode="External"/><Relationship Id="rId8" Type="http://schemas.openxmlformats.org/officeDocument/2006/relationships/hyperlink" Target="http://www.sec.gov/Archives/edgar/data/../../../ix?doc=/Archives/edgar/data/0001820302/000182030223000030/bakkt-20230401.htm" TargetMode="External"/><Relationship Id="rId9" Type="http://schemas.openxmlformats.org/officeDocument/2006/relationships/hyperlink" Target="http://www.sec.gov/Archives/edgar/data/1820302/000119312521299620/d211377d8a12b.htm" TargetMode="External"/><Relationship Id="rId10" Type="http://schemas.openxmlformats.org/officeDocument/2006/relationships/hyperlink" Target="http://www.sec.gov/Archives/edgar/data/1820302/000119312521303985/d219325dex31.htm" TargetMode="External"/><Relationship Id="rId11" Type="http://schemas.openxmlformats.org/officeDocument/2006/relationships/hyperlink" Target="http://www.sec.gov/Archives/edgar/data/1820302/000119312521303985/d219325dex32.htm" TargetMode="External"/><Relationship Id="rId12" Type="http://schemas.openxmlformats.org/officeDocument/2006/relationships/hyperlink" Target="http://www.sec.gov/Archives/edgar/data/1820302/000119312521303985/d219325dex42.htm" TargetMode="External"/><Relationship Id="rId13" Type="http://schemas.openxmlformats.org/officeDocument/2006/relationships/hyperlink" Target="http://www.sec.gov/Archives/edgar/data/1820302/000119312520256308/d38926dex41.htm" TargetMode="External"/><Relationship Id="rId14" Type="http://schemas.openxmlformats.org/officeDocument/2006/relationships/hyperlink" Target="http://www.sec.gov/Archives/edgar/data/1820302/000119312521303985/d219325dex43.htm" TargetMode="External"/><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image" Target="media/image6.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91</Pages>
  <Words>40561</Words>
  <CharactersWithSpaces>245028</CharactersWithSpaces>
  <Paragraphs>3141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