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8514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514080"/>
                    </a:xfrm>
                    <a:prstGeom prst="rect">
                      <a:avLst/>
                    </a:prstGeom>
                    <a:noFill/>
                  </pic:spPr>
                </pic:pic>
              </a:graphicData>
            </a:graphic>
          </wp:anchor>
        </w:drawing>
      </w:r>
    </w:p>
    <w:p>
      <w:pPr>
        <w:spacing w:after="0" w:line="95" w:lineRule="exact"/>
        <w:rPr>
          <w:sz w:val="24"/>
          <w:szCs w:val="24"/>
          <w:color w:val="auto"/>
        </w:rPr>
      </w:pPr>
    </w:p>
    <w:p>
      <w:pPr>
        <w:sectPr>
          <w:pgSz w:w="11900" w:h="16885"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Intercontinental Exchange, Inc.</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Pr>
          <w:p>
            <w:pPr>
              <w:ind w:left="24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64"/>
        </w:trPr>
        <w:tc>
          <w:tcPr>
            <w:tcW w:w="20" w:type="dxa"/>
            <w:vAlign w:val="bottom"/>
          </w:tcPr>
          <w:p>
            <w:pPr>
              <w:spacing w:after="0"/>
              <w:rPr>
                <w:sz w:val="22"/>
                <w:szCs w:val="22"/>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9"/>
              </w:rPr>
              <w:t>5660 NEW NORTHSIDE DRIVE</w:t>
            </w:r>
          </w:p>
        </w:tc>
        <w:tc>
          <w:tcPr>
            <w:tcW w:w="1300" w:type="dxa"/>
            <w:vAlign w:val="bottom"/>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r>
      <w:tr>
        <w:trPr>
          <w:trHeight w:val="2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ATLANTA</w:t>
            </w:r>
          </w:p>
        </w:tc>
        <w:tc>
          <w:tcPr>
            <w:tcW w:w="13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GA</w:t>
            </w:r>
          </w:p>
        </w:tc>
        <w:tc>
          <w:tcPr>
            <w:tcW w:w="13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30328</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360" w:type="dxa"/>
            <w:vAlign w:val="bottom"/>
          </w:tcPr>
          <w:p>
            <w:pPr>
              <w:ind w:left="240"/>
              <w:spacing w:after="0"/>
              <w:rPr>
                <w:sz w:val="20"/>
                <w:szCs w:val="20"/>
                <w:color w:val="auto"/>
              </w:rPr>
            </w:pPr>
            <w:r>
              <w:rPr>
                <w:rFonts w:ascii="Arial" w:cs="Arial" w:eastAsia="Arial" w:hAnsi="Arial"/>
                <w:sz w:val="13"/>
                <w:szCs w:val="13"/>
                <w:color w:val="auto"/>
              </w:rPr>
              <w:t>(State)</w:t>
            </w:r>
          </w:p>
        </w:tc>
        <w:tc>
          <w:tcPr>
            <w:tcW w:w="130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20" w:type="dxa"/>
            <w:vAlign w:val="bottom"/>
            <w:vMerge w:val="restart"/>
          </w:tcPr>
          <w:p>
            <w:pPr>
              <w:ind w:left="160"/>
              <w:spacing w:after="0" w:line="156"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25"/>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48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20" w:type="dxa"/>
            <w:vAlign w:val="bottom"/>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5"/>
        </w:trPr>
        <w:tc>
          <w:tcPr>
            <w:tcW w:w="17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04/25/2024</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ind w:left="400"/>
              <w:spacing w:after="0"/>
              <w:rPr>
                <w:sz w:val="20"/>
                <w:szCs w:val="20"/>
                <w:color w:val="auto"/>
              </w:rPr>
            </w:pPr>
            <w:r>
              <w:rPr>
                <w:rFonts w:ascii="Arial" w:cs="Arial" w:eastAsia="Arial" w:hAnsi="Arial"/>
                <w:sz w:val="13"/>
                <w:szCs w:val="13"/>
                <w:color w:val="auto"/>
              </w:rPr>
              <w:t>below)</w:t>
            </w:r>
          </w:p>
        </w:tc>
        <w:tc>
          <w:tcPr>
            <w:tcW w:w="1620" w:type="dxa"/>
            <w:vAlign w:val="bottom"/>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17" w:lineRule="exact"/>
        <w:rPr>
          <w:sz w:val="24"/>
          <w:szCs w:val="24"/>
          <w:color w:val="auto"/>
        </w:rPr>
      </w:pPr>
    </w:p>
    <w:tbl>
      <w:tblPr>
        <w:tblLayout w:type="fixed"/>
        <w:tblInd w:w="4100"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23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320" w:type="dxa"/>
            <w:vAlign w:val="bottom"/>
          </w:tcPr>
          <w:p>
            <w:pPr>
              <w:ind w:left="100"/>
              <w:spacing w:after="0"/>
              <w:rPr>
                <w:sz w:val="20"/>
                <w:szCs w:val="20"/>
                <w:color w:val="auto"/>
              </w:rPr>
            </w:pPr>
            <w:r>
              <w:rPr>
                <w:rFonts w:ascii="Arial" w:cs="Arial" w:eastAsia="Arial" w:hAnsi="Arial"/>
                <w:sz w:val="13"/>
                <w:szCs w:val="13"/>
                <w:color w:val="auto"/>
                <w:w w:val="97"/>
              </w:rPr>
              <w:t>Form filed by More than One Reporting</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23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2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85"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 w:type="dxa"/>
            <w:vAlign w:val="bottom"/>
          </w:tcPr>
          <w:p>
            <w:pPr>
              <w:spacing w:after="0"/>
              <w:rPr>
                <w:sz w:val="13"/>
                <w:szCs w:val="13"/>
                <w:color w:val="auto"/>
              </w:rPr>
            </w:pPr>
          </w:p>
        </w:tc>
        <w:tc>
          <w:tcPr>
            <w:tcW w:w="1640" w:type="dxa"/>
            <w:vAlign w:val="bottom"/>
            <w:gridSpan w:val="4"/>
          </w:tcPr>
          <w:p>
            <w:pPr>
              <w:ind w:left="60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ind w:left="60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120"/>
              <w:spacing w:after="0"/>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gridSpan w:val="4"/>
          </w:tcPr>
          <w:p>
            <w:pPr>
              <w:ind w:left="60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gridSpan w:val="4"/>
            <w:vMerge w:val="restart"/>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04/25/2024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24"/>
              <w:spacing w:after="0"/>
              <w:rPr>
                <w:sz w:val="20"/>
                <w:szCs w:val="20"/>
                <w:color w:val="auto"/>
              </w:rPr>
            </w:pPr>
            <w:r>
              <w:rPr>
                <w:rFonts w:ascii="Times New Roman" w:cs="Times New Roman" w:eastAsia="Times New Roman" w:hAnsi="Times New Roman"/>
                <w:sz w:val="25"/>
                <w:szCs w:val="25"/>
                <w:color w:val="0000FF"/>
                <w:w w:val="90"/>
                <w:vertAlign w:val="subscript"/>
              </w:rPr>
              <w:t>P</w:t>
            </w:r>
            <w:r>
              <w:rPr>
                <w:rFonts w:ascii="Times New Roman" w:cs="Times New Roman" w:eastAsia="Times New Roman" w:hAnsi="Times New Roman"/>
                <w:sz w:val="11"/>
                <w:szCs w:val="11"/>
                <w:color w:val="008000"/>
                <w:w w:val="90"/>
              </w:rPr>
              <w:t>(1)</w:t>
            </w: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w w:val="94"/>
              </w:rPr>
              <w:t>350,880</w:t>
            </w: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0.867</w:t>
            </w:r>
          </w:p>
        </w:tc>
        <w:tc>
          <w:tcPr>
            <w:tcW w:w="60" w:type="dxa"/>
            <w:vAlign w:val="bottom"/>
          </w:tcPr>
          <w:p>
            <w:pPr>
              <w:spacing w:after="0"/>
              <w:rPr>
                <w:sz w:val="21"/>
                <w:szCs w:val="21"/>
                <w:color w:val="auto"/>
              </w:rPr>
            </w:pP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649,934</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20" w:type="dxa"/>
            <w:vAlign w:val="bottom"/>
            <w:gridSpan w:val="5"/>
            <w:vMerge w:val="continue"/>
          </w:tcPr>
          <w:p>
            <w:pPr>
              <w:spacing w:after="0"/>
              <w:rPr>
                <w:sz w:val="10"/>
                <w:szCs w:val="10"/>
                <w:color w:val="auto"/>
              </w:rPr>
            </w:pPr>
          </w:p>
        </w:tc>
        <w:tc>
          <w:tcPr>
            <w:tcW w:w="1740" w:type="dxa"/>
            <w:vAlign w:val="bottom"/>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180" w:type="dxa"/>
            <w:vAlign w:val="bottom"/>
            <w:gridSpan w:val="15"/>
          </w:tcPr>
          <w:p>
            <w:pPr>
              <w:jc w:val="center"/>
              <w:ind w:right="12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0" w:type="dxa"/>
            <w:vAlign w:val="bottom"/>
            <w:gridSpan w:val="13"/>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5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5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121"/>
              <w:spacing w:after="0"/>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jc w:val="right"/>
              <w:ind w:right="141"/>
              <w:spacing w:after="0"/>
              <w:rPr>
                <w:sz w:val="20"/>
                <w:szCs w:val="20"/>
                <w:color w:val="auto"/>
              </w:rPr>
            </w:pPr>
            <w:r>
              <w:rPr>
                <w:rFonts w:ascii="Arial" w:cs="Arial" w:eastAsia="Arial" w:hAnsi="Arial"/>
                <w:sz w:val="11"/>
                <w:szCs w:val="11"/>
                <w:b w:val="1"/>
                <w:bCs w:val="1"/>
                <w:color w:val="auto"/>
                <w:w w:val="96"/>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1</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vMerge w:val="restart"/>
          </w:tcPr>
          <w:p>
            <w:pPr>
              <w:jc w:val="center"/>
              <w:ind w:right="59"/>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28" w:lineRule="exact"/>
              <w:rPr>
                <w:sz w:val="20"/>
                <w:szCs w:val="20"/>
                <w:color w:val="auto"/>
              </w:rPr>
            </w:pPr>
            <w:r>
              <w:rPr>
                <w:rFonts w:ascii="Times New Roman" w:cs="Times New Roman" w:eastAsia="Times New Roman" w:hAnsi="Times New Roman"/>
                <w:sz w:val="13"/>
                <w:szCs w:val="13"/>
                <w:color w:val="0000FF"/>
              </w:rPr>
              <w:t>Warrants</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restart"/>
          </w:tcPr>
          <w:p>
            <w:pPr>
              <w:spacing w:after="0" w:line="159" w:lineRule="exact"/>
              <w:rPr>
                <w:sz w:val="20"/>
                <w:szCs w:val="20"/>
                <w:color w:val="auto"/>
              </w:rPr>
            </w:pPr>
            <w:r>
              <w:rPr>
                <w:rFonts w:ascii="Times New Roman" w:cs="Times New Roman" w:eastAsia="Times New Roman" w:hAnsi="Times New Roman"/>
                <w:sz w:val="17"/>
                <w:szCs w:val="17"/>
                <w:color w:val="0000FF"/>
              </w:rPr>
              <w:t>175,440</w:t>
            </w: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25.5</w:t>
            </w:r>
          </w:p>
        </w:tc>
        <w:tc>
          <w:tcPr>
            <w:tcW w:w="1080" w:type="dxa"/>
            <w:vAlign w:val="bottom"/>
            <w:vMerge w:val="restart"/>
          </w:tcPr>
          <w:p>
            <w:pPr>
              <w:ind w:left="240"/>
              <w:spacing w:after="0" w:line="140" w:lineRule="exact"/>
              <w:rPr>
                <w:sz w:val="20"/>
                <w:szCs w:val="20"/>
                <w:color w:val="auto"/>
              </w:rPr>
            </w:pPr>
            <w:r>
              <w:rPr>
                <w:rFonts w:ascii="Times New Roman" w:cs="Times New Roman" w:eastAsia="Times New Roman" w:hAnsi="Times New Roman"/>
                <w:sz w:val="13"/>
                <w:szCs w:val="13"/>
                <w:color w:val="0000FF"/>
              </w:rPr>
              <w:t>04/25/2024</w:t>
            </w: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2"/>
            <w:vMerge w:val="restart"/>
          </w:tcPr>
          <w:p>
            <w:pPr>
              <w:jc w:val="center"/>
              <w:ind w:right="420"/>
              <w:spacing w:after="0" w:line="96" w:lineRule="exact"/>
              <w:rPr>
                <w:sz w:val="20"/>
                <w:szCs w:val="20"/>
                <w:color w:val="auto"/>
              </w:rPr>
            </w:pPr>
            <w:r>
              <w:rPr>
                <w:rFonts w:ascii="Times New Roman" w:cs="Times New Roman" w:eastAsia="Times New Roman" w:hAnsi="Times New Roman"/>
                <w:sz w:val="11"/>
                <w:szCs w:val="11"/>
                <w:color w:val="0000FF"/>
                <w:w w:val="97"/>
              </w:rPr>
              <w:t>P</w:t>
            </w:r>
          </w:p>
        </w:tc>
        <w:tc>
          <w:tcPr>
            <w:tcW w:w="700" w:type="dxa"/>
            <w:vAlign w:val="bottom"/>
            <w:gridSpan w:val="2"/>
            <w:vMerge w:val="restart"/>
          </w:tcPr>
          <w:p>
            <w:pPr>
              <w:ind w:left="140"/>
              <w:spacing w:after="0" w:line="140" w:lineRule="exact"/>
              <w:rPr>
                <w:sz w:val="20"/>
                <w:szCs w:val="20"/>
                <w:color w:val="auto"/>
              </w:rPr>
            </w:pPr>
            <w:r>
              <w:rPr>
                <w:rFonts w:ascii="Times New Roman" w:cs="Times New Roman" w:eastAsia="Times New Roman" w:hAnsi="Times New Roman"/>
                <w:sz w:val="13"/>
                <w:szCs w:val="13"/>
                <w:color w:val="0000FF"/>
              </w:rPr>
              <w:t>175,440</w:t>
            </w:r>
          </w:p>
        </w:tc>
        <w:tc>
          <w:tcPr>
            <w:tcW w:w="2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vMerge w:val="restart"/>
          </w:tcPr>
          <w:p>
            <w:pPr>
              <w:ind w:left="20"/>
              <w:spacing w:after="0" w:line="140" w:lineRule="exact"/>
              <w:rPr>
                <w:sz w:val="20"/>
                <w:szCs w:val="20"/>
                <w:color w:val="auto"/>
              </w:rPr>
            </w:pPr>
            <w:r>
              <w:rPr>
                <w:rFonts w:ascii="Times New Roman" w:cs="Times New Roman" w:eastAsia="Times New Roman" w:hAnsi="Times New Roman"/>
                <w:sz w:val="13"/>
                <w:szCs w:val="13"/>
                <w:color w:val="0000FF"/>
              </w:rPr>
              <w:t>09/04/2029</w:t>
            </w:r>
          </w:p>
        </w:tc>
        <w:tc>
          <w:tcPr>
            <w:tcW w:w="60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restart"/>
          </w:tcPr>
          <w:p>
            <w:pPr>
              <w:jc w:val="right"/>
              <w:ind w:right="12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0.867</w:t>
            </w:r>
          </w:p>
        </w:tc>
        <w:tc>
          <w:tcPr>
            <w:tcW w:w="880" w:type="dxa"/>
            <w:vAlign w:val="bottom"/>
            <w:gridSpan w:val="2"/>
            <w:vMerge w:val="restart"/>
          </w:tcPr>
          <w:p>
            <w:pPr>
              <w:ind w:left="240"/>
              <w:spacing w:after="0" w:line="140" w:lineRule="exact"/>
              <w:rPr>
                <w:sz w:val="20"/>
                <w:szCs w:val="20"/>
                <w:color w:val="auto"/>
              </w:rPr>
            </w:pPr>
            <w:r>
              <w:rPr>
                <w:rFonts w:ascii="Times New Roman" w:cs="Times New Roman" w:eastAsia="Times New Roman" w:hAnsi="Times New Roman"/>
                <w:sz w:val="13"/>
                <w:szCs w:val="13"/>
                <w:color w:val="0000FF"/>
              </w:rPr>
              <w:t>230,680</w:t>
            </w:r>
          </w:p>
        </w:tc>
        <w:tc>
          <w:tcPr>
            <w:tcW w:w="600" w:type="dxa"/>
            <w:vAlign w:val="bottom"/>
            <w:vMerge w:val="restart"/>
          </w:tcPr>
          <w:p>
            <w:pPr>
              <w:ind w:left="360"/>
              <w:spacing w:after="0" w:line="140" w:lineRule="exact"/>
              <w:rPr>
                <w:sz w:val="20"/>
                <w:szCs w:val="20"/>
                <w:color w:val="auto"/>
              </w:rPr>
            </w:pPr>
            <w:r>
              <w:rPr>
                <w:rFonts w:ascii="Times New Roman" w:cs="Times New Roman" w:eastAsia="Times New Roman" w:hAnsi="Times New Roman"/>
                <w:sz w:val="13"/>
                <w:szCs w:val="13"/>
                <w:color w:val="0000FF"/>
              </w:rPr>
              <w:t>I</w:t>
            </w:r>
          </w:p>
        </w:tc>
        <w:tc>
          <w:tcPr>
            <w:tcW w:w="140" w:type="dxa"/>
            <w:vAlign w:val="bottom"/>
          </w:tcPr>
          <w:p>
            <w:pPr>
              <w:spacing w:after="0"/>
              <w:rPr>
                <w:sz w:val="5"/>
                <w:szCs w:val="5"/>
                <w:color w:val="auto"/>
              </w:rPr>
            </w:pP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gridSpan w:val="3"/>
          </w:tcPr>
          <w:p>
            <w:pPr>
              <w:ind w:left="60"/>
              <w:spacing w:after="0" w:line="32" w:lineRule="exact"/>
              <w:rPr>
                <w:sz w:val="20"/>
                <w:szCs w:val="20"/>
                <w:color w:val="auto"/>
              </w:rPr>
            </w:pPr>
            <w:r>
              <w:rPr>
                <w:rFonts w:ascii="Times New Roman" w:cs="Times New Roman" w:eastAsia="Times New Roman" w:hAnsi="Times New Roman"/>
                <w:sz w:val="3"/>
                <w:szCs w:val="3"/>
                <w:color w:val="0000FF"/>
              </w:rPr>
              <w:t>(right to</w:t>
            </w:r>
          </w:p>
        </w:tc>
        <w:tc>
          <w:tcPr>
            <w:tcW w:w="76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right w:val="single" w:sz="8" w:color="2C2C2C"/>
            </w:tcBorders>
            <w:gridSpan w:val="3"/>
          </w:tcPr>
          <w:p>
            <w:pPr>
              <w:ind w:left="60"/>
              <w:spacing w:after="0" w:line="32" w:lineRule="exact"/>
              <w:rPr>
                <w:sz w:val="20"/>
                <w:szCs w:val="20"/>
                <w:color w:val="auto"/>
              </w:rPr>
            </w:pPr>
            <w:r>
              <w:rPr>
                <w:rFonts w:ascii="Times New Roman" w:cs="Times New Roman" w:eastAsia="Times New Roman" w:hAnsi="Times New Roman"/>
                <w:sz w:val="2"/>
                <w:szCs w:val="2"/>
                <w:color w:val="0000FF"/>
              </w:rPr>
              <w:t>footnote</w:t>
            </w:r>
            <w:r>
              <w:rPr>
                <w:rFonts w:ascii="Times New Roman" w:cs="Times New Roman" w:eastAsia="Times New Roman" w:hAnsi="Times New Roman"/>
                <w:sz w:val="3"/>
                <w:szCs w:val="3"/>
                <w:color w:val="008000"/>
                <w:vertAlign w:val="superscript"/>
              </w:rPr>
              <w:t>(3)</w:t>
            </w: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ind w:left="180"/>
              <w:spacing w:after="0" w:line="45" w:lineRule="exact"/>
              <w:rPr>
                <w:sz w:val="20"/>
                <w:szCs w:val="20"/>
                <w:color w:val="auto"/>
              </w:rPr>
            </w:pPr>
            <w:r>
              <w:rPr>
                <w:rFonts w:ascii="Times New Roman" w:cs="Times New Roman" w:eastAsia="Times New Roman" w:hAnsi="Times New Roman"/>
                <w:sz w:val="5"/>
                <w:szCs w:val="5"/>
                <w:color w:val="008000"/>
              </w:rPr>
              <w:t>(1)</w:t>
            </w:r>
          </w:p>
        </w:tc>
        <w:tc>
          <w:tcPr>
            <w:tcW w:w="4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jc w:val="center"/>
              <w:ind w:right="59"/>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2</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vMerge w:val="restart"/>
          </w:tcPr>
          <w:p>
            <w:pPr>
              <w:jc w:val="center"/>
              <w:ind w:right="59"/>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28" w:lineRule="exact"/>
              <w:rPr>
                <w:sz w:val="20"/>
                <w:szCs w:val="20"/>
                <w:color w:val="auto"/>
              </w:rPr>
            </w:pPr>
            <w:r>
              <w:rPr>
                <w:rFonts w:ascii="Times New Roman" w:cs="Times New Roman" w:eastAsia="Times New Roman" w:hAnsi="Times New Roman"/>
                <w:sz w:val="13"/>
                <w:szCs w:val="13"/>
                <w:color w:val="0000FF"/>
              </w:rPr>
              <w:t>Warrants</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restart"/>
          </w:tcPr>
          <w:p>
            <w:pPr>
              <w:spacing w:after="0" w:line="159" w:lineRule="exact"/>
              <w:rPr>
                <w:sz w:val="20"/>
                <w:szCs w:val="20"/>
                <w:color w:val="auto"/>
              </w:rPr>
            </w:pPr>
            <w:r>
              <w:rPr>
                <w:rFonts w:ascii="Times New Roman" w:cs="Times New Roman" w:eastAsia="Times New Roman" w:hAnsi="Times New Roman"/>
                <w:sz w:val="17"/>
                <w:szCs w:val="17"/>
                <w:color w:val="0000FF"/>
              </w:rPr>
              <w:t>175,440</w:t>
            </w: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25.5</w:t>
            </w:r>
          </w:p>
        </w:tc>
        <w:tc>
          <w:tcPr>
            <w:tcW w:w="1080" w:type="dxa"/>
            <w:vAlign w:val="bottom"/>
            <w:vMerge w:val="restart"/>
          </w:tcPr>
          <w:p>
            <w:pPr>
              <w:ind w:left="240"/>
              <w:spacing w:after="0" w:line="140" w:lineRule="exact"/>
              <w:rPr>
                <w:sz w:val="20"/>
                <w:szCs w:val="20"/>
                <w:color w:val="auto"/>
              </w:rPr>
            </w:pPr>
            <w:r>
              <w:rPr>
                <w:rFonts w:ascii="Times New Roman" w:cs="Times New Roman" w:eastAsia="Times New Roman" w:hAnsi="Times New Roman"/>
                <w:sz w:val="13"/>
                <w:szCs w:val="13"/>
                <w:color w:val="0000FF"/>
              </w:rPr>
              <w:t>04/25/2024</w:t>
            </w: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gridSpan w:val="2"/>
            <w:vMerge w:val="restart"/>
          </w:tcPr>
          <w:p>
            <w:pPr>
              <w:jc w:val="center"/>
              <w:ind w:right="420"/>
              <w:spacing w:after="0" w:line="96" w:lineRule="exact"/>
              <w:rPr>
                <w:sz w:val="20"/>
                <w:szCs w:val="20"/>
                <w:color w:val="auto"/>
              </w:rPr>
            </w:pPr>
            <w:r>
              <w:rPr>
                <w:rFonts w:ascii="Times New Roman" w:cs="Times New Roman" w:eastAsia="Times New Roman" w:hAnsi="Times New Roman"/>
                <w:sz w:val="11"/>
                <w:szCs w:val="11"/>
                <w:color w:val="0000FF"/>
                <w:w w:val="97"/>
              </w:rPr>
              <w:t>P</w:t>
            </w:r>
          </w:p>
        </w:tc>
        <w:tc>
          <w:tcPr>
            <w:tcW w:w="700" w:type="dxa"/>
            <w:vAlign w:val="bottom"/>
            <w:gridSpan w:val="2"/>
            <w:vMerge w:val="restart"/>
          </w:tcPr>
          <w:p>
            <w:pPr>
              <w:ind w:left="140"/>
              <w:spacing w:after="0" w:line="140" w:lineRule="exact"/>
              <w:rPr>
                <w:sz w:val="20"/>
                <w:szCs w:val="20"/>
                <w:color w:val="auto"/>
              </w:rPr>
            </w:pPr>
            <w:r>
              <w:rPr>
                <w:rFonts w:ascii="Times New Roman" w:cs="Times New Roman" w:eastAsia="Times New Roman" w:hAnsi="Times New Roman"/>
                <w:sz w:val="13"/>
                <w:szCs w:val="13"/>
                <w:color w:val="0000FF"/>
              </w:rPr>
              <w:t>175,440</w:t>
            </w:r>
          </w:p>
        </w:tc>
        <w:tc>
          <w:tcPr>
            <w:tcW w:w="2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vMerge w:val="restart"/>
          </w:tcPr>
          <w:p>
            <w:pPr>
              <w:ind w:left="20"/>
              <w:spacing w:after="0" w:line="140" w:lineRule="exact"/>
              <w:rPr>
                <w:sz w:val="20"/>
                <w:szCs w:val="20"/>
                <w:color w:val="auto"/>
              </w:rPr>
            </w:pPr>
            <w:r>
              <w:rPr>
                <w:rFonts w:ascii="Times New Roman" w:cs="Times New Roman" w:eastAsia="Times New Roman" w:hAnsi="Times New Roman"/>
                <w:sz w:val="13"/>
                <w:szCs w:val="13"/>
                <w:color w:val="0000FF"/>
              </w:rPr>
              <w:t>09/04/2029</w:t>
            </w:r>
          </w:p>
        </w:tc>
        <w:tc>
          <w:tcPr>
            <w:tcW w:w="60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restart"/>
          </w:tcPr>
          <w:p>
            <w:pPr>
              <w:jc w:val="right"/>
              <w:ind w:right="12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0.867</w:t>
            </w:r>
          </w:p>
        </w:tc>
        <w:tc>
          <w:tcPr>
            <w:tcW w:w="880" w:type="dxa"/>
            <w:vAlign w:val="bottom"/>
            <w:gridSpan w:val="2"/>
            <w:vMerge w:val="restart"/>
          </w:tcPr>
          <w:p>
            <w:pPr>
              <w:ind w:left="240"/>
              <w:spacing w:after="0" w:line="140" w:lineRule="exact"/>
              <w:rPr>
                <w:sz w:val="20"/>
                <w:szCs w:val="20"/>
                <w:color w:val="auto"/>
              </w:rPr>
            </w:pPr>
            <w:r>
              <w:rPr>
                <w:rFonts w:ascii="Times New Roman" w:cs="Times New Roman" w:eastAsia="Times New Roman" w:hAnsi="Times New Roman"/>
                <w:sz w:val="13"/>
                <w:szCs w:val="13"/>
                <w:color w:val="0000FF"/>
              </w:rPr>
              <w:t>230,680</w:t>
            </w:r>
          </w:p>
        </w:tc>
        <w:tc>
          <w:tcPr>
            <w:tcW w:w="600" w:type="dxa"/>
            <w:vAlign w:val="bottom"/>
            <w:vMerge w:val="restart"/>
          </w:tcPr>
          <w:p>
            <w:pPr>
              <w:ind w:left="360"/>
              <w:spacing w:after="0" w:line="140" w:lineRule="exact"/>
              <w:rPr>
                <w:sz w:val="20"/>
                <w:szCs w:val="20"/>
                <w:color w:val="auto"/>
              </w:rPr>
            </w:pPr>
            <w:r>
              <w:rPr>
                <w:rFonts w:ascii="Times New Roman" w:cs="Times New Roman" w:eastAsia="Times New Roman" w:hAnsi="Times New Roman"/>
                <w:sz w:val="13"/>
                <w:szCs w:val="13"/>
                <w:color w:val="0000FF"/>
              </w:rPr>
              <w:t>I</w:t>
            </w:r>
          </w:p>
        </w:tc>
        <w:tc>
          <w:tcPr>
            <w:tcW w:w="140" w:type="dxa"/>
            <w:vAlign w:val="bottom"/>
          </w:tcPr>
          <w:p>
            <w:pPr>
              <w:spacing w:after="0"/>
              <w:rPr>
                <w:sz w:val="5"/>
                <w:szCs w:val="5"/>
                <w:color w:val="auto"/>
              </w:rPr>
            </w:pP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gridSpan w:val="3"/>
          </w:tcPr>
          <w:p>
            <w:pPr>
              <w:ind w:left="60"/>
              <w:spacing w:after="0" w:line="32" w:lineRule="exact"/>
              <w:rPr>
                <w:sz w:val="20"/>
                <w:szCs w:val="20"/>
                <w:color w:val="auto"/>
              </w:rPr>
            </w:pPr>
            <w:r>
              <w:rPr>
                <w:rFonts w:ascii="Times New Roman" w:cs="Times New Roman" w:eastAsia="Times New Roman" w:hAnsi="Times New Roman"/>
                <w:sz w:val="3"/>
                <w:szCs w:val="3"/>
                <w:color w:val="0000FF"/>
              </w:rPr>
              <w:t>(right to</w:t>
            </w:r>
          </w:p>
        </w:tc>
        <w:tc>
          <w:tcPr>
            <w:tcW w:w="76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right w:val="single" w:sz="8" w:color="2C2C2C"/>
            </w:tcBorders>
            <w:gridSpan w:val="3"/>
          </w:tcPr>
          <w:p>
            <w:pPr>
              <w:ind w:left="60"/>
              <w:spacing w:after="0" w:line="32" w:lineRule="exact"/>
              <w:rPr>
                <w:sz w:val="20"/>
                <w:szCs w:val="20"/>
                <w:color w:val="auto"/>
              </w:rPr>
            </w:pPr>
            <w:r>
              <w:rPr>
                <w:rFonts w:ascii="Times New Roman" w:cs="Times New Roman" w:eastAsia="Times New Roman" w:hAnsi="Times New Roman"/>
                <w:sz w:val="2"/>
                <w:szCs w:val="2"/>
                <w:color w:val="0000FF"/>
              </w:rPr>
              <w:t>footnote</w:t>
            </w:r>
            <w:r>
              <w:rPr>
                <w:rFonts w:ascii="Times New Roman" w:cs="Times New Roman" w:eastAsia="Times New Roman" w:hAnsi="Times New Roman"/>
                <w:sz w:val="3"/>
                <w:szCs w:val="3"/>
                <w:color w:val="008000"/>
                <w:vertAlign w:val="superscript"/>
              </w:rPr>
              <w:t>(3)</w:t>
            </w: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ind w:left="180"/>
              <w:spacing w:after="0" w:line="45" w:lineRule="exact"/>
              <w:rPr>
                <w:sz w:val="20"/>
                <w:szCs w:val="20"/>
                <w:color w:val="auto"/>
              </w:rPr>
            </w:pPr>
            <w:r>
              <w:rPr>
                <w:rFonts w:ascii="Times New Roman" w:cs="Times New Roman" w:eastAsia="Times New Roman" w:hAnsi="Times New Roman"/>
                <w:sz w:val="5"/>
                <w:szCs w:val="5"/>
                <w:color w:val="008000"/>
              </w:rPr>
              <w:t>(1)</w:t>
            </w:r>
          </w:p>
        </w:tc>
        <w:tc>
          <w:tcPr>
            <w:tcW w:w="4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jc w:val="center"/>
              <w:ind w:right="59"/>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5"/>
          </w:tcPr>
          <w:p>
            <w:pPr>
              <w:ind w:left="60"/>
              <w:spacing w:after="0" w:line="227"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7"/>
          </w:tcPr>
          <w:p>
            <w:pPr>
              <w:ind w:left="20"/>
              <w:spacing w:after="0" w:line="216"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Intercontinental Exchange, Inc.</w:t>
              </w:r>
            </w:hyperlink>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140" w:type="dxa"/>
            <w:vAlign w:val="bottom"/>
          </w:tcPr>
          <w:p>
            <w:pPr>
              <w:spacing w:after="0"/>
              <w:rPr>
                <w:sz w:val="24"/>
                <w:szCs w:val="24"/>
                <w:color w:val="auto"/>
              </w:rPr>
            </w:pPr>
          </w:p>
        </w:tc>
        <w:tc>
          <w:tcPr>
            <w:tcW w:w="92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5660 NEW NORTHSIDE DRIVE</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ATLANTA</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GA</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30328</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24"/>
                <w:szCs w:val="24"/>
                <w:color w:val="auto"/>
              </w:rPr>
            </w:pPr>
          </w:p>
        </w:tc>
        <w:tc>
          <w:tcPr>
            <w:tcW w:w="92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20" w:type="dxa"/>
            <w:vAlign w:val="bottom"/>
            <w:tcBorders>
              <w:bottom w:val="single" w:sz="8" w:color="2C2C2C"/>
            </w:tcBorders>
            <w:gridSpan w:val="3"/>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7"/>
          </w:tcPr>
          <w:p>
            <w:pPr>
              <w:ind w:left="20"/>
              <w:spacing w:after="0" w:line="21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Intercontinental Exchange Holdings, Inc.</w:t>
              </w:r>
            </w:hyperlink>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140" w:type="dxa"/>
            <w:vAlign w:val="bottom"/>
          </w:tcPr>
          <w:p>
            <w:pPr>
              <w:spacing w:after="0"/>
              <w:rPr>
                <w:sz w:val="24"/>
                <w:szCs w:val="24"/>
                <w:color w:val="auto"/>
              </w:rPr>
            </w:pPr>
          </w:p>
        </w:tc>
        <w:tc>
          <w:tcPr>
            <w:tcW w:w="92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5660 NEW NORTHSIDE DRIVE</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ATLANTA</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GA</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30328</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24"/>
                <w:szCs w:val="24"/>
                <w:color w:val="auto"/>
              </w:rPr>
            </w:pPr>
          </w:p>
        </w:tc>
        <w:tc>
          <w:tcPr>
            <w:tcW w:w="92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-5368290</wp:posOffset>
            </wp:positionV>
            <wp:extent cx="28575" cy="2270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270760"/>
                    </a:xfrm>
                    <a:prstGeom prst="rect">
                      <a:avLst/>
                    </a:prstGeom>
                    <a:noFill/>
                  </pic:spPr>
                </pic:pic>
              </a:graphicData>
            </a:graphic>
          </wp:anchor>
        </w:drawing>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40"/>
        <w:spacing w:after="0" w:line="234"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Acquired in a registered direct offering pursuant to the terms of the Securities Purchase Agreement (the "Purchase Agreement"), dated as of February 29, 2024, between the Issuer and Intercontinental Exchange Holdings, Inc. ("ICEH"). Under the Purchase Agreement, the purchase by ICEH of 350,880 shares of Class A Common Stock, Class 1 Warrants to purchase up to 175,440 shares of Class A Common Stock, and Class 2 Warrants to purchase up to 175,440 shares of Class A Common Stock, closed on April 25, 2024. All amounts of securities reflected in this Form 4 reflect the 1-for-25 reverse stock split effected by the Issuer in April 2024 (the "April 2024 Reverse Stock Split").</w:t>
      </w:r>
    </w:p>
    <w:p>
      <w:pPr>
        <w:spacing w:after="0" w:line="27" w:lineRule="exact"/>
        <w:rPr>
          <w:rFonts w:ascii="Times New Roman" w:cs="Times New Roman" w:eastAsia="Times New Roman" w:hAnsi="Times New Roman"/>
          <w:sz w:val="13"/>
          <w:szCs w:val="13"/>
          <w:color w:val="008000"/>
        </w:rPr>
      </w:pPr>
    </w:p>
    <w:p>
      <w:pPr>
        <w:ind w:left="40" w:right="220"/>
        <w:spacing w:after="0" w:line="234"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Class 1 Warrants and Class 2 Warrants will generally be exercisable beginning September 4, 2024. The Class 1 Warrants and Class 2 Warrants have identical terms, except that the Class 2 Warrants also contain an alternative cashless exercise provision that will allow the holder of a Class 2 Warrant to exercise on a cashless basis and receive a number of shares of Class A Common Stock equal to 50% of the shares of Class A Common Stock then underlying the Class 2 Warrant if the closing trading price of shares of Class A Common Stock is lower than the exercise price of the Class 2 Warrants for three consecutive trading days. The exercise price of the previously reported Class 1 Warrants and Class 2 Warrants was increased to $25.50 per share as a result of the April 2024 Reverse Stock Split.</w:t>
      </w:r>
    </w:p>
    <w:p>
      <w:pPr>
        <w:sectPr>
          <w:pgSz w:w="11900" w:h="16885"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3. ICEH is the direct holder of the securities reflected in this Form 4. ICEH is a wholly owned subsidiary of Intercontinental Exchange, Inc.</w:t>
      </w:r>
    </w:p>
    <w:p>
      <w:pPr>
        <w:spacing w:after="0" w:line="6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Intercontinental Exchange,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-10160</wp:posOffset>
            </wp:positionV>
            <wp:extent cx="1343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By: /s/ Andrew Surdykowski,</w:t>
      </w:r>
      <w:r>
        <w:rPr>
          <w:sz w:val="20"/>
          <w:szCs w:val="20"/>
          <w:color w:val="auto"/>
        </w:rPr>
        <w:tab/>
      </w:r>
      <w:r>
        <w:rPr>
          <w:rFonts w:ascii="Times New Roman" w:cs="Times New Roman" w:eastAsia="Times New Roman" w:hAnsi="Times New Roman"/>
          <w:sz w:val="16"/>
          <w:szCs w:val="16"/>
          <w:color w:val="0000FF"/>
        </w:rPr>
        <w:t>04/29/2024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-17780</wp:posOffset>
            </wp:positionV>
            <wp:extent cx="187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-17780</wp:posOffset>
            </wp:positionV>
            <wp:extent cx="702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Intercontinental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-10160</wp:posOffset>
            </wp:positionV>
            <wp:extent cx="11049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Holdings, Inc., By: /s/ Andrew</w:t>
      </w:r>
      <w:r>
        <w:rPr>
          <w:sz w:val="20"/>
          <w:szCs w:val="20"/>
          <w:color w:val="auto"/>
        </w:rPr>
        <w:tab/>
      </w:r>
      <w:r>
        <w:rPr>
          <w:rFonts w:ascii="Times New Roman" w:cs="Times New Roman" w:eastAsia="Times New Roman" w:hAnsi="Times New Roman"/>
          <w:sz w:val="16"/>
          <w:szCs w:val="16"/>
          <w:color w:val="0000FF"/>
        </w:rPr>
        <w:t>04/29/2024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-17780</wp:posOffset>
            </wp:positionV>
            <wp:extent cx="18757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Surdykowski,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-17780</wp:posOffset>
            </wp:positionV>
            <wp:extent cx="13093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27"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1"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12" Type="http://schemas.openxmlformats.org/officeDocument/2006/relationships/hyperlink" Target="http://www.sec.gov/cgi-bin/browse-edgar?action=getcompany&amp;CIK=0001571949" TargetMode="External"/><Relationship Id="rId13" Type="http://schemas.openxmlformats.org/officeDocument/2006/relationships/hyperlink" Target="http://www.sec.gov/cgi-bin/browse-edgar?action=getcompany&amp;CIK=0001820302" TargetMode="External"/><Relationship Id="rId14" Type="http://schemas.openxmlformats.org/officeDocument/2006/relationships/hyperlink" Target="http://www.sec.gov/cgi-bin/browse-edgar?action=getcompany&amp;CIK=00011747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2024-04-29T20:17:37Z</dcterms:created>
  <dcterms:modified xsi:type="dcterms:W3CDTF">2024-04-29T20:17:37Z</dcterms:modified>
</cp:coreProperties>
</file>