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80" w:type="dxa"/>
            <w:vAlign w:val="bottom"/>
          </w:tcPr>
          <w:p>
            <w:pPr>
              <w:jc w:val="center"/>
              <w:ind w:right="1958"/>
              <w:spacing w:after="0"/>
              <w:rPr>
                <w:sz w:val="20"/>
                <w:szCs w:val="20"/>
                <w:color w:val="auto"/>
              </w:rPr>
            </w:pPr>
            <w:r>
              <w:rPr>
                <w:rFonts w:ascii="Arial" w:cs="Arial" w:eastAsia="Arial" w:hAnsi="Arial"/>
                <w:sz w:val="18"/>
                <w:szCs w:val="18"/>
                <w:b w:val="1"/>
                <w:bCs w:val="1"/>
                <w:color w:val="auto"/>
                <w:w w:val="90"/>
              </w:rPr>
              <w:t>Cayman Islands</w:t>
            </w:r>
          </w:p>
        </w:tc>
        <w:tc>
          <w:tcPr>
            <w:tcW w:w="2300" w:type="dxa"/>
            <w:vAlign w:val="bottom"/>
          </w:tcPr>
          <w:p>
            <w:pPr>
              <w:ind w:left="500"/>
              <w:spacing w:after="0"/>
              <w:rPr>
                <w:sz w:val="20"/>
                <w:szCs w:val="20"/>
                <w:color w:val="auto"/>
              </w:rPr>
            </w:pPr>
            <w:r>
              <w:rPr>
                <w:rFonts w:ascii="Arial" w:cs="Arial" w:eastAsia="Arial" w:hAnsi="Arial"/>
                <w:sz w:val="18"/>
                <w:szCs w:val="18"/>
                <w:b w:val="1"/>
                <w:bCs w:val="1"/>
                <w:color w:val="auto"/>
              </w:rPr>
              <w:t>001-39544</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98-1550750</w:t>
            </w:r>
          </w:p>
        </w:tc>
      </w:tr>
      <w:tr>
        <w:trPr>
          <w:trHeight w:val="148"/>
        </w:trPr>
        <w:tc>
          <w:tcPr>
            <w:tcW w:w="3680" w:type="dxa"/>
            <w:vAlign w:val="bottom"/>
          </w:tcPr>
          <w:p>
            <w:pPr>
              <w:jc w:val="center"/>
              <w:ind w:right="195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80" w:type="dxa"/>
            <w:vAlign w:val="bottom"/>
          </w:tcPr>
          <w:p>
            <w:pPr>
              <w:jc w:val="center"/>
              <w:ind w:right="1938"/>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4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Victory Park Capital Advisors, LLC</w:t>
            </w: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3680" w:type="dxa"/>
            <w:vAlign w:val="bottom"/>
          </w:tcPr>
          <w:p>
            <w:pPr>
              <w:jc w:val="center"/>
              <w:ind w:right="13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23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5"/>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Chicago, IL</w:t>
            </w:r>
          </w:p>
        </w:tc>
        <w:tc>
          <w:tcPr>
            <w:tcW w:w="23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60606</w:t>
            </w:r>
          </w:p>
        </w:tc>
      </w:tr>
      <w:tr>
        <w:trPr>
          <w:trHeight w:val="186"/>
        </w:trPr>
        <w:tc>
          <w:tcPr>
            <w:tcW w:w="368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 to purchase one Class A ordinary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$0.0001 par value per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062"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previously disclosed, on January 11, 2021, VPC Impact Acquisition Holdings, a Cayman Islands exempted company (“</w:t>
      </w:r>
      <w:r>
        <w:rPr>
          <w:rFonts w:ascii="Arial" w:cs="Arial" w:eastAsia="Arial" w:hAnsi="Arial"/>
          <w:sz w:val="18"/>
          <w:szCs w:val="18"/>
          <w:u w:val="single" w:color="auto"/>
          <w:color w:val="auto"/>
        </w:rPr>
        <w:t>VIH</w:t>
      </w:r>
      <w:r>
        <w:rPr>
          <w:rFonts w:ascii="Arial" w:cs="Arial" w:eastAsia="Arial" w:hAnsi="Arial"/>
          <w:sz w:val="18"/>
          <w:szCs w:val="18"/>
          <w:color w:val="auto"/>
        </w:rPr>
        <w:t>”),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Pylon Merger Company LLC, a Delaware limited liability company and wholly-owned subsidiary of VIH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w:t>
      </w:r>
      <w:r>
        <w:rPr>
          <w:rFonts w:ascii="Arial" w:cs="Arial" w:eastAsia="Arial" w:hAnsi="Arial"/>
          <w:sz w:val="18"/>
          <w:szCs w:val="18"/>
          <w:color w:val="auto"/>
        </w:rPr>
        <w:t>”), in connection with its business combination (the “</w:t>
      </w:r>
      <w:r>
        <w:rPr>
          <w:rFonts w:ascii="Arial" w:cs="Arial" w:eastAsia="Arial" w:hAnsi="Arial"/>
          <w:sz w:val="18"/>
          <w:szCs w:val="18"/>
          <w:u w:val="single" w:color="auto"/>
          <w:color w:val="auto"/>
        </w:rPr>
        <w:t>Proposed Transaction</w:t>
      </w:r>
      <w:r>
        <w:rPr>
          <w:rFonts w:ascii="Arial" w:cs="Arial" w:eastAsia="Arial" w:hAnsi="Arial"/>
          <w:sz w:val="18"/>
          <w:szCs w:val="18"/>
          <w:color w:val="auto"/>
        </w:rPr>
        <w:t>”) with Bakkt.</w:t>
      </w:r>
    </w:p>
    <w:p>
      <w:pPr>
        <w:spacing w:after="0" w:line="18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On September 29, 2021, VIH, Merger Sub and Bakkt entered into an amendment (the “</w:t>
      </w:r>
      <w:r>
        <w:rPr>
          <w:rFonts w:ascii="Arial" w:cs="Arial" w:eastAsia="Arial" w:hAnsi="Arial"/>
          <w:sz w:val="18"/>
          <w:szCs w:val="18"/>
          <w:u w:val="single" w:color="auto"/>
          <w:color w:val="auto"/>
        </w:rPr>
        <w:t>Amendment</w:t>
      </w:r>
      <w:r>
        <w:rPr>
          <w:rFonts w:ascii="Arial" w:cs="Arial" w:eastAsia="Arial" w:hAnsi="Arial"/>
          <w:sz w:val="18"/>
          <w:szCs w:val="18"/>
          <w:color w:val="auto"/>
        </w:rPr>
        <w:t>”) to the Merger Agreement to extend the “Termination Date” under the Merger Agreement from September 30, 2021, to October 20, 2021.</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foregoing description of the Amendment is not complete and is subject to and qualified in its entirety by reference to the Amendment, a copy of which is filed with this Current Report on Form 8-K as Exhibit 2.1, and the terms of which are incorporated by reference herein.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Proposed Transaction, VIH filed a registration statement on Form S-4 that included a proxy statement/prospectus of VIH. On September 17, 2021, the registration statement was declared effective by the U.S.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This document is not a substitute for the definitive proxy statement/prospectus, that was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the definitive proxy statement/prospectus and other documents filed in connection with the Proposed Transaction, as these materials contain important information about Bakkt, VIH and the Proposed Transaction.</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IMPORTANT INFORMATION ABOUT BAKKT, VIH, THE PROPOSED TRANSACTION AND RELATED MATTERS.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definitive proxy statement/prospectus and other relevant materials for the Proposed Transaction have been mailed to the shareholders of record of VIH as of September 14, 2021 for voting on the Proposed Transaction. VIH shareholders may also obtain copies of the definitive proxy statement/prospectus and other documents filed with the SEC, without charge at the SEC’s website at www.sec.gov. These documents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Current Report on Form 8-K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Participants in the Solicitation.</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This Current Report on Form 8-K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relating to VIH’s initial public offering, including amendments thereto, and other reports which are filed with the SEC. Additional information regarding the participants is also included in the registration statement on Form S-4 and the definitive proxy statement/prospectus.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Current Report on Form 8-K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Current Report on Form 8-K,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the definitive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 Actual results, performance or achievements may differ materially, and potentially adversely, from any projections and forward-looking statements and the assumptions on which those forward-looking statements are based. There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97" w:right="479" w:bottom="1440" w:gutter="0" w:footer="0" w:header="0"/>
        </w:sectPr>
      </w:pPr>
    </w:p>
    <w:bookmarkStart w:id="3" w:name="page4"/>
    <w:bookmarkEnd w:id="3"/>
    <w:p>
      <w:pPr>
        <w:ind w:left="4"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4" w:hanging="404"/>
        <w:spacing w:after="0"/>
        <w:tabs>
          <w:tab w:leader="none" w:pos="40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exhibits listed in the following Exhibit Index are filed as part of this Current Report.</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596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3"/>
                <w:szCs w:val="23"/>
                <w:color w:val="auto"/>
              </w:rPr>
            </w:pPr>
          </w:p>
        </w:tc>
        <w:tc>
          <w:tcPr>
            <w:tcW w:w="946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Amendment to Agreement and Plan of Merger, dated September 29, 2021, by and among VPC Impact Acquisition Holdings, Pylon</w:t>
              </w:r>
            </w:hyperlink>
          </w:p>
        </w:tc>
        <w:tc>
          <w:tcPr>
            <w:tcW w:w="100" w:type="dxa"/>
            <w:vAlign w:val="bottom"/>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Merger Company LLC and Bakkt Holdings, LLC.</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64" w:right="3740" w:hanging="5464"/>
        <w:spacing w:after="0" w:line="449" w:lineRule="auto"/>
        <w:tabs>
          <w:tab w:leader="none" w:pos="1459"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ectPr>
          <w:pgSz w:w="11900" w:h="16838" w:orient="portrait"/>
          <w:cols w:equalWidth="0" w:num="1">
            <w:col w:w="11024"/>
          </w:cols>
          <w:pgMar w:left="436" w:top="301" w:right="43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VPC Impact Acquisition Holdings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John Martin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2021</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80"/>
          </w:cols>
          <w:pgMar w:left="440" w:top="297" w:right="11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AMENDMENT TO AGREEMENT AND PLAN OF MERGER</w:t>
      </w:r>
    </w:p>
    <w:p>
      <w:pPr>
        <w:spacing w:after="0" w:line="229" w:lineRule="exact"/>
        <w:rPr>
          <w:sz w:val="20"/>
          <w:szCs w:val="20"/>
          <w:color w:val="auto"/>
        </w:rPr>
      </w:pPr>
    </w:p>
    <w:p>
      <w:pPr>
        <w:ind w:left="4" w:right="200" w:firstLine="440"/>
        <w:spacing w:after="0" w:line="255" w:lineRule="auto"/>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that certain Agreement and Plan of Merger, dated as of January 11, 2021, as amended March 30, 2021, by and among VPC Impact Acquisition Holdings, a Cayman Islands exempted company (“</w:t>
      </w:r>
      <w:r>
        <w:rPr>
          <w:rFonts w:ascii="Arial" w:cs="Arial" w:eastAsia="Arial" w:hAnsi="Arial"/>
          <w:sz w:val="18"/>
          <w:szCs w:val="18"/>
          <w:u w:val="single" w:color="auto"/>
          <w:color w:val="auto"/>
        </w:rPr>
        <w:t>VIH</w:t>
      </w:r>
      <w:r>
        <w:rPr>
          <w:rFonts w:ascii="Arial" w:cs="Arial" w:eastAsia="Arial" w:hAnsi="Arial"/>
          <w:sz w:val="18"/>
          <w:szCs w:val="18"/>
          <w:color w:val="auto"/>
        </w:rPr>
        <w:t>”), Pylon Merger Company LLC, a Delaware limited liability company and wholly-owned subsidiary of VIH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w:t>
      </w:r>
      <w:r>
        <w:rPr>
          <w:rFonts w:ascii="Arial" w:cs="Arial" w:eastAsia="Arial" w:hAnsi="Arial"/>
          <w:sz w:val="18"/>
          <w:szCs w:val="18"/>
          <w:color w:val="auto"/>
        </w:rPr>
        <w:t xml:space="preserve"> </w:t>
      </w:r>
      <w:r>
        <w:rPr>
          <w:rFonts w:ascii="Arial" w:cs="Arial" w:eastAsia="Arial" w:hAnsi="Arial"/>
          <w:sz w:val="18"/>
          <w:szCs w:val="18"/>
          <w:u w:val="single" w:color="auto"/>
          <w:color w:val="auto"/>
        </w:rPr>
        <w:t>Opco</w:t>
      </w:r>
      <w:r>
        <w:rPr>
          <w:rFonts w:ascii="Arial" w:cs="Arial" w:eastAsia="Arial" w:hAnsi="Arial"/>
          <w:sz w:val="18"/>
          <w:szCs w:val="18"/>
          <w:color w:val="auto"/>
        </w:rPr>
        <w:t>”) (as the same may be further amended, modified, supplemented or waived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is entered into on September 29, 2021, by and among VIH, Merger Sub, and Bakkt Opco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and not otherwise defined herein have the meanings set forth in the Merger Agreement.</w:t>
      </w:r>
    </w:p>
    <w:p>
      <w:pPr>
        <w:spacing w:after="0" w:line="192"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WHEREAS, pursuant to Section 11.10 of the Merger Agreement, the Merger Agreement may be amended by an instrument in writing and signed by the Parties; and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the Parties wish to amend the Merger Agreement on the terms set forth herein.</w:t>
      </w:r>
    </w:p>
    <w:p>
      <w:pPr>
        <w:spacing w:after="0" w:line="225"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auto"/>
        </w:rPr>
        <w:t>NOW, THEREFORE, in consideration of the foregoing recitals, which shall constitute a part of this Amendment, and the mutual promises contained in this Amendment, and intending to be legally bound thereby, the Parties agree as follows:</w:t>
      </w:r>
    </w:p>
    <w:p>
      <w:pPr>
        <w:spacing w:after="0" w:line="76" w:lineRule="exact"/>
        <w:rPr>
          <w:sz w:val="20"/>
          <w:szCs w:val="20"/>
          <w:color w:val="auto"/>
        </w:rPr>
      </w:pPr>
    </w:p>
    <w:p>
      <w:pPr>
        <w:ind w:left="444" w:right="300" w:hanging="444"/>
        <w:spacing w:after="0" w:line="446" w:lineRule="auto"/>
        <w:tabs>
          <w:tab w:leader="none" w:pos="43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Certain Amendment to the Merger Agreement</w:t>
      </w:r>
      <w:r>
        <w:rPr>
          <w:rFonts w:ascii="Arial" w:cs="Arial" w:eastAsia="Arial" w:hAnsi="Arial"/>
          <w:sz w:val="18"/>
          <w:szCs w:val="18"/>
          <w:color w:val="auto"/>
        </w:rPr>
        <w:t>. Section 10.1(jjjj) of the Merger Agreement is hereby replaced in its entirety with the following: “</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October 20, 2021.</w:t>
      </w:r>
    </w:p>
    <w:p>
      <w:pPr>
        <w:ind w:left="424" w:right="260" w:hanging="424"/>
        <w:spacing w:after="0" w:line="311"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Effect of Amendment</w:t>
      </w:r>
      <w:r>
        <w:rPr>
          <w:rFonts w:ascii="Arial" w:cs="Arial" w:eastAsia="Arial" w:hAnsi="Arial"/>
          <w:sz w:val="16"/>
          <w:szCs w:val="16"/>
          <w:color w:val="auto"/>
        </w:rPr>
        <w:t>. Except as otherwise expressly set forth in this Amendment, the provisions of the Merger Agreement, as amended by this Amendment, remain in full force and effect. From and after the date hereof, references to “this Agreement” or Section 10.1 in the Merger Agreement shall be deemed references to the Merger Agreement or Section 10.1, respectively, in each case as amended by this Amendment.</w:t>
      </w:r>
    </w:p>
    <w:p>
      <w:pPr>
        <w:spacing w:after="0" w:line="54" w:lineRule="exact"/>
        <w:rPr>
          <w:rFonts w:ascii="Arial" w:cs="Arial" w:eastAsia="Arial" w:hAnsi="Arial"/>
          <w:sz w:val="16"/>
          <w:szCs w:val="16"/>
          <w:color w:val="auto"/>
        </w:rPr>
      </w:pPr>
    </w:p>
    <w:p>
      <w:pPr>
        <w:ind w:left="424" w:right="20" w:hanging="424"/>
        <w:spacing w:after="0" w:line="301"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and the Merger Agreement (which includes the Bakkt Disclosure Letter, the VIH Disclosure Letter, the other schedules thereto and the exhibits thereto), as amended pursuant to this Amendment and any prior amendment, the Transaction Documents and the Confidentiality Agreement set forth the entire understanding of the Parties with respect to the Transactions. Any and all previous agreements and understandings between or among the Parties regarding the subject matter hereof, whether written or oral, are superseded by this Amendment.</w:t>
      </w:r>
    </w:p>
    <w:p>
      <w:pPr>
        <w:spacing w:after="0" w:line="62" w:lineRule="exact"/>
        <w:rPr>
          <w:rFonts w:ascii="Arial" w:cs="Arial" w:eastAsia="Arial" w:hAnsi="Arial"/>
          <w:sz w:val="16"/>
          <w:szCs w:val="16"/>
          <w:color w:val="auto"/>
        </w:rPr>
      </w:pPr>
    </w:p>
    <w:p>
      <w:pPr>
        <w:ind w:left="424" w:right="180" w:hanging="424"/>
        <w:spacing w:after="0" w:line="263"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Article XI of the Merger Agreement is hereby incorporated by reference and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as if set forth at length herein. Descriptive headings are for convenience only and shall not control or affect the meaning or construction of any provision of this Amendment.</w:t>
      </w:r>
    </w:p>
    <w:p>
      <w:pPr>
        <w:spacing w:after="0" w:line="183" w:lineRule="exact"/>
        <w:rPr>
          <w:rFonts w:ascii="Arial" w:cs="Arial" w:eastAsia="Arial" w:hAnsi="Arial"/>
          <w:sz w:val="18"/>
          <w:szCs w:val="18"/>
          <w:color w:val="auto"/>
        </w:rPr>
      </w:pPr>
    </w:p>
    <w:p>
      <w:pPr>
        <w:ind w:left="5184"/>
        <w:spacing w:after="0"/>
        <w:rPr>
          <w:rFonts w:ascii="Arial" w:cs="Arial" w:eastAsia="Arial" w:hAnsi="Arial"/>
          <w:sz w:val="18"/>
          <w:szCs w:val="18"/>
          <w:color w:val="auto"/>
        </w:rPr>
      </w:pPr>
      <w:r>
        <w:rPr>
          <w:rFonts w:ascii="Arial" w:cs="Arial" w:eastAsia="Arial" w:hAnsi="Arial"/>
          <w:sz w:val="18"/>
          <w:szCs w:val="18"/>
          <w:color w:val="auto"/>
        </w:rPr>
        <w:t>* * * * *</w:t>
      </w:r>
    </w:p>
    <w:p>
      <w:pPr>
        <w:sectPr>
          <w:pgSz w:w="11900" w:h="16838" w:orient="portrait"/>
          <w:cols w:equalWidth="0" w:num="1">
            <w:col w:w="11024"/>
          </w:cols>
          <w:pgMar w:left="436" w:top="121" w:right="439" w:bottom="1440" w:gutter="0" w:footer="0" w:header="0"/>
        </w:sectPr>
      </w:pPr>
    </w:p>
    <w:bookmarkStart w:id="6" w:name="page7"/>
    <w:bookmarkEnd w:id="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Amendment to the Merger Agreement to be duly executed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BAKKT OPCO</w:t>
      </w:r>
      <w:r>
        <w:rPr>
          <w:rFonts w:ascii="Arial" w:cs="Arial" w:eastAsia="Arial" w:hAnsi="Arial"/>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BAKKT HOLDINGS,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Gavin Michael</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Merger Agreement</w:t>
      </w:r>
      <w:r>
        <w:rPr>
          <w:rFonts w:ascii="Arial" w:cs="Arial" w:eastAsia="Arial" w:hAnsi="Arial"/>
          <w:sz w:val="18"/>
          <w:szCs w:val="18"/>
          <w:color w:val="auto"/>
        </w:rPr>
        <w:t>]</w:t>
      </w:r>
    </w:p>
    <w:p>
      <w:pPr>
        <w:sectPr>
          <w:pgSz w:w="11900" w:h="16838" w:orient="portrait"/>
          <w:cols w:equalWidth="0" w:num="1">
            <w:col w:w="10780"/>
          </w:cols>
          <w:pgMar w:left="440" w:top="274" w:right="679" w:bottom="1440" w:gutter="0" w:footer="0" w:header="0"/>
        </w:sectPr>
      </w:pPr>
    </w:p>
    <w:bookmarkStart w:id="7" w:name="page8"/>
    <w:bookmarkEnd w:id="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Amendment to the Merger Agreement to be duly executed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VIH</w:t>
      </w:r>
      <w:r>
        <w:rPr>
          <w:rFonts w:ascii="Arial" w:cs="Arial" w:eastAsia="Arial" w:hAnsi="Arial"/>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VPC IMPACT ACQUISITION HOLDINGS</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Gordon Watson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COO</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Merger Agreement</w:t>
      </w:r>
      <w:r>
        <w:rPr>
          <w:rFonts w:ascii="Arial" w:cs="Arial" w:eastAsia="Arial" w:hAnsi="Arial"/>
          <w:sz w:val="18"/>
          <w:szCs w:val="18"/>
          <w:color w:val="auto"/>
        </w:rPr>
        <w:t>]</w:t>
      </w:r>
    </w:p>
    <w:p>
      <w:pPr>
        <w:sectPr>
          <w:pgSz w:w="11900" w:h="16838" w:orient="portrait"/>
          <w:cols w:equalWidth="0" w:num="1">
            <w:col w:w="10780"/>
          </w:cols>
          <w:pgMar w:left="440" w:top="274" w:right="679" w:bottom="1440" w:gutter="0" w:footer="0" w:header="0"/>
        </w:sectPr>
      </w:pPr>
    </w:p>
    <w:bookmarkStart w:id="8" w:name="page9"/>
    <w:bookmarkEnd w:id="8"/>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Amendment to the Merger Agreement to be duly executed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PYLON MERGER COMPANY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VPC Impact Acquisition Holdings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Gordon Watson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Gordon Watson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 and COO</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Merger Agreement</w:t>
      </w:r>
      <w:r>
        <w:rPr>
          <w:rFonts w:ascii="Arial" w:cs="Arial" w:eastAsia="Arial" w:hAnsi="Arial"/>
          <w:sz w:val="18"/>
          <w:szCs w:val="18"/>
          <w:color w:val="auto"/>
        </w:rPr>
        <w:t>]</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decimal"/>
      <w:start w:val="104"/>
    </w:lvl>
  </w:abstractNum>
  <w:abstractNum w:abstractNumId="4">
    <w:nsid w:val="46E87CCD"/>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2021-09-30T05:14:21Z</dcterms:created>
  <dcterms:modified xsi:type="dcterms:W3CDTF">2021-09-30T05:14:21Z</dcterms:modified>
</cp:coreProperties>
</file>