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12, 2026</w:t>
      </w:r>
    </w:p>
    <w:p>
      <w:pPr>
        <w:spacing w:after="0" w:line="22" w:lineRule="exact"/>
        <w:rPr>
          <w:sz w:val="24"/>
          <w:szCs w:val="24"/>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892810</wp:posOffset>
            </wp:positionH>
            <wp:positionV relativeFrom="paragraph">
              <wp:posOffset>55880</wp:posOffset>
            </wp:positionV>
            <wp:extent cx="538289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82895" cy="6350"/>
                    </a:xfrm>
                    <a:prstGeom prst="rect">
                      <a:avLst/>
                    </a:prstGeom>
                    <a:noFill/>
                  </pic:spPr>
                </pic:pic>
              </a:graphicData>
            </a:graphic>
          </wp:anchor>
        </w:drawing>
        <w:drawing>
          <wp:anchor simplePos="0" relativeHeight="251657728" behindDoc="1" locked="0" layoutInCell="0" allowOverlap="1">
            <wp:simplePos x="0" y="0"/>
            <wp:positionH relativeFrom="column">
              <wp:posOffset>892810</wp:posOffset>
            </wp:positionH>
            <wp:positionV relativeFrom="paragraph">
              <wp:posOffset>88900</wp:posOffset>
            </wp:positionV>
            <wp:extent cx="538289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2895" cy="6350"/>
                    </a:xfrm>
                    <a:prstGeom prst="rect">
                      <a:avLst/>
                    </a:prstGeom>
                    <a:noFill/>
                  </pic:spPr>
                </pic:pic>
              </a:graphicData>
            </a:graphic>
          </wp:anchor>
        </w:drawing>
      </w:r>
    </w:p>
    <w:p>
      <w:pPr>
        <w:spacing w:after="0" w:line="1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78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3016885</wp:posOffset>
            </wp:positionH>
            <wp:positionV relativeFrom="paragraph">
              <wp:posOffset>167640</wp:posOffset>
            </wp:positionV>
            <wp:extent cx="11347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120"/>
        <w:spacing w:after="0" w:line="229"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3016885</wp:posOffset>
            </wp:positionH>
            <wp:positionV relativeFrom="paragraph">
              <wp:posOffset>174625</wp:posOffset>
            </wp:positionV>
            <wp:extent cx="11347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3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Bakkt, Inc.</w:t>
      </w:r>
    </w:p>
    <w:p>
      <w:pPr>
        <w:spacing w:after="0" w:line="4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3016885</wp:posOffset>
            </wp:positionH>
            <wp:positionV relativeFrom="paragraph">
              <wp:posOffset>173990</wp:posOffset>
            </wp:positionV>
            <wp:extent cx="113474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2820" w:type="dxa"/>
        <w:tblCellMar>
          <w:top w:w="0" w:type="dxa"/>
          <w:left w:w="0" w:type="dxa"/>
          <w:bottom w:w="0" w:type="dxa"/>
          <w:right w:w="0" w:type="dxa"/>
        </w:tblCellMar>
      </w:tblPr>
      <w:tr>
        <w:trPr>
          <w:trHeight w:val="164"/>
        </w:trPr>
        <w:tc>
          <w:tcPr>
            <w:tcW w:w="2960" w:type="dxa"/>
            <w:vAlign w:val="bottom"/>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600" w:type="dxa"/>
            <w:vAlign w:val="bottom"/>
          </w:tcPr>
          <w:p>
            <w:pPr>
              <w:jc w:val="center"/>
              <w:ind w:left="1440"/>
              <w:spacing w:after="0"/>
              <w:rPr>
                <w:sz w:val="20"/>
                <w:szCs w:val="20"/>
                <w:color w:val="auto"/>
              </w:rPr>
            </w:pPr>
            <w:r>
              <w:rPr>
                <w:rFonts w:ascii="Times New Roman" w:cs="Times New Roman" w:eastAsia="Times New Roman" w:hAnsi="Times New Roman"/>
                <w:sz w:val="14"/>
                <w:szCs w:val="14"/>
                <w:b w:val="1"/>
                <w:bCs w:val="1"/>
                <w:color w:val="auto"/>
                <w:w w:val="97"/>
              </w:rPr>
              <w:t>41-2324812</w:t>
            </w:r>
          </w:p>
        </w:tc>
      </w:tr>
      <w:tr>
        <w:trPr>
          <w:trHeight w:val="114"/>
        </w:trPr>
        <w:tc>
          <w:tcPr>
            <w:tcW w:w="2960" w:type="dxa"/>
            <w:vAlign w:val="bottom"/>
          </w:tcPr>
          <w:p>
            <w:pPr>
              <w:jc w:val="center"/>
              <w:ind w:right="1440"/>
              <w:spacing w:after="0" w:line="114"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00" w:type="dxa"/>
            <w:vAlign w:val="bottom"/>
          </w:tcPr>
          <w:p>
            <w:pPr>
              <w:jc w:val="center"/>
              <w:ind w:left="1420"/>
              <w:spacing w:after="0" w:line="114"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5"/>
        </w:trPr>
        <w:tc>
          <w:tcPr>
            <w:tcW w:w="2960" w:type="dxa"/>
            <w:vAlign w:val="bottom"/>
          </w:tcPr>
          <w:p>
            <w:pPr>
              <w:jc w:val="center"/>
              <w:ind w:right="14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600" w:type="dxa"/>
            <w:vAlign w:val="bottom"/>
          </w:tcPr>
          <w:p>
            <w:pPr>
              <w:jc w:val="center"/>
              <w:ind w:left="1440"/>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1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3280 Peachtree Road, Suites 07-128, 07-130 &amp; 07-132, Atlanta, Georgia 30305 (332) 203-3017</w:t>
      </w:r>
    </w:p>
    <w:p>
      <w:pPr>
        <w:spacing w:after="0" w:line="25"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3016885</wp:posOffset>
            </wp:positionH>
            <wp:positionV relativeFrom="paragraph">
              <wp:posOffset>167005</wp:posOffset>
            </wp:positionV>
            <wp:extent cx="113474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Akshay Naheta, Chief Executive Officer, 3280 Peachtree Road, Suites 07-128, 07-130 &amp; 07-132, Atlanta, Georgia 30305 (332) 203-3017</w:t>
      </w:r>
    </w:p>
    <w:p>
      <w:pPr>
        <w:spacing w:after="0" w:line="2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3016885</wp:posOffset>
            </wp:positionH>
            <wp:positionV relativeFrom="paragraph">
              <wp:posOffset>167005</wp:posOffset>
            </wp:positionV>
            <wp:extent cx="113474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tbl>
      <w:tblPr>
        <w:tblLayout w:type="fixed"/>
        <w:tblInd w:w="2920" w:type="dxa"/>
        <w:tblCellMar>
          <w:top w:w="0" w:type="dxa"/>
          <w:left w:w="0" w:type="dxa"/>
          <w:bottom w:w="0" w:type="dxa"/>
          <w:right w:w="0" w:type="dxa"/>
        </w:tblCellMar>
      </w:tblPr>
      <w:tr>
        <w:trPr>
          <w:trHeight w:val="183"/>
        </w:trPr>
        <w:tc>
          <w:tcPr>
            <w:tcW w:w="1840" w:type="dxa"/>
            <w:vAlign w:val="bottom"/>
          </w:tcPr>
          <w:p>
            <w:pPr>
              <w:spacing w:after="0"/>
              <w:rPr>
                <w:sz w:val="15"/>
                <w:szCs w:val="15"/>
                <w:color w:val="auto"/>
              </w:rPr>
            </w:pPr>
          </w:p>
        </w:tc>
        <w:tc>
          <w:tcPr>
            <w:tcW w:w="39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336"/>
        </w:trPr>
        <w:tc>
          <w:tcPr>
            <w:tcW w:w="1840" w:type="dxa"/>
            <w:vAlign w:val="bottom"/>
          </w:tcPr>
          <w:p>
            <w:pPr>
              <w:jc w:val="center"/>
              <w:ind w:right="531"/>
              <w:spacing w:after="0"/>
              <w:rPr>
                <w:sz w:val="20"/>
                <w:szCs w:val="20"/>
                <w:color w:val="auto"/>
              </w:rPr>
            </w:pPr>
            <w:r>
              <w:rPr>
                <w:rFonts w:ascii="Times New Roman" w:cs="Times New Roman" w:eastAsia="Times New Roman" w:hAnsi="Times New Roman"/>
                <w:sz w:val="14"/>
                <w:szCs w:val="14"/>
                <w:b w:val="1"/>
                <w:bCs w:val="1"/>
                <w:color w:val="auto"/>
                <w:w w:val="97"/>
              </w:rPr>
              <w:t>Jared Fishman</w:t>
            </w:r>
          </w:p>
        </w:tc>
        <w:tc>
          <w:tcPr>
            <w:tcW w:w="3980" w:type="dxa"/>
            <w:vAlign w:val="bottom"/>
          </w:tcPr>
          <w:p>
            <w:pPr>
              <w:jc w:val="center"/>
              <w:ind w:left="2071"/>
              <w:spacing w:after="0"/>
              <w:rPr>
                <w:sz w:val="20"/>
                <w:szCs w:val="20"/>
                <w:color w:val="auto"/>
              </w:rPr>
            </w:pPr>
            <w:r>
              <w:rPr>
                <w:rFonts w:ascii="Times New Roman" w:cs="Times New Roman" w:eastAsia="Times New Roman" w:hAnsi="Times New Roman"/>
                <w:sz w:val="14"/>
                <w:szCs w:val="14"/>
                <w:b w:val="1"/>
                <w:bCs w:val="1"/>
                <w:color w:val="auto"/>
                <w:w w:val="98"/>
              </w:rPr>
              <w:t>Marc D’Annunzio</w:t>
            </w:r>
          </w:p>
        </w:tc>
      </w:tr>
      <w:tr>
        <w:trPr>
          <w:trHeight w:val="166"/>
        </w:trPr>
        <w:tc>
          <w:tcPr>
            <w:tcW w:w="1840" w:type="dxa"/>
            <w:vAlign w:val="bottom"/>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w w:val="98"/>
              </w:rPr>
              <w:t>Matthew Goodman</w:t>
            </w:r>
          </w:p>
        </w:tc>
        <w:tc>
          <w:tcPr>
            <w:tcW w:w="3980" w:type="dxa"/>
            <w:vAlign w:val="bottom"/>
          </w:tcPr>
          <w:p>
            <w:pPr>
              <w:jc w:val="center"/>
              <w:ind w:left="2091"/>
              <w:spacing w:after="0"/>
              <w:rPr>
                <w:sz w:val="20"/>
                <w:szCs w:val="20"/>
                <w:color w:val="auto"/>
              </w:rPr>
            </w:pPr>
            <w:r>
              <w:rPr>
                <w:rFonts w:ascii="Times New Roman" w:cs="Times New Roman" w:eastAsia="Times New Roman" w:hAnsi="Times New Roman"/>
                <w:sz w:val="14"/>
                <w:szCs w:val="14"/>
                <w:b w:val="1"/>
                <w:bCs w:val="1"/>
                <w:color w:val="auto"/>
                <w:w w:val="98"/>
              </w:rPr>
              <w:t>General Counsel</w:t>
            </w:r>
          </w:p>
        </w:tc>
      </w:tr>
      <w:tr>
        <w:trPr>
          <w:trHeight w:val="166"/>
        </w:trPr>
        <w:tc>
          <w:tcPr>
            <w:tcW w:w="1840" w:type="dxa"/>
            <w:vAlign w:val="bottom"/>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w w:val="99"/>
              </w:rPr>
              <w:t>Mario Schollmeyer</w:t>
            </w:r>
          </w:p>
        </w:tc>
        <w:tc>
          <w:tcPr>
            <w:tcW w:w="3980" w:type="dxa"/>
            <w:vAlign w:val="bottom"/>
          </w:tcPr>
          <w:p>
            <w:pPr>
              <w:jc w:val="center"/>
              <w:ind w:left="2071"/>
              <w:spacing w:after="0"/>
              <w:rPr>
                <w:sz w:val="20"/>
                <w:szCs w:val="20"/>
                <w:color w:val="auto"/>
              </w:rPr>
            </w:pPr>
            <w:r>
              <w:rPr>
                <w:rFonts w:ascii="Times New Roman" w:cs="Times New Roman" w:eastAsia="Times New Roman" w:hAnsi="Times New Roman"/>
                <w:sz w:val="14"/>
                <w:szCs w:val="14"/>
                <w:b w:val="1"/>
                <w:bCs w:val="1"/>
                <w:color w:val="auto"/>
                <w:w w:val="98"/>
              </w:rPr>
              <w:t>3280 Peachtree Road</w:t>
            </w:r>
          </w:p>
        </w:tc>
      </w:tr>
      <w:tr>
        <w:trPr>
          <w:trHeight w:val="166"/>
        </w:trPr>
        <w:tc>
          <w:tcPr>
            <w:tcW w:w="1840" w:type="dxa"/>
            <w:vAlign w:val="bottom"/>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w w:val="99"/>
              </w:rPr>
              <w:t>Sullivan &amp; Cromwell</w:t>
            </w:r>
          </w:p>
        </w:tc>
        <w:tc>
          <w:tcPr>
            <w:tcW w:w="3980" w:type="dxa"/>
            <w:vAlign w:val="bottom"/>
          </w:tcPr>
          <w:p>
            <w:pPr>
              <w:jc w:val="center"/>
              <w:ind w:left="2091"/>
              <w:spacing w:after="0"/>
              <w:rPr>
                <w:sz w:val="20"/>
                <w:szCs w:val="20"/>
                <w:color w:val="auto"/>
              </w:rPr>
            </w:pPr>
            <w:r>
              <w:rPr>
                <w:rFonts w:ascii="Times New Roman" w:cs="Times New Roman" w:eastAsia="Times New Roman" w:hAnsi="Times New Roman"/>
                <w:sz w:val="14"/>
                <w:szCs w:val="14"/>
                <w:b w:val="1"/>
                <w:bCs w:val="1"/>
                <w:color w:val="auto"/>
                <w:w w:val="98"/>
              </w:rPr>
              <w:t>Suites 07-128, 07-130 &amp; 07-132</w:t>
            </w:r>
          </w:p>
        </w:tc>
      </w:tr>
      <w:tr>
        <w:trPr>
          <w:trHeight w:val="166"/>
        </w:trPr>
        <w:tc>
          <w:tcPr>
            <w:tcW w:w="1840" w:type="dxa"/>
            <w:vAlign w:val="bottom"/>
          </w:tcPr>
          <w:p>
            <w:pPr>
              <w:jc w:val="center"/>
              <w:ind w:right="531"/>
              <w:spacing w:after="0"/>
              <w:rPr>
                <w:sz w:val="20"/>
                <w:szCs w:val="20"/>
                <w:color w:val="auto"/>
              </w:rPr>
            </w:pPr>
            <w:r>
              <w:rPr>
                <w:rFonts w:ascii="Times New Roman" w:cs="Times New Roman" w:eastAsia="Times New Roman" w:hAnsi="Times New Roman"/>
                <w:sz w:val="14"/>
                <w:szCs w:val="14"/>
                <w:b w:val="1"/>
                <w:bCs w:val="1"/>
                <w:color w:val="auto"/>
                <w:w w:val="98"/>
              </w:rPr>
              <w:t>125 Broad Street</w:t>
            </w:r>
          </w:p>
        </w:tc>
        <w:tc>
          <w:tcPr>
            <w:tcW w:w="3980" w:type="dxa"/>
            <w:vAlign w:val="bottom"/>
          </w:tcPr>
          <w:p>
            <w:pPr>
              <w:jc w:val="center"/>
              <w:ind w:left="2091"/>
              <w:spacing w:after="0"/>
              <w:rPr>
                <w:sz w:val="20"/>
                <w:szCs w:val="20"/>
                <w:color w:val="auto"/>
              </w:rPr>
            </w:pPr>
            <w:r>
              <w:rPr>
                <w:rFonts w:ascii="Times New Roman" w:cs="Times New Roman" w:eastAsia="Times New Roman" w:hAnsi="Times New Roman"/>
                <w:sz w:val="14"/>
                <w:szCs w:val="14"/>
                <w:b w:val="1"/>
                <w:bCs w:val="1"/>
                <w:color w:val="auto"/>
                <w:w w:val="99"/>
              </w:rPr>
              <w:t>Atlanta, Georgia 30305</w:t>
            </w:r>
          </w:p>
        </w:tc>
      </w:tr>
      <w:tr>
        <w:trPr>
          <w:trHeight w:val="166"/>
        </w:trPr>
        <w:tc>
          <w:tcPr>
            <w:tcW w:w="1840" w:type="dxa"/>
            <w:vAlign w:val="bottom"/>
          </w:tcPr>
          <w:p>
            <w:pPr>
              <w:jc w:val="center"/>
              <w:ind w:right="531"/>
              <w:spacing w:after="0"/>
              <w:rPr>
                <w:sz w:val="20"/>
                <w:szCs w:val="20"/>
                <w:color w:val="auto"/>
              </w:rPr>
            </w:pPr>
            <w:r>
              <w:rPr>
                <w:rFonts w:ascii="Times New Roman" w:cs="Times New Roman" w:eastAsia="Times New Roman" w:hAnsi="Times New Roman"/>
                <w:sz w:val="14"/>
                <w:szCs w:val="14"/>
                <w:b w:val="1"/>
                <w:bCs w:val="1"/>
                <w:color w:val="auto"/>
                <w:w w:val="97"/>
              </w:rPr>
              <w:t>New York, NY 10004</w:t>
            </w:r>
          </w:p>
        </w:tc>
        <w:tc>
          <w:tcPr>
            <w:tcW w:w="3980" w:type="dxa"/>
            <w:vAlign w:val="bottom"/>
          </w:tcPr>
          <w:p>
            <w:pPr>
              <w:jc w:val="center"/>
              <w:ind w:left="2091"/>
              <w:spacing w:after="0"/>
              <w:rPr>
                <w:sz w:val="20"/>
                <w:szCs w:val="20"/>
                <w:color w:val="auto"/>
              </w:rPr>
            </w:pPr>
            <w:r>
              <w:rPr>
                <w:rFonts w:ascii="Times New Roman" w:cs="Times New Roman" w:eastAsia="Times New Roman" w:hAnsi="Times New Roman"/>
                <w:sz w:val="14"/>
                <w:szCs w:val="14"/>
                <w:b w:val="1"/>
                <w:bCs w:val="1"/>
                <w:color w:val="auto"/>
                <w:w w:val="98"/>
              </w:rPr>
              <w:t>(332) 203-3017</w:t>
            </w:r>
          </w:p>
        </w:tc>
      </w:tr>
      <w:tr>
        <w:trPr>
          <w:trHeight w:val="183"/>
        </w:trPr>
        <w:tc>
          <w:tcPr>
            <w:tcW w:w="1840" w:type="dxa"/>
            <w:vAlign w:val="bottom"/>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w w:val="98"/>
              </w:rPr>
              <w:t>(212) 558-4000</w:t>
            </w:r>
          </w:p>
        </w:tc>
        <w:tc>
          <w:tcPr>
            <w:tcW w:w="39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3016885</wp:posOffset>
            </wp:positionH>
            <wp:positionV relativeFrom="paragraph">
              <wp:posOffset>184150</wp:posOffset>
            </wp:positionV>
            <wp:extent cx="113474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From time to time after the effective date of this registration statement.</w:t>
      </w:r>
    </w:p>
    <w:p>
      <w:pPr>
        <w:spacing w:after="0" w:line="1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p>
    <w:p>
      <w:pPr>
        <w:spacing w:after="0" w:line="144" w:lineRule="exact"/>
        <w:rPr>
          <w:sz w:val="24"/>
          <w:szCs w:val="24"/>
          <w:color w:val="auto"/>
        </w:rPr>
      </w:pPr>
    </w:p>
    <w:p>
      <w:pPr>
        <w:ind w:left="1400" w:right="579"/>
        <w:spacing w:after="0" w:line="184"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31" w:lineRule="exact"/>
        <w:rPr>
          <w:sz w:val="24"/>
          <w:szCs w:val="24"/>
          <w:color w:val="auto"/>
        </w:rPr>
      </w:pPr>
    </w:p>
    <w:p>
      <w:pPr>
        <w:ind w:left="1400" w:right="359"/>
        <w:spacing w:after="0" w:line="184"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1" w:lineRule="exact"/>
        <w:rPr>
          <w:sz w:val="24"/>
          <w:szCs w:val="24"/>
          <w:color w:val="auto"/>
        </w:rPr>
      </w:pPr>
    </w:p>
    <w:p>
      <w:pPr>
        <w:ind w:left="1400" w:right="359"/>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1" w:lineRule="exact"/>
        <w:rPr>
          <w:sz w:val="24"/>
          <w:szCs w:val="24"/>
          <w:color w:val="auto"/>
        </w:rPr>
      </w:pPr>
    </w:p>
    <w:p>
      <w:pPr>
        <w:ind w:left="1400" w:right="379"/>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1" w:lineRule="exact"/>
        <w:rPr>
          <w:sz w:val="24"/>
          <w:szCs w:val="24"/>
          <w:color w:val="auto"/>
        </w:rPr>
      </w:pPr>
    </w:p>
    <w:p>
      <w:pPr>
        <w:ind w:left="1400" w:right="319"/>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1" w:lineRule="exact"/>
        <w:rPr>
          <w:sz w:val="24"/>
          <w:szCs w:val="24"/>
          <w:color w:val="auto"/>
        </w:rPr>
      </w:pPr>
    </w:p>
    <w:p>
      <w:pPr>
        <w:ind w:left="1400" w:right="459"/>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1" w:lineRule="exact"/>
        <w:rPr>
          <w:sz w:val="24"/>
          <w:szCs w:val="24"/>
          <w:color w:val="auto"/>
        </w:rPr>
      </w:pPr>
    </w:p>
    <w:p>
      <w:pPr>
        <w:ind w:left="1400" w:right="359"/>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1400" w:type="dxa"/>
        <w:tblCellMar>
          <w:top w:w="0" w:type="dxa"/>
          <w:left w:w="0" w:type="dxa"/>
          <w:bottom w:w="0" w:type="dxa"/>
          <w:right w:w="0" w:type="dxa"/>
        </w:tblCellMar>
      </w:tblPr>
      <w:tr>
        <w:trPr>
          <w:trHeight w:val="233"/>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244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9"/>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24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9"/>
        </w:trPr>
        <w:tc>
          <w:tcPr>
            <w:tcW w:w="14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080" w:type="dxa"/>
            <w:vAlign w:val="bottom"/>
          </w:tcPr>
          <w:p>
            <w:pPr>
              <w:ind w:left="244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1" w:lineRule="exact"/>
        <w:rPr>
          <w:sz w:val="24"/>
          <w:szCs w:val="24"/>
          <w:color w:val="auto"/>
        </w:rPr>
      </w:pPr>
    </w:p>
    <w:p>
      <w:pPr>
        <w:ind w:left="1400" w:right="499"/>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3016885</wp:posOffset>
            </wp:positionH>
            <wp:positionV relativeFrom="paragraph">
              <wp:posOffset>158750</wp:posOffset>
            </wp:positionV>
            <wp:extent cx="113474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390" w:lineRule="exact"/>
        <w:rPr>
          <w:sz w:val="24"/>
          <w:szCs w:val="24"/>
          <w:color w:val="auto"/>
        </w:rPr>
      </w:pPr>
    </w:p>
    <w:p>
      <w:pPr>
        <w:jc w:val="both"/>
        <w:ind w:left="1400" w:right="879"/>
        <w:spacing w:after="0" w:line="25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892810</wp:posOffset>
            </wp:positionH>
            <wp:positionV relativeFrom="paragraph">
              <wp:posOffset>105410</wp:posOffset>
            </wp:positionV>
            <wp:extent cx="538289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2895" cy="6350"/>
                    </a:xfrm>
                    <a:prstGeom prst="rect">
                      <a:avLst/>
                    </a:prstGeom>
                    <a:noFill/>
                  </pic:spPr>
                </pic:pic>
              </a:graphicData>
            </a:graphic>
          </wp:anchor>
        </w:drawing>
        <w:drawing>
          <wp:anchor simplePos="0" relativeHeight="251657728" behindDoc="1" locked="0" layoutInCell="0" allowOverlap="1">
            <wp:simplePos x="0" y="0"/>
            <wp:positionH relativeFrom="column">
              <wp:posOffset>892810</wp:posOffset>
            </wp:positionH>
            <wp:positionV relativeFrom="paragraph">
              <wp:posOffset>138430</wp:posOffset>
            </wp:positionV>
            <wp:extent cx="538289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82895" cy="6350"/>
                    </a:xfrm>
                    <a:prstGeom prst="rect">
                      <a:avLst/>
                    </a:prstGeom>
                    <a:noFill/>
                  </pic:spPr>
                </pic:pic>
              </a:graphicData>
            </a:graphic>
          </wp:anchor>
        </w:drawing>
      </w:r>
    </w:p>
    <w:p>
      <w:pPr>
        <w:sectPr>
          <w:pgSz w:w="11900" w:h="16838" w:orient="portrait"/>
          <w:cols w:equalWidth="0" w:num="1">
            <w:col w:w="10159"/>
          </w:cols>
          <w:pgMar w:left="300" w:top="206" w:right="1440" w:bottom="109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69" w:lineRule="exact"/>
        <w:rPr>
          <w:sz w:val="20"/>
          <w:szCs w:val="20"/>
          <w:color w:val="auto"/>
        </w:rPr>
      </w:pPr>
    </w:p>
    <w:tbl>
      <w:tblPr>
        <w:tblLayout w:type="fixed"/>
        <w:tblInd w:w="1400" w:type="dxa"/>
        <w:tblCellMar>
          <w:top w:w="0" w:type="dxa"/>
          <w:left w:w="0" w:type="dxa"/>
          <w:bottom w:w="0" w:type="dxa"/>
          <w:right w:w="0" w:type="dxa"/>
        </w:tblCellMar>
      </w:tblPr>
      <w:tr>
        <w:trPr>
          <w:trHeight w:val="69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statement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is not</w:t>
            </w:r>
          </w:p>
        </w:tc>
        <w:tc>
          <w:tcPr>
            <w:tcW w:w="140" w:type="dxa"/>
            <w:vAlign w:val="bottom"/>
          </w:tcPr>
          <w:p>
            <w:pPr>
              <w:spacing w:after="0"/>
              <w:rPr>
                <w:sz w:val="24"/>
                <w:szCs w:val="24"/>
                <w:color w:val="auto"/>
              </w:rPr>
            </w:pPr>
          </w:p>
        </w:tc>
      </w:tr>
      <w:tr>
        <w:trPr>
          <w:trHeight w:val="821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The information in this prospectus is not complete and may be changed. The securities may not be sold until the registration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filed with the Securities and Exchange Commission is effective. This prospectus is not an offer to sell these securities and it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soliciting an offer to buy these securities in any state where the offer or sale is not 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FF4338"/>
        </w:rPr>
        <w:t>Subject to Completion, dated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-585470</wp:posOffset>
            </wp:positionV>
            <wp:extent cx="720280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132715</wp:posOffset>
            </wp:positionV>
            <wp:extent cx="1115060"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506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33"/>
          <w:szCs w:val="33"/>
          <w:b w:val="1"/>
          <w:bCs w:val="1"/>
          <w:color w:val="auto"/>
        </w:rPr>
        <w:t>Bakkt, Inc.</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b w:val="1"/>
          <w:bCs w:val="1"/>
          <w:color w:val="auto"/>
        </w:rPr>
        <w:t>Up to 21,010,640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191770</wp:posOffset>
            </wp:positionV>
            <wp:extent cx="94996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1279" w:firstLine="286"/>
        <w:spacing w:after="0" w:line="262" w:lineRule="auto"/>
        <w:rPr>
          <w:sz w:val="20"/>
          <w:szCs w:val="20"/>
          <w:color w:val="auto"/>
        </w:rPr>
      </w:pPr>
      <w:r>
        <w:rPr>
          <w:rFonts w:ascii="Times New Roman" w:cs="Times New Roman" w:eastAsia="Times New Roman" w:hAnsi="Times New Roman"/>
          <w:sz w:val="14"/>
          <w:szCs w:val="14"/>
          <w:color w:val="auto"/>
        </w:rPr>
        <w:t>This prospectus relates to the offer and resale by the selling stockholders named in this prospectus (collectively, the “Selling Stockholders”), of up to an aggregate of 21,010,640 shares of Class A common stock, par value $0.0001 per share (“Class A Common Stock”), of Bakkt, Inc. (“Bakkt,” the “Company,” “we,” “us” or “our”).</w:t>
      </w:r>
    </w:p>
    <w:p>
      <w:pPr>
        <w:spacing w:after="0" w:line="138" w:lineRule="exact"/>
        <w:rPr>
          <w:sz w:val="20"/>
          <w:szCs w:val="20"/>
          <w:color w:val="auto"/>
        </w:rPr>
      </w:pPr>
    </w:p>
    <w:p>
      <w:pPr>
        <w:ind w:right="999" w:firstLine="286"/>
        <w:spacing w:after="0" w:line="249" w:lineRule="auto"/>
        <w:rPr>
          <w:sz w:val="20"/>
          <w:szCs w:val="20"/>
          <w:color w:val="auto"/>
        </w:rPr>
      </w:pPr>
      <w:r>
        <w:rPr>
          <w:rFonts w:ascii="Times New Roman" w:cs="Times New Roman" w:eastAsia="Times New Roman" w:hAnsi="Times New Roman"/>
          <w:sz w:val="14"/>
          <w:szCs w:val="14"/>
          <w:color w:val="auto"/>
        </w:rPr>
        <w:t>The shares of Class A Common Stock covered by this prospectus consist of (i) 11,316,775 shares of our Class A Common Stock issued at the closing on April 30, 2026 (the “Closing”) of the DTR Acquisition (as defined below) as consideration for such acquisition (the “Consideration Shares”), together with up to 725,592 additional shares of Class A Common Stock issuable upon the exercise of certain outstanding warrants as additional Consideration Shares, in each case issued or issuable to certain Selling Stockholders in connection with the DTR Acquisition, (ii) 7,919,002 shares of Class A Common Stock held by Intercontinental Exchange Holdings, Inc. (“ICE”) and 461,360 shares of Class A Common Stock issuable upon the exercise of outstanding Class 1 Warrants and Class 2 Warrants held by ICE, (iii) an additional 118,316 shares of Class A Common Stock issued to certain Selling Stockholders in connection with the Company’s Up-C collapse transaction (the “Up-C Collapse”), pursuant to which the Company simplified its organizational structure and issued shares of Class A Common Stock in exchange for outstanding interests in Bakkt Opco Holdings, LLC (“Opco”) and in connection with related amendments to certain tax receivable and contribution arrangements, (iv) 125,000 shares of Class A Common Stock issued to Cohen &amp; Company Securities, LLC (“Cohen”) and (v) 94,595 shares of Class A Common Stock (the “Gyzer Acquisition Shares”) issued in connection with the Company’s acquisition of Gyzer Inc (“Gyzer”), together with up to 250,000 additional shares of Class A Common Stock issuable upon the exercise of warrants issued in connection with the acquisition of Gyzer as additional Gyzer Acquisition Shares.</w:t>
      </w:r>
    </w:p>
    <w:p>
      <w:pPr>
        <w:spacing w:after="0" w:line="154" w:lineRule="exact"/>
        <w:rPr>
          <w:sz w:val="20"/>
          <w:szCs w:val="20"/>
          <w:color w:val="auto"/>
        </w:rPr>
      </w:pPr>
    </w:p>
    <w:p>
      <w:pPr>
        <w:ind w:right="1079" w:firstLine="286"/>
        <w:spacing w:after="0" w:line="279" w:lineRule="auto"/>
        <w:rPr>
          <w:sz w:val="20"/>
          <w:szCs w:val="20"/>
          <w:color w:val="auto"/>
        </w:rPr>
      </w:pPr>
      <w:r>
        <w:rPr>
          <w:rFonts w:ascii="Times New Roman" w:cs="Times New Roman" w:eastAsia="Times New Roman" w:hAnsi="Times New Roman"/>
          <w:sz w:val="13"/>
          <w:szCs w:val="13"/>
          <w:color w:val="auto"/>
        </w:rPr>
        <w:t>The “DTR Acquisition” refers to our acquisition of 100% of the outstanding equity interests of Distributed Technologies Research Global Ltd., a private limited company incorporated in Cyprus (“DTR”), pursuant to that certain Share Purchase Agreement, dated as of January 11, 2026 (the “Purchase Agreement”), by and among Bakkt Opco Holdings, LLC, a Delaware limited liability company and wholly owned subsidiary of the Company (“Opco”), the Company, DTR and our chief executive officer and director, Akshay Naheta (“Mr. Naheta” or the “Seller”), in exchange for shares of Class A Common Stock.</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The DTR Acquisition is described in greater detail in this prospectus. See “</w:t>
      </w:r>
      <w:r>
        <w:rPr>
          <w:rFonts w:ascii="Times New Roman" w:cs="Times New Roman" w:eastAsia="Times New Roman" w:hAnsi="Times New Roman"/>
          <w:sz w:val="14"/>
          <w:szCs w:val="14"/>
          <w:i w:val="1"/>
          <w:iCs w:val="1"/>
          <w:u w:val="single" w:color="auto"/>
          <w:color w:val="auto"/>
        </w:rPr>
        <w:t>The DTR Acquisition</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right="1199" w:firstLine="286"/>
        <w:spacing w:after="0" w:line="262" w:lineRule="auto"/>
        <w:rPr>
          <w:sz w:val="20"/>
          <w:szCs w:val="20"/>
          <w:color w:val="auto"/>
        </w:rPr>
      </w:pPr>
      <w:r>
        <w:rPr>
          <w:rFonts w:ascii="Times New Roman" w:cs="Times New Roman" w:eastAsia="Times New Roman" w:hAnsi="Times New Roman"/>
          <w:sz w:val="14"/>
          <w:szCs w:val="14"/>
          <w:color w:val="auto"/>
        </w:rPr>
        <w:t>We are registering the offer and resale of certain of the shares of Class A Common Stock covered by this prospectus to satisfy certain registration rights granted to Mr. Naheta, the DTR Holders (as defined herein) and ICE in connection with the DTR Acquisition.</w:t>
      </w:r>
    </w:p>
    <w:p>
      <w:pPr>
        <w:spacing w:after="0" w:line="138" w:lineRule="exact"/>
        <w:rPr>
          <w:sz w:val="20"/>
          <w:szCs w:val="20"/>
          <w:color w:val="auto"/>
        </w:rPr>
      </w:pPr>
    </w:p>
    <w:p>
      <w:pPr>
        <w:ind w:right="1019" w:firstLine="286"/>
        <w:spacing w:after="0" w:line="257" w:lineRule="auto"/>
        <w:rPr>
          <w:sz w:val="20"/>
          <w:szCs w:val="20"/>
          <w:color w:val="auto"/>
        </w:rPr>
      </w:pPr>
      <w:r>
        <w:rPr>
          <w:rFonts w:ascii="Times New Roman" w:cs="Times New Roman" w:eastAsia="Times New Roman" w:hAnsi="Times New Roman"/>
          <w:sz w:val="14"/>
          <w:szCs w:val="14"/>
          <w:color w:val="auto"/>
        </w:rPr>
        <w:t>In addition, we are registering the offer and resale of shares of Class A Common Stock issued to (i) Cohen, a registered broker-dealer, as compensation for advisory services rendered to the Company, (ii) certain Selling Stockholders in connection with the Up-C Collapse and (iii) Daniel Ishag, the sole stockholder of Gyzer, as compensation for the Company’s acquisition of Gyzer.</w:t>
      </w:r>
    </w:p>
    <w:p>
      <w:pPr>
        <w:sectPr>
          <w:pgSz w:w="11900" w:h="16838" w:orient="portrait"/>
          <w:cols w:equalWidth="0" w:num="2">
            <w:col w:w="1840" w:space="240"/>
            <w:col w:w="8079"/>
          </w:cols>
          <w:pgMar w:left="300" w:top="3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Our registration of the Class A Common Stock covered by this prospectus does not mean that the Selling Stockholders will offer or sell any of the Class A Common Stock. The Selling Stockholders will determine, in their sole discretion, whether, when and how to sell any of the shares offered by this prospectus. We have no control over, and will not participate in, any such sales. The Selling Stockholders may sell these securities at varying prices and in a number of different ways, including through ordinary brokerage transactions, block trades, privately negotiated transactions or similar transactions, as described in the section of this prospectus captioned “Plan of Distribution.”</w:t>
      </w:r>
    </w:p>
    <w:p>
      <w:pPr>
        <w:spacing w:after="0" w:line="142" w:lineRule="exact"/>
        <w:rPr>
          <w:sz w:val="20"/>
          <w:szCs w:val="20"/>
          <w:color w:val="auto"/>
        </w:rPr>
      </w:pPr>
    </w:p>
    <w:p>
      <w:pPr>
        <w:ind w:left="1400" w:right="479" w:firstLine="339"/>
        <w:spacing w:after="0" w:line="278" w:lineRule="auto"/>
        <w:rPr>
          <w:sz w:val="20"/>
          <w:szCs w:val="20"/>
          <w:color w:val="auto"/>
        </w:rPr>
      </w:pPr>
      <w:r>
        <w:rPr>
          <w:rFonts w:ascii="Times New Roman" w:cs="Times New Roman" w:eastAsia="Times New Roman" w:hAnsi="Times New Roman"/>
          <w:sz w:val="14"/>
          <w:szCs w:val="14"/>
          <w:color w:val="auto"/>
        </w:rPr>
        <w:t>Our Class A Common Stock is currently traded on the New York Stock Exchange (“NYSE”) under the symbol “BKKT.” On May 11, 2026, the last reported sale price for our Class A Common Stock was $9.92 per share.</w:t>
      </w:r>
    </w:p>
    <w:p>
      <w:pPr>
        <w:spacing w:after="0" w:line="126" w:lineRule="exact"/>
        <w:rPr>
          <w:sz w:val="20"/>
          <w:szCs w:val="20"/>
          <w:color w:val="auto"/>
        </w:rPr>
      </w:pPr>
    </w:p>
    <w:p>
      <w:pPr>
        <w:ind w:left="1400" w:right="299" w:firstLine="339"/>
        <w:spacing w:after="0" w:line="257" w:lineRule="auto"/>
        <w:rPr>
          <w:sz w:val="20"/>
          <w:szCs w:val="20"/>
          <w:color w:val="auto"/>
        </w:rPr>
      </w:pPr>
      <w:r>
        <w:rPr>
          <w:rFonts w:ascii="Times New Roman" w:cs="Times New Roman" w:eastAsia="Times New Roman" w:hAnsi="Times New Roman"/>
          <w:sz w:val="14"/>
          <w:szCs w:val="14"/>
          <w:color w:val="auto"/>
        </w:rPr>
        <w:t>We will not receive any proceeds from the sale of shares of Class A Common Stock by the Selling Stockholders, although we may receive proceeds from the exercise of the warrants and to the extent any such warrants are exercised for cash. All proceeds from the resale of such shares will be received by the Selling Stockholders for their own accounts. We will not receive any compensation, commission or other remuneration in connection with any resale of shares by the Selling Stockholders.</w:t>
      </w:r>
    </w:p>
    <w:p>
      <w:pPr>
        <w:spacing w:after="0" w:line="142" w:lineRule="exact"/>
        <w:rPr>
          <w:sz w:val="20"/>
          <w:szCs w:val="20"/>
          <w:color w:val="auto"/>
        </w:rPr>
      </w:pPr>
    </w:p>
    <w:p>
      <w:pPr>
        <w:ind w:left="1400" w:right="539" w:firstLine="339"/>
        <w:spacing w:after="0" w:line="278" w:lineRule="auto"/>
        <w:rPr>
          <w:sz w:val="20"/>
          <w:szCs w:val="20"/>
          <w:color w:val="auto"/>
        </w:rPr>
      </w:pPr>
      <w:r>
        <w:rPr>
          <w:rFonts w:ascii="Times New Roman" w:cs="Times New Roman" w:eastAsia="Times New Roman" w:hAnsi="Times New Roman"/>
          <w:sz w:val="14"/>
          <w:szCs w:val="14"/>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154940</wp:posOffset>
            </wp:positionV>
            <wp:extent cx="113474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376" w:lineRule="exact"/>
        <w:rPr>
          <w:sz w:val="20"/>
          <w:szCs w:val="20"/>
          <w:color w:val="auto"/>
        </w:rPr>
      </w:pPr>
    </w:p>
    <w:p>
      <w:pPr>
        <w:ind w:left="1400" w:right="279" w:firstLine="339"/>
        <w:spacing w:after="0" w:line="239" w:lineRule="auto"/>
        <w:rPr>
          <w:sz w:val="20"/>
          <w:szCs w:val="20"/>
          <w:color w:val="auto"/>
        </w:rPr>
      </w:pPr>
      <w:r>
        <w:rPr>
          <w:rFonts w:ascii="Times New Roman" w:cs="Times New Roman" w:eastAsia="Times New Roman" w:hAnsi="Times New Roman"/>
          <w:sz w:val="17"/>
          <w:szCs w:val="17"/>
          <w:b w:val="1"/>
          <w:bCs w:val="1"/>
          <w:color w:val="auto"/>
        </w:rPr>
        <w:t>Investing in these securities involves risks. Please carefully read the information under the headings “</w:t>
      </w:r>
      <w:r>
        <w:rPr>
          <w:rFonts w:ascii="Times New Roman" w:cs="Times New Roman" w:eastAsia="Times New Roman" w:hAnsi="Times New Roman"/>
          <w:sz w:val="17"/>
          <w:szCs w:val="17"/>
          <w:b w:val="1"/>
          <w:bCs w:val="1"/>
          <w:i w:val="1"/>
          <w:iCs w:val="1"/>
          <w:u w:val="single" w:color="auto"/>
          <w:color w:val="0000EE"/>
        </w:rPr>
        <w:t>Risk Factors</w:t>
      </w:r>
      <w:r>
        <w:rPr>
          <w:rFonts w:ascii="Times New Roman" w:cs="Times New Roman" w:eastAsia="Times New Roman" w:hAnsi="Times New Roman"/>
          <w:sz w:val="17"/>
          <w:szCs w:val="17"/>
          <w:b w:val="1"/>
          <w:bCs w:val="1"/>
          <w:color w:val="auto"/>
        </w:rPr>
        <w:t>“ beginning on page 4 of this prospectus and “</w:t>
      </w:r>
      <w:r>
        <w:rPr>
          <w:rFonts w:ascii="Times New Roman" w:cs="Times New Roman" w:eastAsia="Times New Roman" w:hAnsi="Times New Roman"/>
          <w:sz w:val="17"/>
          <w:szCs w:val="17"/>
          <w:b w:val="1"/>
          <w:bCs w:val="1"/>
          <w:i w:val="1"/>
          <w:iCs w:val="1"/>
          <w:color w:val="auto"/>
        </w:rPr>
        <w:t>Item 1A – Risk Factors</w:t>
      </w:r>
      <w:r>
        <w:rPr>
          <w:rFonts w:ascii="Times New Roman" w:cs="Times New Roman" w:eastAsia="Times New Roman" w:hAnsi="Times New Roman"/>
          <w:sz w:val="17"/>
          <w:szCs w:val="17"/>
          <w:b w:val="1"/>
          <w:bCs w:val="1"/>
          <w:color w:val="auto"/>
        </w:rPr>
        <w:t>” of our most recent Annual Report on Form 10-K and any Quarterly Report on Form 10-Q filed subsequently to such Form 10-K that is incorporated by reference in this prospectus before you invest in our securities.</w:t>
      </w:r>
    </w:p>
    <w:p>
      <w:pPr>
        <w:spacing w:after="0" w:line="147" w:lineRule="exact"/>
        <w:rPr>
          <w:sz w:val="20"/>
          <w:szCs w:val="20"/>
          <w:color w:val="auto"/>
        </w:rPr>
      </w:pPr>
    </w:p>
    <w:p>
      <w:pPr>
        <w:ind w:left="1400" w:right="339" w:firstLine="339"/>
        <w:spacing w:after="0" w:line="318"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(the “SEC” or the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145415</wp:posOffset>
            </wp:positionV>
            <wp:extent cx="113474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36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1">
            <w:col w:w="10159"/>
          </w:cols>
          <w:pgMar w:left="300" w:top="38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580" w:type="dxa"/>
            <w:vAlign w:val="bottom"/>
            <w:gridSpan w:val="2"/>
          </w:tcPr>
          <w:p>
            <w:pPr>
              <w:jc w:val="right"/>
              <w:ind w:right="3391"/>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290"/>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Page</w:t>
            </w:r>
          </w:p>
        </w:tc>
      </w:tr>
      <w:tr>
        <w:trPr>
          <w:trHeight w:val="177"/>
        </w:trPr>
        <w:tc>
          <w:tcPr>
            <w:tcW w:w="286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5360" w:type="dxa"/>
            <w:vAlign w:val="bottom"/>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146"/>
        </w:trPr>
        <w:tc>
          <w:tcPr>
            <w:tcW w:w="1200" w:type="dxa"/>
            <w:vAlign w:val="bottom"/>
            <w:tcBorders>
              <w:top w:val="single" w:sz="8" w:color="0000EE"/>
              <w:bottom w:val="single" w:sz="8" w:color="0000EE"/>
            </w:tcBorders>
            <w:gridSpan w:val="7"/>
          </w:tcPr>
          <w:p>
            <w:pPr>
              <w:spacing w:after="0" w:line="146" w:lineRule="exact"/>
              <w:rPr>
                <w:sz w:val="20"/>
                <w:szCs w:val="20"/>
                <w:color w:val="auto"/>
              </w:rPr>
            </w:pPr>
            <w:r>
              <w:rPr>
                <w:rFonts w:ascii="Times New Roman" w:cs="Times New Roman" w:eastAsia="Times New Roman" w:hAnsi="Times New Roman"/>
                <w:sz w:val="14"/>
                <w:szCs w:val="14"/>
                <w:color w:val="0000EE"/>
                <w:w w:val="99"/>
              </w:rPr>
              <w:t>Prospectus Summary</w:t>
            </w:r>
          </w:p>
        </w:tc>
        <w:tc>
          <w:tcPr>
            <w:tcW w:w="20" w:type="dxa"/>
            <w:vAlign w:val="bottom"/>
            <w:tcBorders>
              <w:top w:val="single" w:sz="8" w:color="0000EE"/>
            </w:tcBorders>
          </w:tcPr>
          <w:p>
            <w:pPr>
              <w:spacing w:after="0"/>
              <w:rPr>
                <w:sz w:val="12"/>
                <w:szCs w:val="12"/>
                <w:color w:val="auto"/>
              </w:rPr>
            </w:pPr>
          </w:p>
        </w:tc>
        <w:tc>
          <w:tcPr>
            <w:tcW w:w="1640" w:type="dxa"/>
            <w:vAlign w:val="bottom"/>
            <w:gridSpan w:val="7"/>
          </w:tcPr>
          <w:p>
            <w:pPr>
              <w:spacing w:after="0"/>
              <w:rPr>
                <w:sz w:val="12"/>
                <w:szCs w:val="12"/>
                <w:color w:val="auto"/>
              </w:rPr>
            </w:pP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w:t>
            </w:r>
          </w:p>
        </w:tc>
      </w:tr>
      <w:tr>
        <w:trPr>
          <w:trHeight w:val="146"/>
        </w:trPr>
        <w:tc>
          <w:tcPr>
            <w:tcW w:w="2860" w:type="dxa"/>
            <w:vAlign w:val="bottom"/>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Risk Factors</w:t>
            </w: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r>
      <w:tr>
        <w:trPr>
          <w:trHeight w:val="146"/>
        </w:trPr>
        <w:tc>
          <w:tcPr>
            <w:tcW w:w="1640" w:type="dxa"/>
            <w:vAlign w:val="bottom"/>
            <w:tcBorders>
              <w:bottom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w w:val="98"/>
              </w:rPr>
              <w:t>Forward-Looking Statements</w:t>
            </w:r>
          </w:p>
        </w:tc>
        <w:tc>
          <w:tcPr>
            <w:tcW w:w="1220" w:type="dxa"/>
            <w:vAlign w:val="bottom"/>
            <w:gridSpan w:val="3"/>
          </w:tcPr>
          <w:p>
            <w:pPr>
              <w:spacing w:after="0"/>
              <w:rPr>
                <w:sz w:val="12"/>
                <w:szCs w:val="12"/>
                <w:color w:val="auto"/>
              </w:rPr>
            </w:pP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6</w:t>
            </w:r>
          </w:p>
        </w:tc>
      </w:tr>
      <w:tr>
        <w:trPr>
          <w:trHeight w:val="146"/>
        </w:trPr>
        <w:tc>
          <w:tcPr>
            <w:tcW w:w="2860" w:type="dxa"/>
            <w:vAlign w:val="bottom"/>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r>
      <w:tr>
        <w:trPr>
          <w:trHeight w:val="146"/>
        </w:trPr>
        <w:tc>
          <w:tcPr>
            <w:tcW w:w="2860" w:type="dxa"/>
            <w:vAlign w:val="bottom"/>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8</w:t>
            </w:r>
          </w:p>
        </w:tc>
      </w:tr>
      <w:tr>
        <w:trPr>
          <w:trHeight w:val="146"/>
        </w:trPr>
        <w:tc>
          <w:tcPr>
            <w:tcW w:w="1180" w:type="dxa"/>
            <w:vAlign w:val="bottom"/>
            <w:tcBorders>
              <w:top w:val="single" w:sz="8" w:color="0000EE"/>
              <w:bottom w:val="single" w:sz="8" w:color="0000EE"/>
            </w:tcBorders>
            <w:gridSpan w:val="6"/>
          </w:tcPr>
          <w:p>
            <w:pPr>
              <w:spacing w:after="0" w:line="146" w:lineRule="exact"/>
              <w:rPr>
                <w:sz w:val="20"/>
                <w:szCs w:val="20"/>
                <w:color w:val="auto"/>
              </w:rPr>
            </w:pPr>
            <w:r>
              <w:rPr>
                <w:rFonts w:ascii="Times New Roman" w:cs="Times New Roman" w:eastAsia="Times New Roman" w:hAnsi="Times New Roman"/>
                <w:sz w:val="14"/>
                <w:szCs w:val="14"/>
                <w:color w:val="0000EE"/>
                <w:w w:val="98"/>
              </w:rPr>
              <w:t>The DTR acquisition</w:t>
            </w:r>
          </w:p>
        </w:tc>
        <w:tc>
          <w:tcPr>
            <w:tcW w:w="400" w:type="dxa"/>
            <w:vAlign w:val="bottom"/>
            <w:tcBorders>
              <w:top w:val="single" w:sz="8" w:color="0000EE"/>
            </w:tcBorders>
            <w:gridSpan w:val="5"/>
          </w:tcPr>
          <w:p>
            <w:pPr>
              <w:spacing w:after="0"/>
              <w:rPr>
                <w:sz w:val="12"/>
                <w:szCs w:val="12"/>
                <w:color w:val="auto"/>
              </w:rPr>
            </w:pPr>
          </w:p>
        </w:tc>
        <w:tc>
          <w:tcPr>
            <w:tcW w:w="1280" w:type="dxa"/>
            <w:vAlign w:val="bottom"/>
            <w:gridSpan w:val="4"/>
          </w:tcPr>
          <w:p>
            <w:pPr>
              <w:spacing w:after="0"/>
              <w:rPr>
                <w:sz w:val="12"/>
                <w:szCs w:val="12"/>
                <w:color w:val="auto"/>
              </w:rPr>
            </w:pP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8</w:t>
            </w:r>
          </w:p>
        </w:tc>
      </w:tr>
      <w:tr>
        <w:trPr>
          <w:trHeight w:val="146"/>
        </w:trPr>
        <w:tc>
          <w:tcPr>
            <w:tcW w:w="2860" w:type="dxa"/>
            <w:vAlign w:val="bottom"/>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Determination of Offering Price</w:t>
            </w: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11</w:t>
            </w:r>
          </w:p>
        </w:tc>
      </w:tr>
      <w:tr>
        <w:trPr>
          <w:trHeight w:val="146"/>
        </w:trPr>
        <w:tc>
          <w:tcPr>
            <w:tcW w:w="1160" w:type="dxa"/>
            <w:vAlign w:val="bottom"/>
            <w:tcBorders>
              <w:top w:val="single" w:sz="8" w:color="0000EE"/>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4"/>
                <w:szCs w:val="14"/>
                <w:color w:val="0000EE"/>
                <w:w w:val="97"/>
              </w:rPr>
              <w:t>Selling Stockholders</w:t>
            </w:r>
          </w:p>
        </w:tc>
        <w:tc>
          <w:tcPr>
            <w:tcW w:w="620" w:type="dxa"/>
            <w:vAlign w:val="bottom"/>
            <w:tcBorders>
              <w:top w:val="single" w:sz="8" w:color="0000EE"/>
            </w:tcBorders>
            <w:gridSpan w:val="8"/>
          </w:tcPr>
          <w:p>
            <w:pPr>
              <w:spacing w:after="0"/>
              <w:rPr>
                <w:sz w:val="12"/>
                <w:szCs w:val="12"/>
                <w:color w:val="auto"/>
              </w:rPr>
            </w:pPr>
          </w:p>
        </w:tc>
        <w:tc>
          <w:tcPr>
            <w:tcW w:w="1080" w:type="dxa"/>
            <w:vAlign w:val="bottom"/>
            <w:gridSpan w:val="2"/>
          </w:tcPr>
          <w:p>
            <w:pPr>
              <w:spacing w:after="0"/>
              <w:rPr>
                <w:sz w:val="12"/>
                <w:szCs w:val="12"/>
                <w:color w:val="auto"/>
              </w:rPr>
            </w:pP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11</w:t>
            </w:r>
          </w:p>
        </w:tc>
      </w:tr>
      <w:tr>
        <w:trPr>
          <w:trHeight w:val="146"/>
        </w:trPr>
        <w:tc>
          <w:tcPr>
            <w:tcW w:w="2860" w:type="dxa"/>
            <w:vAlign w:val="bottom"/>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Plan of Distribution</w:t>
            </w: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15</w:t>
            </w:r>
          </w:p>
        </w:tc>
      </w:tr>
      <w:tr>
        <w:trPr>
          <w:trHeight w:val="20"/>
        </w:trPr>
        <w:tc>
          <w:tcPr>
            <w:tcW w:w="4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r>
      <w:tr>
        <w:trPr>
          <w:trHeight w:val="146"/>
        </w:trPr>
        <w:tc>
          <w:tcPr>
            <w:tcW w:w="1380" w:type="dxa"/>
            <w:vAlign w:val="bottom"/>
            <w:tcBorders>
              <w:bottom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w w:val="96"/>
              </w:rPr>
              <w:t>Validity of the Securities</w:t>
            </w:r>
          </w:p>
        </w:tc>
        <w:tc>
          <w:tcPr>
            <w:tcW w:w="1480" w:type="dxa"/>
            <w:vAlign w:val="bottom"/>
            <w:gridSpan w:val="6"/>
          </w:tcPr>
          <w:p>
            <w:pPr>
              <w:spacing w:after="0"/>
              <w:rPr>
                <w:sz w:val="12"/>
                <w:szCs w:val="12"/>
                <w:color w:val="auto"/>
              </w:rPr>
            </w:pP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17</w:t>
            </w:r>
          </w:p>
        </w:tc>
      </w:tr>
      <w:tr>
        <w:trPr>
          <w:trHeight w:val="146"/>
        </w:trPr>
        <w:tc>
          <w:tcPr>
            <w:tcW w:w="2860" w:type="dxa"/>
            <w:vAlign w:val="bottom"/>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Experts</w:t>
            </w: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17</w:t>
            </w:r>
          </w:p>
        </w:tc>
      </w:tr>
      <w:tr>
        <w:trPr>
          <w:trHeight w:val="20"/>
        </w:trPr>
        <w:tc>
          <w:tcPr>
            <w:tcW w:w="420" w:type="dxa"/>
            <w:vAlign w:val="bottom"/>
            <w:shd w:val="clear" w:color="auto" w:fill="0000EE"/>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r>
      <w:tr>
        <w:trPr>
          <w:trHeight w:val="146"/>
        </w:trPr>
        <w:tc>
          <w:tcPr>
            <w:tcW w:w="2220" w:type="dxa"/>
            <w:vAlign w:val="bottom"/>
            <w:tcBorders>
              <w:bottom w:val="single" w:sz="8" w:color="0000EE"/>
            </w:tcBorders>
            <w:gridSpan w:val="14"/>
          </w:tcPr>
          <w:p>
            <w:pPr>
              <w:spacing w:after="0" w:line="146"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640" w:type="dxa"/>
            <w:vAlign w:val="bottom"/>
          </w:tcPr>
          <w:p>
            <w:pPr>
              <w:spacing w:after="0"/>
              <w:rPr>
                <w:sz w:val="12"/>
                <w:szCs w:val="12"/>
                <w:color w:val="auto"/>
              </w:rPr>
            </w:pP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17</w:t>
            </w:r>
          </w:p>
        </w:tc>
      </w:tr>
      <w:tr>
        <w:trPr>
          <w:trHeight w:val="146"/>
        </w:trPr>
        <w:tc>
          <w:tcPr>
            <w:tcW w:w="2860" w:type="dxa"/>
            <w:vAlign w:val="bottom"/>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55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18</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3" w:lineRule="exact"/>
        <w:rPr>
          <w:sz w:val="20"/>
          <w:szCs w:val="20"/>
          <w:color w:val="auto"/>
        </w:rPr>
      </w:pPr>
    </w:p>
    <w:p>
      <w:pPr>
        <w:ind w:left="1400" w:right="619" w:firstLine="339"/>
        <w:spacing w:after="0" w:line="278"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Commission to register the securities described in this prospectus for resale by the Selling Stockholders who may, from time to time, sell the securities described in this prospectus.</w:t>
      </w:r>
    </w:p>
    <w:p>
      <w:pPr>
        <w:spacing w:after="0" w:line="126" w:lineRule="exact"/>
        <w:rPr>
          <w:sz w:val="20"/>
          <w:szCs w:val="20"/>
          <w:color w:val="auto"/>
        </w:rPr>
      </w:pPr>
    </w:p>
    <w:p>
      <w:pPr>
        <w:ind w:left="1400" w:right="479" w:firstLine="339"/>
        <w:spacing w:after="0" w:line="262"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that may be offered. A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1400" w:right="359" w:firstLine="339"/>
        <w:spacing w:after="0" w:line="252" w:lineRule="auto"/>
        <w:rPr>
          <w:sz w:val="20"/>
          <w:szCs w:val="20"/>
          <w:color w:val="auto"/>
        </w:rPr>
      </w:pPr>
      <w:r>
        <w:rPr>
          <w:rFonts w:ascii="Times New Roman" w:cs="Times New Roman" w:eastAsia="Times New Roman" w:hAnsi="Times New Roman"/>
          <w:sz w:val="14"/>
          <w:szCs w:val="14"/>
          <w:color w:val="auto"/>
        </w:rPr>
        <w:t>Neither we nor the Selling Stockholders have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9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162560</wp:posOffset>
            </wp:positionV>
            <wp:extent cx="5389245" cy="4795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89245" cy="4795520"/>
                    </a:xfrm>
                    <a:prstGeom prst="rect">
                      <a:avLst/>
                    </a:prstGeom>
                    <a:noFill/>
                  </pic:spPr>
                </pic:pic>
              </a:graphicData>
            </a:graphic>
          </wp:anchor>
        </w:drawing>
      </w:r>
    </w:p>
    <w:p>
      <w:pPr>
        <w:spacing w:after="0" w:line="3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1" w:lineRule="exact"/>
        <w:rPr>
          <w:sz w:val="20"/>
          <w:szCs w:val="20"/>
          <w:color w:val="auto"/>
        </w:rPr>
      </w:pPr>
    </w:p>
    <w:p>
      <w:pPr>
        <w:ind w:left="1540" w:right="439" w:firstLine="328"/>
        <w:spacing w:after="0" w:line="273" w:lineRule="auto"/>
        <w:rPr>
          <w:sz w:val="20"/>
          <w:szCs w:val="20"/>
          <w:color w:val="auto"/>
        </w:rPr>
      </w:pPr>
      <w:r>
        <w:rPr>
          <w:rFonts w:ascii="Times New Roman" w:cs="Times New Roman" w:eastAsia="Times New Roman" w:hAnsi="Times New Roman"/>
          <w:sz w:val="13"/>
          <w:szCs w:val="13"/>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w:t>
      </w:r>
    </w:p>
    <w:p>
      <w:pPr>
        <w:spacing w:after="0" w:line="2" w:lineRule="exact"/>
        <w:rPr>
          <w:sz w:val="20"/>
          <w:szCs w:val="20"/>
          <w:color w:val="auto"/>
        </w:rPr>
      </w:pPr>
    </w:p>
    <w:p>
      <w:pPr>
        <w:jc w:val="both"/>
        <w:ind w:left="1540" w:right="559"/>
        <w:spacing w:after="0" w:line="251" w:lineRule="auto"/>
        <w:rPr>
          <w:sz w:val="20"/>
          <w:szCs w:val="20"/>
          <w:color w:val="auto"/>
        </w:rPr>
      </w:pPr>
      <w:r>
        <w:rPr>
          <w:rFonts w:ascii="Times New Roman" w:cs="Times New Roman" w:eastAsia="Times New Roman" w:hAnsi="Times New Roman"/>
          <w:sz w:val="14"/>
          <w:szCs w:val="14"/>
          <w:i w:val="1"/>
          <w:iCs w:val="1"/>
          <w:color w:val="auto"/>
        </w:rPr>
        <w:t>Form 10-K and our Quarterly Reports on Form 10-Q filed subsequently to such Form 10-K. Unless the context indicates otherwise, references in this prospectus to “Bakkt, Inc.,” “Bakkt,” the “Company,” “we,” “our” and “us” refer, collectively, to Bakkt, Inc., a Delaware corporation, and its consolidated subsidiaries taken as a whole.</w:t>
      </w:r>
    </w:p>
    <w:p>
      <w:pPr>
        <w:spacing w:after="0" w:line="2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0" w:lineRule="exact"/>
        <w:rPr>
          <w:sz w:val="20"/>
          <w:szCs w:val="20"/>
          <w:color w:val="auto"/>
        </w:rPr>
      </w:pPr>
    </w:p>
    <w:p>
      <w:pPr>
        <w:ind w:left="1540" w:right="899" w:firstLine="328"/>
        <w:spacing w:after="0" w:line="278" w:lineRule="auto"/>
        <w:rPr>
          <w:sz w:val="20"/>
          <w:szCs w:val="20"/>
          <w:color w:val="auto"/>
        </w:rPr>
      </w:pPr>
      <w:r>
        <w:rPr>
          <w:rFonts w:ascii="Times New Roman" w:cs="Times New Roman" w:eastAsia="Times New Roman" w:hAnsi="Times New Roman"/>
          <w:sz w:val="14"/>
          <w:szCs w:val="14"/>
          <w:color w:val="auto"/>
        </w:rPr>
        <w:t>Founded in 2018, Bakkt builds next-generation digital financial infrastructure that enables institutional entry in Bitcoin, tokenization, stablecoin payments and AI-driven finance.</w:t>
      </w:r>
    </w:p>
    <w:p>
      <w:pPr>
        <w:spacing w:after="0" w:line="1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Our solutions include:</w:t>
      </w:r>
    </w:p>
    <w:p>
      <w:pPr>
        <w:spacing w:after="0" w:line="97" w:lineRule="exact"/>
        <w:rPr>
          <w:sz w:val="20"/>
          <w:szCs w:val="20"/>
          <w:color w:val="auto"/>
        </w:rPr>
      </w:pPr>
    </w:p>
    <w:p>
      <w:pPr>
        <w:ind w:left="2260" w:right="679" w:hanging="309"/>
        <w:spacing w:after="0" w:line="321" w:lineRule="auto"/>
        <w:tabs>
          <w:tab w:leader="none" w:pos="22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Bakkt Markets. </w:t>
      </w:r>
      <w:r>
        <w:rPr>
          <w:rFonts w:ascii="Times New Roman" w:cs="Times New Roman" w:eastAsia="Times New Roman" w:hAnsi="Times New Roman"/>
          <w:sz w:val="13"/>
          <w:szCs w:val="13"/>
          <w:color w:val="auto"/>
        </w:rPr>
        <w:t>Bakkt Markets enables institutions to launch secure, compliant, and advanced digital asset brokerage and trading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capabilities through a plug-and-play platform that provides global digital asset capabilities without needing to build in-house.</w:t>
      </w:r>
    </w:p>
    <w:p>
      <w:pPr>
        <w:spacing w:after="0" w:line="26" w:lineRule="exact"/>
        <w:rPr>
          <w:rFonts w:ascii="Times New Roman" w:cs="Times New Roman" w:eastAsia="Times New Roman" w:hAnsi="Times New Roman"/>
          <w:sz w:val="13"/>
          <w:szCs w:val="13"/>
          <w:color w:val="auto"/>
        </w:rPr>
      </w:pPr>
    </w:p>
    <w:p>
      <w:pPr>
        <w:ind w:left="2260" w:right="659" w:hanging="309"/>
        <w:spacing w:after="0" w:line="281" w:lineRule="auto"/>
        <w:tabs>
          <w:tab w:leader="none" w:pos="2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Bakkt Agent. </w:t>
      </w:r>
      <w:r>
        <w:rPr>
          <w:rFonts w:ascii="Times New Roman" w:cs="Times New Roman" w:eastAsia="Times New Roman" w:hAnsi="Times New Roman"/>
          <w:sz w:val="14"/>
          <w:szCs w:val="14"/>
          <w:color w:val="auto"/>
        </w:rPr>
        <w:t>Bakkt Agent uses an intelligent agent swarm to provide institutions with instant access to Bakkt’s key infrastructure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layer, including onboarding, virtual accounts, stablecoin rails, and global payouts.</w:t>
      </w:r>
    </w:p>
    <w:p>
      <w:pPr>
        <w:spacing w:after="0" w:line="48" w:lineRule="exact"/>
        <w:rPr>
          <w:rFonts w:ascii="Times New Roman" w:cs="Times New Roman" w:eastAsia="Times New Roman" w:hAnsi="Times New Roman"/>
          <w:sz w:val="14"/>
          <w:szCs w:val="14"/>
          <w:color w:val="auto"/>
        </w:rPr>
      </w:pPr>
    </w:p>
    <w:p>
      <w:pPr>
        <w:ind w:left="2260" w:right="499" w:hanging="309"/>
        <w:spacing w:after="0" w:line="264" w:lineRule="auto"/>
        <w:tabs>
          <w:tab w:leader="none" w:pos="2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Bakkt Global. </w:t>
      </w:r>
      <w:r>
        <w:rPr>
          <w:rFonts w:ascii="Times New Roman" w:cs="Times New Roman" w:eastAsia="Times New Roman" w:hAnsi="Times New Roman"/>
          <w:sz w:val="14"/>
          <w:szCs w:val="14"/>
          <w:color w:val="auto"/>
        </w:rPr>
        <w:t>Bakkt Global enables geographic diversification into high-growth, liquid markets with high barriers to entry.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instance, Bakkt has made a significant investment in Bitcoin Japan Corporation (listed on the Tokyo Stock Exchange (TSE: 8105)) to expand institutional access in Japan.</w:t>
      </w:r>
    </w:p>
    <w:p>
      <w:pPr>
        <w:spacing w:after="0" w:line="2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90" w:lineRule="exact"/>
        <w:rPr>
          <w:sz w:val="20"/>
          <w:szCs w:val="20"/>
          <w:color w:val="auto"/>
        </w:rPr>
      </w:pPr>
    </w:p>
    <w:p>
      <w:pPr>
        <w:ind w:left="1540" w:right="459" w:firstLine="328"/>
        <w:spacing w:after="0" w:line="283" w:lineRule="auto"/>
        <w:rPr>
          <w:sz w:val="20"/>
          <w:szCs w:val="20"/>
          <w:color w:val="auto"/>
        </w:rPr>
      </w:pPr>
      <w:r>
        <w:rPr>
          <w:rFonts w:ascii="Times New Roman" w:cs="Times New Roman" w:eastAsia="Times New Roman" w:hAnsi="Times New Roman"/>
          <w:sz w:val="13"/>
          <w:szCs w:val="13"/>
          <w:color w:val="auto"/>
        </w:rPr>
        <w:t>Investing in our securities involves a high degree of risk. You should carefully consider the risks and uncertainties described under the heading “Risk Factors” in this prospectus, together with the other information contained or incorporated by reference in this prospectus, before making an investment decision. The occurrence of any of these risks could materially and adversely affect our business, financial condition, results of operations and prospects, and could cause the trading price of our securities to decline, resulting in a loss of all or part of your investment.</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0" w:lineRule="exact"/>
        <w:rPr>
          <w:sz w:val="20"/>
          <w:szCs w:val="20"/>
          <w:color w:val="auto"/>
        </w:rPr>
      </w:pPr>
    </w:p>
    <w:p>
      <w:pPr>
        <w:ind w:left="1540" w:right="439" w:firstLine="328"/>
        <w:spacing w:after="0" w:line="292" w:lineRule="auto"/>
        <w:rPr>
          <w:sz w:val="20"/>
          <w:szCs w:val="20"/>
          <w:color w:val="auto"/>
        </w:rPr>
      </w:pPr>
      <w:r>
        <w:rPr>
          <w:rFonts w:ascii="Times New Roman" w:cs="Times New Roman" w:eastAsia="Times New Roman" w:hAnsi="Times New Roman"/>
          <w:sz w:val="13"/>
          <w:szCs w:val="13"/>
          <w:color w:val="auto"/>
        </w:rPr>
        <w:t xml:space="preserve">Our principal executive offices are located at 3280 Peachtree Road, Suites 07-128, 07-130 &amp; 07-132, Atlanta, Georgia 30305. Our telephone number is (332) 203-3017. Our website is </w:t>
      </w:r>
      <w:r>
        <w:rPr>
          <w:rFonts w:ascii="Times New Roman" w:cs="Times New Roman" w:eastAsia="Times New Roman" w:hAnsi="Times New Roman"/>
          <w:sz w:val="13"/>
          <w:szCs w:val="13"/>
          <w:i w:val="1"/>
          <w:iCs w:val="1"/>
          <w:color w:val="auto"/>
        </w:rPr>
        <w:t>https://www.bakkt.com</w:t>
      </w:r>
      <w:r>
        <w:rPr>
          <w:rFonts w:ascii="Times New Roman" w:cs="Times New Roman" w:eastAsia="Times New Roman" w:hAnsi="Times New Roman"/>
          <w:sz w:val="13"/>
          <w:szCs w:val="13"/>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0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DTR Acquisition</w:t>
      </w:r>
    </w:p>
    <w:p>
      <w:pPr>
        <w:spacing w:after="0" w:line="90" w:lineRule="exact"/>
        <w:rPr>
          <w:sz w:val="20"/>
          <w:szCs w:val="20"/>
          <w:color w:val="auto"/>
        </w:rPr>
      </w:pPr>
    </w:p>
    <w:p>
      <w:pPr>
        <w:ind w:left="1540" w:right="479" w:firstLine="328"/>
        <w:spacing w:after="0" w:line="262" w:lineRule="auto"/>
        <w:rPr>
          <w:sz w:val="20"/>
          <w:szCs w:val="20"/>
          <w:color w:val="auto"/>
        </w:rPr>
      </w:pPr>
      <w:r>
        <w:rPr>
          <w:rFonts w:ascii="Times New Roman" w:cs="Times New Roman" w:eastAsia="Times New Roman" w:hAnsi="Times New Roman"/>
          <w:sz w:val="14"/>
          <w:szCs w:val="14"/>
          <w:color w:val="auto"/>
        </w:rPr>
        <w:t>On January 11, 2026, the Company entered into the Purchase Agreement with Opco, DTR and Akshay Naheta. Pursuant to the Purchase Agreement, the Company agreed to acquire 100% of the equity interests of DTR (the “DTR Acquisition”). The DTR Acquisition was approved by the Company’s stockholders on April 17, 2026. The DTR Acquisition was completed on April 30, 2026.</w:t>
      </w:r>
    </w:p>
    <w:p>
      <w:pPr>
        <w:spacing w:after="0" w:line="2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2"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162560</wp:posOffset>
            </wp:positionV>
            <wp:extent cx="5389245" cy="4722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89245" cy="4722495"/>
                    </a:xfrm>
                    <a:prstGeom prst="rect">
                      <a:avLst/>
                    </a:prstGeom>
                    <a:noFill/>
                  </pic:spPr>
                </pic:pic>
              </a:graphicData>
            </a:graphic>
          </wp:anchor>
        </w:drawing>
      </w:r>
    </w:p>
    <w:p>
      <w:pPr>
        <w:spacing w:after="0" w:line="361" w:lineRule="exact"/>
        <w:rPr>
          <w:sz w:val="20"/>
          <w:szCs w:val="20"/>
          <w:color w:val="auto"/>
        </w:rPr>
      </w:pPr>
    </w:p>
    <w:p>
      <w:pPr>
        <w:ind w:left="1540" w:right="499" w:firstLine="328"/>
        <w:spacing w:after="0" w:line="255" w:lineRule="auto"/>
        <w:rPr>
          <w:sz w:val="20"/>
          <w:szCs w:val="20"/>
          <w:color w:val="auto"/>
        </w:rPr>
      </w:pPr>
      <w:r>
        <w:rPr>
          <w:rFonts w:ascii="Times New Roman" w:cs="Times New Roman" w:eastAsia="Times New Roman" w:hAnsi="Times New Roman"/>
          <w:sz w:val="14"/>
          <w:szCs w:val="14"/>
          <w:color w:val="auto"/>
        </w:rPr>
        <w:t>In connection with the Closing, the Company issued to Akshay Naheta and the other beneficial owners of DTR (collectively, the “DTR Holders”) an aggregate of 11,316,775 shares of Class A Common Stock, calculated as 31.5% of the aggregate number of shares of Class A Common Stock outstanding immediately prior to the Closing (on an as-converted basis, excluding certain warrants), subject to a downward adjustment of 196,532 shares. Up to 725,592 additional shares of Class A Common Stock are issuable as additional Consideration Shares upon the exercise of certain outstanding warrants.</w:t>
      </w:r>
    </w:p>
    <w:p>
      <w:pPr>
        <w:spacing w:after="0" w:line="142" w:lineRule="exact"/>
        <w:rPr>
          <w:sz w:val="20"/>
          <w:szCs w:val="20"/>
          <w:color w:val="auto"/>
        </w:rPr>
      </w:pPr>
    </w:p>
    <w:p>
      <w:pPr>
        <w:ind w:left="1540" w:right="479" w:firstLine="328"/>
        <w:spacing w:after="0" w:line="255" w:lineRule="auto"/>
        <w:rPr>
          <w:sz w:val="20"/>
          <w:szCs w:val="20"/>
          <w:color w:val="auto"/>
        </w:rPr>
      </w:pPr>
      <w:r>
        <w:rPr>
          <w:rFonts w:ascii="Times New Roman" w:cs="Times New Roman" w:eastAsia="Times New Roman" w:hAnsi="Times New Roman"/>
          <w:sz w:val="14"/>
          <w:szCs w:val="14"/>
          <w:color w:val="auto"/>
        </w:rPr>
        <w:t>Mr. Naheta, our Chief Executive Officer and a member of our Board of Directors, is a Selling Stockholder and a party to the DTR Acquisition, is a significant existing stockholder of the Company. Mr. Naheta recused himself from the review and approval of the DTR Acquisition, which was negotiated and approved by a special committee of independent and disinterested directors and subsequently approved by the full board of directors. Upon completion of the DTR Acquisition, Mr. Naheta beneficially owned 11,522,681 shares of Class A Common Stock of the Company, approximately 22.3% of the Company’s securities.</w:t>
      </w:r>
    </w:p>
    <w:p>
      <w:pPr>
        <w:spacing w:after="0" w:line="142" w:lineRule="exact"/>
        <w:rPr>
          <w:sz w:val="20"/>
          <w:szCs w:val="20"/>
          <w:color w:val="auto"/>
        </w:rPr>
      </w:pPr>
    </w:p>
    <w:p>
      <w:pPr>
        <w:ind w:left="1540" w:right="539" w:firstLine="328"/>
        <w:spacing w:after="0" w:line="292" w:lineRule="auto"/>
        <w:rPr>
          <w:sz w:val="20"/>
          <w:szCs w:val="20"/>
          <w:color w:val="auto"/>
        </w:rPr>
      </w:pPr>
      <w:r>
        <w:rPr>
          <w:rFonts w:ascii="Times New Roman" w:cs="Times New Roman" w:eastAsia="Times New Roman" w:hAnsi="Times New Roman"/>
          <w:sz w:val="13"/>
          <w:szCs w:val="13"/>
          <w:color w:val="auto"/>
        </w:rPr>
        <w:t>Mr. Naheta is not selling shares on behalf of the Company and will determine, in his sole discretion, whether, when and how to sell any shares covered by this prospectus. The Company will not participate in any such sales. We are registering the securities held by Mr. Naheta solely to satisfy contractual registration rights that we have granted to certain of the Selling Stockholders in connection with the DTR Acquisition.</w:t>
      </w:r>
    </w:p>
    <w:p>
      <w:pPr>
        <w:spacing w:after="0" w:line="119" w:lineRule="exact"/>
        <w:rPr>
          <w:sz w:val="20"/>
          <w:szCs w:val="20"/>
          <w:color w:val="auto"/>
        </w:rPr>
      </w:pPr>
    </w:p>
    <w:p>
      <w:pPr>
        <w:ind w:left="1540" w:right="499" w:firstLine="328"/>
        <w:spacing w:after="0" w:line="262" w:lineRule="auto"/>
        <w:rPr>
          <w:sz w:val="20"/>
          <w:szCs w:val="20"/>
          <w:color w:val="auto"/>
        </w:rPr>
      </w:pPr>
      <w:r>
        <w:rPr>
          <w:rFonts w:ascii="Times New Roman" w:cs="Times New Roman" w:eastAsia="Times New Roman" w:hAnsi="Times New Roman"/>
          <w:sz w:val="14"/>
          <w:szCs w:val="14"/>
          <w:color w:val="auto"/>
        </w:rPr>
        <w:t>In connection with the DTR Acquisition, the Company entered into certain related agreements, including the Registration Rights Agreement providing for the registration of the resale of the Consideration Shares and certain other securities, as well as voting and support agreements with certain stockholders of the Company. See “</w:t>
      </w:r>
      <w:r>
        <w:rPr>
          <w:rFonts w:ascii="Times New Roman" w:cs="Times New Roman" w:eastAsia="Times New Roman" w:hAnsi="Times New Roman"/>
          <w:sz w:val="14"/>
          <w:szCs w:val="14"/>
          <w:i w:val="1"/>
          <w:iCs w:val="1"/>
          <w:u w:val="single" w:color="auto"/>
          <w:color w:val="auto"/>
        </w:rPr>
        <w:t>The DTR Acquisition</w:t>
      </w:r>
      <w:r>
        <w:rPr>
          <w:rFonts w:ascii="Times New Roman" w:cs="Times New Roman" w:eastAsia="Times New Roman" w:hAnsi="Times New Roman"/>
          <w:sz w:val="14"/>
          <w:szCs w:val="14"/>
          <w:color w:val="auto"/>
        </w:rPr>
        <w:t>” for additional information.</w:t>
      </w:r>
    </w:p>
    <w:p>
      <w:pPr>
        <w:spacing w:after="0" w:line="2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Gyzer Acquisition</w:t>
      </w:r>
    </w:p>
    <w:p>
      <w:pPr>
        <w:spacing w:after="0" w:line="90" w:lineRule="exact"/>
        <w:rPr>
          <w:sz w:val="20"/>
          <w:szCs w:val="20"/>
          <w:color w:val="auto"/>
        </w:rPr>
      </w:pPr>
    </w:p>
    <w:p>
      <w:pPr>
        <w:ind w:left="1540" w:right="499" w:firstLine="328"/>
        <w:spacing w:after="0" w:line="257" w:lineRule="auto"/>
        <w:rPr>
          <w:sz w:val="20"/>
          <w:szCs w:val="20"/>
          <w:color w:val="auto"/>
        </w:rPr>
      </w:pPr>
      <w:r>
        <w:rPr>
          <w:rFonts w:ascii="Times New Roman" w:cs="Times New Roman" w:eastAsia="Times New Roman" w:hAnsi="Times New Roman"/>
          <w:sz w:val="14"/>
          <w:szCs w:val="14"/>
          <w:color w:val="auto"/>
        </w:rPr>
        <w:t>In May 2026, the Company acquired all of the issued and outstanding shares of Gyzer Inc. (“Gyzer”). In connection with the acquisition, the Company issued shares of its Class A Common Stock and warrants to purchase its Class A Common Stock (“Gyzer Acquisition Warrants”) to Daniel Ishag, Gyzer’s founder and the Company’s Chief Commercial Officer, as consideration for the transaction. This prospectus relates to the resale of such shares. See “</w:t>
      </w:r>
      <w:r>
        <w:rPr>
          <w:rFonts w:ascii="Times New Roman" w:cs="Times New Roman" w:eastAsia="Times New Roman" w:hAnsi="Times New Roman"/>
          <w:sz w:val="14"/>
          <w:szCs w:val="14"/>
          <w:i w:val="1"/>
          <w:iCs w:val="1"/>
          <w:color w:val="auto"/>
        </w:rPr>
        <w:t>Gyzer Acquisition</w:t>
      </w:r>
      <w:r>
        <w:rPr>
          <w:rFonts w:ascii="Times New Roman" w:cs="Times New Roman" w:eastAsia="Times New Roman" w:hAnsi="Times New Roman"/>
          <w:sz w:val="14"/>
          <w:szCs w:val="14"/>
          <w:color w:val="auto"/>
        </w:rPr>
        <w:t>” for additional information.</w:t>
      </w:r>
    </w:p>
    <w:p>
      <w:pPr>
        <w:spacing w:after="0" w:line="2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Up-C Collapse</w:t>
      </w:r>
    </w:p>
    <w:p>
      <w:pPr>
        <w:spacing w:after="0" w:line="88" w:lineRule="exact"/>
        <w:rPr>
          <w:sz w:val="20"/>
          <w:szCs w:val="20"/>
          <w:color w:val="auto"/>
        </w:rPr>
      </w:pPr>
    </w:p>
    <w:p>
      <w:pPr>
        <w:ind w:left="1540" w:right="459"/>
        <w:spacing w:after="0" w:line="252" w:lineRule="auto"/>
        <w:rPr>
          <w:sz w:val="20"/>
          <w:szCs w:val="20"/>
          <w:color w:val="auto"/>
        </w:rPr>
      </w:pPr>
      <w:r>
        <w:rPr>
          <w:rFonts w:ascii="Times New Roman" w:cs="Times New Roman" w:eastAsia="Times New Roman" w:hAnsi="Times New Roman"/>
          <w:sz w:val="14"/>
          <w:szCs w:val="14"/>
          <w:b w:val="1"/>
          <w:bCs w:val="1"/>
          <w:color w:val="auto"/>
        </w:rPr>
        <w:t>On November 3, 2025, the Company completed a transaction to simplify its organizational structure (the “Up-C Collapse”), pursuant to which the Company eliminated its prior Up-C structure by acquiring outstanding equity interests in Bakkt Opco Holdings, LLC (“Opco”) held by non-controlling equity holders of Opco in exchange for shares of the Company’s Class A Common Stock. In connection with the Up-C Collapse, the Company issued shares of Class A Common Stock to such holders as consideration for the acquisition of their equity interests in Opco and entered into, and subsequently amended, agreements relating to its tax receivable and contribution arrangements to reflect the simplified structure. The offer and resale of certain of those shares of Class A Common Stock is being registered pursuant to this registration statement. Following the Up-C Collapse, the Company owns 100% of the equity interests in Opco. See “</w:t>
      </w:r>
      <w:r>
        <w:rPr>
          <w:rFonts w:ascii="Times New Roman" w:cs="Times New Roman" w:eastAsia="Times New Roman" w:hAnsi="Times New Roman"/>
          <w:sz w:val="14"/>
          <w:szCs w:val="14"/>
          <w:b w:val="1"/>
          <w:bCs w:val="1"/>
          <w:i w:val="1"/>
          <w:iCs w:val="1"/>
          <w:color w:val="auto"/>
        </w:rPr>
        <w:t>Up-C Collapse</w:t>
      </w:r>
      <w:r>
        <w:rPr>
          <w:rFonts w:ascii="Times New Roman" w:cs="Times New Roman" w:eastAsia="Times New Roman" w:hAnsi="Times New Roman"/>
          <w:sz w:val="14"/>
          <w:szCs w:val="14"/>
          <w:b w:val="1"/>
          <w:bCs w:val="1"/>
          <w:color w:val="auto"/>
        </w:rPr>
        <w:t>” for additional information. The Securities That May Be Offered</w:t>
      </w:r>
    </w:p>
    <w:p>
      <w:pPr>
        <w:spacing w:after="0" w:line="146" w:lineRule="exact"/>
        <w:rPr>
          <w:sz w:val="20"/>
          <w:szCs w:val="20"/>
          <w:color w:val="auto"/>
        </w:rPr>
      </w:pPr>
    </w:p>
    <w:p>
      <w:pPr>
        <w:ind w:left="1540" w:right="439" w:firstLine="328"/>
        <w:spacing w:after="0" w:line="255" w:lineRule="auto"/>
        <w:rPr>
          <w:sz w:val="20"/>
          <w:szCs w:val="20"/>
          <w:color w:val="auto"/>
        </w:rPr>
      </w:pPr>
      <w:r>
        <w:rPr>
          <w:rFonts w:ascii="Times New Roman" w:cs="Times New Roman" w:eastAsia="Times New Roman" w:hAnsi="Times New Roman"/>
          <w:sz w:val="14"/>
          <w:szCs w:val="14"/>
          <w:color w:val="auto"/>
        </w:rPr>
        <w:t>This prospectus relates solely to the resale of shares of Class A Common Stock by the Selling Stockholders and not to any offering of securities by the Company. We are not selling any securities under this prospectus and will not receive any proceeds from the resale of shares by the Selling Stockholders, although we may receive proceeds from the exercise of the warrants and to the extent any such warrants are exercised for cash. We have not entered into any arrangement or understanding with any Selling Stockholder or any other person regarding the distribution of the shares. All proceeds from such resales will be received by the Selling Stockholders for their own accounts.</w:t>
      </w:r>
    </w:p>
    <w:p>
      <w:pPr>
        <w:spacing w:after="0" w:line="2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2"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162560</wp:posOffset>
            </wp:positionV>
            <wp:extent cx="5389245" cy="1344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89245" cy="1344930"/>
                    </a:xfrm>
                    <a:prstGeom prst="rect">
                      <a:avLst/>
                    </a:prstGeom>
                    <a:noFill/>
                  </pic:spPr>
                </pic:pic>
              </a:graphicData>
            </a:graphic>
          </wp:anchor>
        </w:drawing>
      </w:r>
    </w:p>
    <w:p>
      <w:pPr>
        <w:spacing w:after="0" w:line="361" w:lineRule="exact"/>
        <w:rPr>
          <w:sz w:val="20"/>
          <w:szCs w:val="20"/>
          <w:color w:val="auto"/>
        </w:rPr>
      </w:pPr>
    </w:p>
    <w:p>
      <w:pPr>
        <w:ind w:left="1540" w:right="439" w:firstLine="328"/>
        <w:spacing w:after="0" w:line="262" w:lineRule="auto"/>
        <w:rPr>
          <w:sz w:val="20"/>
          <w:szCs w:val="20"/>
          <w:color w:val="auto"/>
        </w:rPr>
      </w:pPr>
      <w:r>
        <w:rPr>
          <w:rFonts w:ascii="Times New Roman" w:cs="Times New Roman" w:eastAsia="Times New Roman" w:hAnsi="Times New Roman"/>
          <w:sz w:val="14"/>
          <w:szCs w:val="14"/>
          <w:color w:val="auto"/>
        </w:rPr>
        <w:t>The Selling Stockholders may offer up to 21,010,640 shares of our Class A Common Stock. As at April 30, 2026, there are 47,866,956 shares of Class A Common Stock outstanding. After giving effect to the issuance of the maximum number of shares of Class A Common Stock offered hereunder, 48,578,316 shares of Class A Common Stock would be outstanding.</w:t>
      </w:r>
    </w:p>
    <w:p>
      <w:pPr>
        <w:spacing w:after="0" w:line="138" w:lineRule="exact"/>
        <w:rPr>
          <w:sz w:val="20"/>
          <w:szCs w:val="20"/>
          <w:color w:val="auto"/>
        </w:rPr>
      </w:pPr>
    </w:p>
    <w:p>
      <w:pPr>
        <w:ind w:left="1540" w:right="479" w:firstLine="328"/>
        <w:spacing w:after="0" w:line="278" w:lineRule="auto"/>
        <w:rPr>
          <w:sz w:val="20"/>
          <w:szCs w:val="20"/>
          <w:color w:val="auto"/>
        </w:rPr>
      </w:pPr>
      <w:r>
        <w:rPr>
          <w:rFonts w:ascii="Times New Roman" w:cs="Times New Roman" w:eastAsia="Times New Roman" w:hAnsi="Times New Roman"/>
          <w:sz w:val="14"/>
          <w:szCs w:val="14"/>
          <w:color w:val="auto"/>
        </w:rPr>
        <w:t>The Selling Stockholders may resell the shares covered by this prospectus from time to time in ordinary brokerage transactions, block trades, privately negotiated transactions or similar transactions, as described in the section of this prospectus captioned “Plan of Distribution.”</w:t>
      </w:r>
    </w:p>
    <w:p>
      <w:pPr>
        <w:spacing w:after="0" w:line="126" w:lineRule="exact"/>
        <w:rPr>
          <w:sz w:val="20"/>
          <w:szCs w:val="20"/>
          <w:color w:val="auto"/>
        </w:rPr>
      </w:pPr>
    </w:p>
    <w:p>
      <w:pPr>
        <w:ind w:left="1540" w:right="459" w:firstLine="328"/>
        <w:spacing w:after="0" w:line="257" w:lineRule="auto"/>
        <w:rPr>
          <w:sz w:val="20"/>
          <w:szCs w:val="20"/>
          <w:color w:val="auto"/>
        </w:rPr>
      </w:pPr>
      <w:r>
        <w:rPr>
          <w:rFonts w:ascii="Times New Roman" w:cs="Times New Roman" w:eastAsia="Times New Roman" w:hAnsi="Times New Roman"/>
          <w:sz w:val="14"/>
          <w:szCs w:val="14"/>
          <w:color w:val="auto"/>
        </w:rPr>
        <w:t>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23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2"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3"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An investment in our Class A Common Stock involves a high degree of risk. Before you decide whether to purchase our Class A Common Stock in this offering, you should consider the risks described below,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Additional risks and uncertainties not presently known to us or that we currently deem immaterial may also affect our operations.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8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Investors who buy shares at different times will likely pay different prices.</w:t>
      </w:r>
    </w:p>
    <w:p>
      <w:pPr>
        <w:spacing w:after="0" w:line="90"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The Selling Stockholders may resell all, some, or none of their shares of Class A Common Stock at any time or from time to time in their discretion and at different prices. As a result, investors who purchase shares from the Selling Stockholders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Stockholders in this offering as a result of future sales of our Class A Common Stock by us in future offerings or by the Selling Stockholders, including at prices lower than the prices such investors paid for their shares in this offering.</w:t>
      </w:r>
    </w:p>
    <w:p>
      <w:pPr>
        <w:spacing w:after="0" w:line="226" w:lineRule="exact"/>
        <w:rPr>
          <w:sz w:val="20"/>
          <w:szCs w:val="20"/>
          <w:color w:val="auto"/>
        </w:rPr>
      </w:pPr>
    </w:p>
    <w:p>
      <w:pPr>
        <w:ind w:left="1400" w:right="4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our shares of Class A Common Stock, including by the Selling Stockholders, could cause the market price of our Class A Common Stock to decline.</w:t>
      </w:r>
    </w:p>
    <w:p>
      <w:pPr>
        <w:spacing w:after="0" w:line="41" w:lineRule="exact"/>
        <w:rPr>
          <w:sz w:val="20"/>
          <w:szCs w:val="20"/>
          <w:color w:val="auto"/>
        </w:rPr>
      </w:pPr>
    </w:p>
    <w:p>
      <w:pPr>
        <w:ind w:left="1400" w:right="479" w:firstLine="339"/>
        <w:spacing w:after="0" w:line="257" w:lineRule="auto"/>
        <w:rPr>
          <w:sz w:val="20"/>
          <w:szCs w:val="20"/>
          <w:color w:val="auto"/>
        </w:rPr>
      </w:pPr>
      <w:r>
        <w:rPr>
          <w:rFonts w:ascii="Times New Roman" w:cs="Times New Roman" w:eastAsia="Times New Roman" w:hAnsi="Times New Roman"/>
          <w:sz w:val="14"/>
          <w:szCs w:val="14"/>
          <w:color w:val="auto"/>
        </w:rPr>
        <w:t>The Selling Stockholders may resell, under this prospectus, up to 21,010,640 shares of our Class A Common Stock. If all of these shares were issued and outstanding as of April 30, 2026, they would represent approximately 43.9% of the total number of our outstanding voting securities. This prospectus relates solely to the resale of shares by the Selling Stockholders, and we are not selling any securities under this prospectus and will not receive any proceeds from such resales.</w:t>
      </w:r>
    </w:p>
    <w:p>
      <w:pPr>
        <w:spacing w:after="0" w:line="142" w:lineRule="exact"/>
        <w:rPr>
          <w:sz w:val="20"/>
          <w:szCs w:val="20"/>
          <w:color w:val="auto"/>
        </w:rPr>
      </w:pPr>
    </w:p>
    <w:p>
      <w:pPr>
        <w:ind w:left="1400" w:right="299" w:firstLine="339"/>
        <w:spacing w:after="0" w:line="283" w:lineRule="auto"/>
        <w:rPr>
          <w:sz w:val="20"/>
          <w:szCs w:val="20"/>
          <w:color w:val="auto"/>
        </w:rPr>
      </w:pPr>
      <w:r>
        <w:rPr>
          <w:rFonts w:ascii="Times New Roman" w:cs="Times New Roman" w:eastAsia="Times New Roman" w:hAnsi="Times New Roman"/>
          <w:sz w:val="13"/>
          <w:szCs w:val="13"/>
          <w:color w:val="auto"/>
        </w:rPr>
        <w:t>The Selling Stockholders may sell all, some or none of their shares at any time and from time to time in their sole discretion, and we have no control over the timing or amount of such sales and will not participate in any resale transactions. Sales of a substantial number of shares of our Class A Common Stock in the public market by the Selling Stockholders and/or by our other existing stockholders, or the perception that such sales might occur, could depress the market price of our Class A Common Stock and impair our ability to raise capital through the sale of additional equity securities.</w:t>
      </w:r>
    </w:p>
    <w:p>
      <w:pPr>
        <w:spacing w:after="0" w:line="126" w:lineRule="exact"/>
        <w:rPr>
          <w:sz w:val="20"/>
          <w:szCs w:val="20"/>
          <w:color w:val="auto"/>
        </w:rPr>
      </w:pPr>
    </w:p>
    <w:p>
      <w:pPr>
        <w:ind w:left="1400" w:right="319" w:firstLine="339"/>
        <w:spacing w:after="0" w:line="257" w:lineRule="auto"/>
        <w:rPr>
          <w:sz w:val="20"/>
          <w:szCs w:val="20"/>
          <w:color w:val="auto"/>
        </w:rPr>
      </w:pPr>
      <w:r>
        <w:rPr>
          <w:rFonts w:ascii="Times New Roman" w:cs="Times New Roman" w:eastAsia="Times New Roman" w:hAnsi="Times New Roman"/>
          <w:sz w:val="14"/>
          <w:szCs w:val="14"/>
          <w:color w:val="auto"/>
        </w:rPr>
        <w:t>This risk may be heightened because our Chief Executive Officer is a Selling Stockholder and holds a significant portion of our outstanding Class A Common Stock. Sales by Mr. Naheta, or the perception that such sales may occur, could create a public market “overhang” and adversely affect the market price of our Class A Common Stock. In addition, because Mr. Naheta has access to material non-public information, his ability to sell shares will be subject to blackout periods or other restrictions, which could result in the timing of sales being concentrated in particular periods.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the Ownership of Our Class A Common Stock</w:t>
      </w:r>
    </w:p>
    <w:p>
      <w:pPr>
        <w:spacing w:after="0" w:line="8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Class A Common Stock could lower our stock price and dilute existing stockholders.</w:t>
      </w:r>
    </w:p>
    <w:p>
      <w:pPr>
        <w:spacing w:after="0" w:line="90"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We may, in the future, sell additional shares of Class A Common Stock in subsequent public or private offerings. We cannot predict the size or terms of future issuances of our Class A Common Stock or the effect, if any, that future sales and issuances of shares of our Class A Common Stock will have on the market price of our Class A Common Stock. Sales of substantial amounts of our Class A Common Stock, or the perception that such sales could occur, may adversely affect prevailing market prices for our Class A Common Stock. In addition, these sales may be dilutive to existing stockholders.</w:t>
      </w:r>
    </w:p>
    <w:p>
      <w:pPr>
        <w:spacing w:after="0" w:line="9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2"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We may fail to meet our publicly announced guidance or other expectations about our business, which would cause our stock price to decline.</w:t>
      </w:r>
    </w:p>
    <w:p>
      <w:pPr>
        <w:spacing w:after="0" w:line="90" w:lineRule="exact"/>
        <w:rPr>
          <w:sz w:val="20"/>
          <w:szCs w:val="20"/>
          <w:color w:val="auto"/>
        </w:rPr>
      </w:pPr>
    </w:p>
    <w:p>
      <w:pPr>
        <w:ind w:left="1400" w:right="339" w:firstLine="339"/>
        <w:spacing w:after="0" w:line="277" w:lineRule="auto"/>
        <w:rPr>
          <w:sz w:val="20"/>
          <w:szCs w:val="20"/>
          <w:color w:val="auto"/>
        </w:rPr>
      </w:pPr>
      <w:r>
        <w:rPr>
          <w:rFonts w:ascii="Times New Roman" w:cs="Times New Roman" w:eastAsia="Times New Roman" w:hAnsi="Times New Roman"/>
          <w:sz w:val="13"/>
          <w:szCs w:val="13"/>
          <w:color w:val="auto"/>
        </w:rPr>
        <w:t>We may provide guidance regarding our expected financial and business performance, such as projections regarding sales and production, as well as anticipated future revenue, gross margins, profitability, and cash flows. Correctly identifying key factors affecting business conditions and predicting future events is inherently an uncertain process and our guidance may not ultimately be accurate. Our guidance is based on certain assumptions such as those relating to anticipated production and sales volumes and average sales prices, supplier and commodity costs, and planned cost reductions. If our guidance is not accurate or varies from actual results due to our inability to meet our assumptions or the impact on our financial performance that could occur as a result of various risks and uncertainties, the market value of our Class A Common Stock could decline significantly.</w:t>
      </w:r>
    </w:p>
    <w:p>
      <w:pPr>
        <w:spacing w:after="0" w:line="20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w:t>
      </w:r>
    </w:p>
    <w:p>
      <w:pPr>
        <w:spacing w:after="0" w:line="90" w:lineRule="exact"/>
        <w:rPr>
          <w:sz w:val="20"/>
          <w:szCs w:val="20"/>
          <w:color w:val="auto"/>
        </w:rPr>
      </w:pPr>
    </w:p>
    <w:p>
      <w:pPr>
        <w:jc w:val="both"/>
        <w:ind w:left="1400" w:right="279" w:firstLine="339"/>
        <w:spacing w:after="0" w:line="292" w:lineRule="auto"/>
        <w:rPr>
          <w:sz w:val="20"/>
          <w:szCs w:val="20"/>
          <w:color w:val="auto"/>
        </w:rPr>
      </w:pPr>
      <w:r>
        <w:rPr>
          <w:rFonts w:ascii="Times New Roman" w:cs="Times New Roman" w:eastAsia="Times New Roman" w:hAnsi="Times New Roman"/>
          <w:sz w:val="13"/>
          <w:szCs w:val="13"/>
          <w:color w:val="auto"/>
        </w:rPr>
        <w:t>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Class A Common Stock after price appreciation, which may never occur, as the only way to realize any future gains on their investment.</w:t>
      </w:r>
    </w:p>
    <w:p>
      <w:pPr>
        <w:spacing w:after="0" w:line="6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3" w:lineRule="exact"/>
        <w:rPr>
          <w:sz w:val="20"/>
          <w:szCs w:val="20"/>
          <w:color w:val="auto"/>
        </w:rPr>
      </w:pPr>
    </w:p>
    <w:p>
      <w:pPr>
        <w:ind w:left="1400" w:right="399" w:firstLine="339"/>
        <w:spacing w:after="0" w:line="251" w:lineRule="auto"/>
        <w:rPr>
          <w:sz w:val="20"/>
          <w:szCs w:val="20"/>
          <w:color w:val="auto"/>
        </w:rPr>
      </w:pPr>
      <w:r>
        <w:rPr>
          <w:rFonts w:ascii="Times New Roman" w:cs="Times New Roman" w:eastAsia="Times New Roman" w:hAnsi="Times New Roman"/>
          <w:sz w:val="14"/>
          <w:szCs w:val="14"/>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72" w:lineRule="exact"/>
        <w:rPr>
          <w:sz w:val="20"/>
          <w:szCs w:val="20"/>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our strategic transformation and completion thereof;</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financial and operational performance;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Bakkt Markets, Agent, and Global;</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benefits of investment in international markets;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launches and scalability;</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optimization and capital structure;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growth in stablecoins, tokenization and digital assets;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governance initiatives; and</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w:t>
      </w:r>
    </w:p>
    <w:p>
      <w:pPr>
        <w:spacing w:after="0" w:line="171" w:lineRule="exact"/>
        <w:rPr>
          <w:sz w:val="20"/>
          <w:szCs w:val="20"/>
          <w:color w:val="auto"/>
        </w:rPr>
      </w:pPr>
    </w:p>
    <w:p>
      <w:pPr>
        <w:ind w:left="1400" w:right="459" w:firstLine="339"/>
        <w:spacing w:after="0" w:line="255" w:lineRule="auto"/>
        <w:rPr>
          <w:sz w:val="20"/>
          <w:szCs w:val="20"/>
          <w:color w:val="auto"/>
        </w:rPr>
      </w:pPr>
      <w:r>
        <w:rPr>
          <w:rFonts w:ascii="Times New Roman" w:cs="Times New Roman" w:eastAsia="Times New Roman" w:hAnsi="Times New Roman"/>
          <w:sz w:val="14"/>
          <w:szCs w:val="14"/>
          <w:color w:val="auto"/>
        </w:rPr>
        <w:t>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42" w:lineRule="exact"/>
        <w:rPr>
          <w:sz w:val="20"/>
          <w:szCs w:val="20"/>
          <w:color w:val="auto"/>
        </w:rPr>
      </w:pPr>
    </w:p>
    <w:p>
      <w:pPr>
        <w:jc w:val="both"/>
        <w:ind w:left="1400" w:right="539" w:firstLine="339"/>
        <w:spacing w:after="0" w:line="292" w:lineRule="auto"/>
        <w:rPr>
          <w:sz w:val="20"/>
          <w:szCs w:val="20"/>
          <w:color w:val="auto"/>
        </w:rPr>
      </w:pPr>
      <w:r>
        <w:rPr>
          <w:rFonts w:ascii="Times New Roman" w:cs="Times New Roman" w:eastAsia="Times New Roman" w:hAnsi="Times New Roman"/>
          <w:sz w:val="13"/>
          <w:szCs w:val="13"/>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47" w:lineRule="exact"/>
        <w:rPr>
          <w:sz w:val="20"/>
          <w:szCs w:val="20"/>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grow and manage growth profitably;</w:t>
      </w:r>
    </w:p>
    <w:p>
      <w:pPr>
        <w:spacing w:after="0" w:line="98" w:lineRule="exact"/>
        <w:rPr>
          <w:rFonts w:ascii="Times New Roman" w:cs="Times New Roman" w:eastAsia="Times New Roman" w:hAnsi="Times New Roman"/>
          <w:sz w:val="14"/>
          <w:szCs w:val="14"/>
          <w:color w:val="auto"/>
        </w:rPr>
      </w:pPr>
    </w:p>
    <w:p>
      <w:pPr>
        <w:ind w:left="2160" w:right="419" w:hanging="339"/>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be able to successfully integrate our operations with those of DTR, including its infrastructure, and achieve the expected benefits therefrom;</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environment for digital assets and digital stablecoin payments;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business strategy;</w:t>
      </w:r>
    </w:p>
    <w:p>
      <w:pPr>
        <w:spacing w:after="0" w:line="98" w:lineRule="exact"/>
        <w:rPr>
          <w:rFonts w:ascii="Times New Roman" w:cs="Times New Roman" w:eastAsia="Times New Roman" w:hAnsi="Times New Roman"/>
          <w:sz w:val="14"/>
          <w:szCs w:val="14"/>
          <w:color w:val="auto"/>
        </w:rPr>
      </w:pPr>
    </w:p>
    <w:p>
      <w:pPr>
        <w:ind w:left="2160" w:right="319" w:hanging="339"/>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adoption of our updated investment policy and related treasury strategy, including our ability to successfully consummate acquisitions, integrate or manage investments in potential acquisition targets and investees;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and consummate a definitive agreement with Zoth and its expected benefit;</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digital assets, including Bitcoin;</w:t>
      </w:r>
    </w:p>
    <w:p>
      <w:pPr>
        <w:spacing w:after="0" w:line="98" w:lineRule="exact"/>
        <w:rPr>
          <w:rFonts w:ascii="Times New Roman" w:cs="Times New Roman" w:eastAsia="Times New Roman" w:hAnsi="Times New Roman"/>
          <w:sz w:val="14"/>
          <w:szCs w:val="14"/>
          <w:color w:val="auto"/>
        </w:rPr>
      </w:pPr>
    </w:p>
    <w:p>
      <w:pPr>
        <w:ind w:left="2160" w:right="499" w:hanging="339"/>
        <w:spacing w:after="0" w:line="262"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w:t>
      </w:r>
    </w:p>
    <w:p>
      <w:pPr>
        <w:spacing w:after="0" w:line="64"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fluctuation of our operating results, including because we may be required to account for our digital assets at fair value;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 the price of our purchase of digital assets pursuant to our strategy;</w:t>
      </w:r>
    </w:p>
    <w:p>
      <w:pPr>
        <w:spacing w:after="0" w:line="1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2"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339"/>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market value of digital assets on our ability to satisfy our financial obligations, including any debt financings;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fair value gains on our digital asset holdings subjecting us to the corporate alternative minimum tax;</w:t>
      </w:r>
    </w:p>
    <w:p>
      <w:pPr>
        <w:spacing w:after="0" w:line="98" w:lineRule="exact"/>
        <w:rPr>
          <w:rFonts w:ascii="Times New Roman" w:cs="Times New Roman" w:eastAsia="Times New Roman" w:hAnsi="Times New Roman"/>
          <w:sz w:val="14"/>
          <w:szCs w:val="14"/>
          <w:color w:val="auto"/>
        </w:rPr>
      </w:pPr>
    </w:p>
    <w:p>
      <w:pPr>
        <w:ind w:left="2160" w:right="359" w:hanging="339"/>
        <w:spacing w:after="0" w:line="262"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64"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by other Bitcoin treasury companies and the availability of spot-traded products for Bitcoin;</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regulatory oversight as a result of our updated investment policy and related treasury strategy;</w:t>
      </w:r>
    </w:p>
    <w:p>
      <w:pPr>
        <w:spacing w:after="0" w:line="98" w:lineRule="exact"/>
        <w:rPr>
          <w:rFonts w:ascii="Times New Roman" w:cs="Times New Roman" w:eastAsia="Times New Roman" w:hAnsi="Times New Roman"/>
          <w:sz w:val="14"/>
          <w:szCs w:val="14"/>
          <w:color w:val="auto"/>
        </w:rPr>
      </w:pPr>
    </w:p>
    <w:p>
      <w:pPr>
        <w:ind w:left="2160" w:right="399" w:hanging="339"/>
        <w:spacing w:after="0" w:line="262"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64"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our expected digital asset holdings relative to non-digital assets;</w:t>
      </w:r>
    </w:p>
    <w:p>
      <w:pPr>
        <w:spacing w:after="0" w:line="98" w:lineRule="exact"/>
        <w:rPr>
          <w:rFonts w:ascii="Times New Roman" w:cs="Times New Roman" w:eastAsia="Times New Roman" w:hAnsi="Times New Roman"/>
          <w:sz w:val="14"/>
          <w:szCs w:val="14"/>
          <w:color w:val="auto"/>
        </w:rPr>
      </w:pPr>
    </w:p>
    <w:p>
      <w:pPr>
        <w:ind w:left="2160" w:right="439" w:hanging="339"/>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use our digital asset holdings as a source of liquidity to the same extent as cash and cash equivalents, due to, for example, risks associated with digital assets and other risks inherent to its entirely electronic, virtual-form and decentralized network;</w:t>
      </w:r>
    </w:p>
    <w:p>
      <w:pPr>
        <w:spacing w:after="0" w:line="52" w:lineRule="exact"/>
        <w:rPr>
          <w:rFonts w:ascii="Times New Roman" w:cs="Times New Roman" w:eastAsia="Times New Roman" w:hAnsi="Times New Roman"/>
          <w:sz w:val="14"/>
          <w:szCs w:val="14"/>
          <w:color w:val="auto"/>
        </w:rPr>
      </w:pPr>
    </w:p>
    <w:p>
      <w:pPr>
        <w:ind w:left="2160" w:right="659" w:hanging="339"/>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or a third-party service provider experiencing a security breach or cyber-attack where unauthorized parties obtain access to digital assets;</w:t>
      </w:r>
    </w:p>
    <w:p>
      <w:pPr>
        <w:spacing w:after="0" w:line="52" w:lineRule="exact"/>
        <w:rPr>
          <w:rFonts w:ascii="Times New Roman" w:cs="Times New Roman" w:eastAsia="Times New Roman" w:hAnsi="Times New Roman"/>
          <w:sz w:val="14"/>
          <w:szCs w:val="14"/>
          <w:color w:val="auto"/>
        </w:rPr>
      </w:pPr>
    </w:p>
    <w:p>
      <w:pPr>
        <w:ind w:left="2160" w:right="579" w:hanging="339"/>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access to or theft or data loss of our digital assets, which could be unrecoverable due to the immutable nature of blockchain transactions;</w:t>
      </w:r>
    </w:p>
    <w:p>
      <w:pPr>
        <w:spacing w:after="0" w:line="52" w:lineRule="exact"/>
        <w:rPr>
          <w:rFonts w:ascii="Times New Roman" w:cs="Times New Roman" w:eastAsia="Times New Roman" w:hAnsi="Times New Roman"/>
          <w:sz w:val="14"/>
          <w:szCs w:val="14"/>
          <w:color w:val="auto"/>
        </w:rPr>
      </w:pPr>
    </w:p>
    <w:p>
      <w:pPr>
        <w:ind w:left="2160" w:right="319" w:hanging="339"/>
        <w:spacing w:after="0" w:line="257"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elect to hold our digital assets through a third-party custodian, the loss of direct control over our digital assets and dependence on the custodian’s security practices and operational integrity which may lead to the loss of our digital assets as a result of the insolvency of the custodian, theft by employees or insiders of the custodian or if the custodian’s security measures are compromised, including as a result of a cyber-attack;</w:t>
      </w:r>
    </w:p>
    <w:p>
      <w:pPr>
        <w:spacing w:after="0" w:line="68" w:lineRule="exact"/>
        <w:rPr>
          <w:rFonts w:ascii="Times New Roman" w:cs="Times New Roman" w:eastAsia="Times New Roman" w:hAnsi="Times New Roman"/>
          <w:sz w:val="14"/>
          <w:szCs w:val="14"/>
          <w:color w:val="auto"/>
        </w:rPr>
      </w:pPr>
    </w:p>
    <w:p>
      <w:pPr>
        <w:ind w:left="2160" w:right="359" w:hanging="339"/>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not being subject to the legal and regulatory protections applicable to investment companies such as mutual funds and exchange-traded funds, or to obligations applicable to investment advisers;</w:t>
      </w:r>
    </w:p>
    <w:p>
      <w:pPr>
        <w:spacing w:after="0" w:line="52" w:lineRule="exact"/>
        <w:rPr>
          <w:rFonts w:ascii="Times New Roman" w:cs="Times New Roman" w:eastAsia="Times New Roman" w:hAnsi="Times New Roman"/>
          <w:sz w:val="14"/>
          <w:szCs w:val="14"/>
          <w:color w:val="auto"/>
        </w:rPr>
      </w:pPr>
    </w:p>
    <w:p>
      <w:pPr>
        <w:ind w:left="2160" w:right="459" w:hanging="339"/>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non-performance, breach of contract or other violations by counterparties assisting us in effecting our updated investment policy and related treasury strategy;</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capital requirements and sources and uses of cash, including funds to satisfy our liquidity needs;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capital and investments in us, including by our Chief Executive Officer;</w:t>
      </w:r>
    </w:p>
    <w:p>
      <w:pPr>
        <w:spacing w:after="0" w:line="98" w:lineRule="exact"/>
        <w:rPr>
          <w:rFonts w:ascii="Times New Roman" w:cs="Times New Roman" w:eastAsia="Times New Roman" w:hAnsi="Times New Roman"/>
          <w:sz w:val="14"/>
          <w:szCs w:val="14"/>
          <w:color w:val="auto"/>
        </w:rPr>
      </w:pPr>
    </w:p>
    <w:p>
      <w:pPr>
        <w:ind w:left="2160" w:right="639" w:hanging="339"/>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in which we compete, including with respect to our competitive landscape, technology evolution or changes in applicable laws or regulations;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that we target;</w:t>
      </w:r>
    </w:p>
    <w:p>
      <w:pPr>
        <w:spacing w:after="0" w:line="98" w:lineRule="exact"/>
        <w:rPr>
          <w:rFonts w:ascii="Times New Roman" w:cs="Times New Roman" w:eastAsia="Times New Roman" w:hAnsi="Times New Roman"/>
          <w:sz w:val="14"/>
          <w:szCs w:val="14"/>
          <w:color w:val="auto"/>
        </w:rPr>
      </w:pPr>
    </w:p>
    <w:p>
      <w:pPr>
        <w:ind w:left="2160" w:right="399" w:hanging="339"/>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and disruptions in the digital asset, digital payments and stablecoin markets that subject us to additional risks, including the risk that banks may not provide banking services to us and market sentiments regarding digital assets, digital payments and stablecoins;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we may be adversely affected by other macroeconomic, geopolitical, business, and/or competitive factors;</w:t>
      </w:r>
    </w:p>
    <w:p>
      <w:pPr>
        <w:spacing w:after="0" w:line="98" w:lineRule="exact"/>
        <w:rPr>
          <w:rFonts w:ascii="Times New Roman" w:cs="Times New Roman" w:eastAsia="Times New Roman" w:hAnsi="Times New Roman"/>
          <w:sz w:val="14"/>
          <w:szCs w:val="14"/>
          <w:color w:val="auto"/>
        </w:rPr>
      </w:pPr>
    </w:p>
    <w:p>
      <w:pPr>
        <w:ind w:left="2160" w:right="279" w:hanging="339"/>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launch new services and products, including with our expected commercial partners, or to profitably expand into new markets and services;</w:t>
      </w:r>
    </w:p>
    <w:p>
      <w:pPr>
        <w:spacing w:after="0" w:line="52" w:lineRule="exact"/>
        <w:rPr>
          <w:rFonts w:ascii="Times New Roman" w:cs="Times New Roman" w:eastAsia="Times New Roman" w:hAnsi="Times New Roman"/>
          <w:sz w:val="14"/>
          <w:szCs w:val="14"/>
          <w:color w:val="auto"/>
        </w:rPr>
      </w:pPr>
    </w:p>
    <w:p>
      <w:pPr>
        <w:ind w:left="2160" w:right="299" w:hanging="339"/>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our growth strategies, including identifying and executing acquisitions and divestitures and our initiatives to add new clients;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reach definitive agreements with our expected commercial counterparties;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extensive government regulations, oversight, licensure and appraisals;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uncertain and evolving regulatory regime governing blockchain technologies, stablecoins, digital payments and digital assets;</w:t>
      </w:r>
    </w:p>
    <w:p>
      <w:pPr>
        <w:spacing w:after="0" w:line="1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2"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339"/>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effective internal controls and procedures;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exposure to any liability, protracted and costly litigation or reputational damage relating to our data security;</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goodwill or other intangible assets impairments on our operating results;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securities on the New York Stock Exchange; and</w:t>
      </w:r>
    </w:p>
    <w:p>
      <w:pPr>
        <w:spacing w:after="0" w:line="96" w:lineRule="exact"/>
        <w:rPr>
          <w:rFonts w:ascii="Times New Roman" w:cs="Times New Roman" w:eastAsia="Times New Roman" w:hAnsi="Times New Roman"/>
          <w:sz w:val="14"/>
          <w:szCs w:val="14"/>
          <w:color w:val="auto"/>
        </w:rPr>
      </w:pPr>
    </w:p>
    <w:p>
      <w:pPr>
        <w:ind w:left="2160" w:right="459" w:hanging="339"/>
        <w:spacing w:after="0" w:line="281"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indicated in this prospectus, including those set forth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any risk factors described in any amendments or supplements to this prospectus and in the documents incorporated by reference herein.</w:t>
      </w:r>
    </w:p>
    <w:p>
      <w:pPr>
        <w:spacing w:after="0" w:line="28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3" w:lineRule="exact"/>
        <w:rPr>
          <w:sz w:val="20"/>
          <w:szCs w:val="20"/>
          <w:color w:val="auto"/>
        </w:rPr>
      </w:pPr>
    </w:p>
    <w:p>
      <w:pPr>
        <w:ind w:left="1400" w:right="279" w:firstLine="339"/>
        <w:spacing w:after="0" w:line="262" w:lineRule="auto"/>
        <w:rPr>
          <w:sz w:val="20"/>
          <w:szCs w:val="20"/>
          <w:color w:val="auto"/>
        </w:rPr>
      </w:pPr>
      <w:r>
        <w:rPr>
          <w:rFonts w:ascii="Times New Roman" w:cs="Times New Roman" w:eastAsia="Times New Roman" w:hAnsi="Times New Roman"/>
          <w:sz w:val="14"/>
          <w:szCs w:val="14"/>
          <w:color w:val="auto"/>
        </w:rPr>
        <w:t>All of the shares of Class A Common Stock offered by the Selling Stockholders pursuant to this prospectus will be sold by the Selling Stockholders for their respective accounts. We will not receive any proceeds from the resale of shares by the Selling Stockholders, and we are not selling any securities under this prospectus. All proceeds from the resale of shares will be received by the Selling Stockholders for their own accounts.</w:t>
      </w:r>
    </w:p>
    <w:p>
      <w:pPr>
        <w:spacing w:after="0" w:line="138"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We will receive up to an aggregate of approximately $11,764,680 from the exercise of all of the Class 1 Warrants and the Class 2 Warrants held by Intercontinental Exchange Holdings, Inc. (“ICE”), which is a Selling Stockholder, assuming the exercise in full of all such warrants for cash.</w:t>
      </w:r>
    </w:p>
    <w:p>
      <w:pPr>
        <w:spacing w:after="0" w:line="126"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In addition, we will receive up to an aggregate of approximately $2,500,000 from the exercise of all of the Gyzer Acquisition Warrants held by Mr. Ishag, who is a Selling Stockholder, assuming the exercise in full of all such warrants for cash.</w:t>
      </w:r>
    </w:p>
    <w:p>
      <w:pPr>
        <w:spacing w:after="0" w:line="126" w:lineRule="exact"/>
        <w:rPr>
          <w:sz w:val="20"/>
          <w:szCs w:val="20"/>
          <w:color w:val="auto"/>
        </w:rPr>
      </w:pPr>
    </w:p>
    <w:p>
      <w:pPr>
        <w:jc w:val="both"/>
        <w:ind w:left="1400" w:right="339" w:firstLine="339"/>
        <w:spacing w:after="0" w:line="262" w:lineRule="auto"/>
        <w:rPr>
          <w:sz w:val="20"/>
          <w:szCs w:val="20"/>
          <w:color w:val="auto"/>
        </w:rPr>
      </w:pPr>
      <w:r>
        <w:rPr>
          <w:rFonts w:ascii="Times New Roman" w:cs="Times New Roman" w:eastAsia="Times New Roman" w:hAnsi="Times New Roman"/>
          <w:sz w:val="14"/>
          <w:szCs w:val="14"/>
          <w:color w:val="auto"/>
        </w:rPr>
        <w:t>The only proceeds we may receive in connection with the securities covered by this prospectus would be from the exercise of outstanding Class 1 Warrants, Class 2 Warrants and Gyzer Acquisition Warrants, to the extent such warrants are exercised for cash. Any such proceeds are not related to the resale of shares by the Selling Stockholders.</w:t>
      </w:r>
    </w:p>
    <w:p>
      <w:pPr>
        <w:spacing w:after="0" w:line="138" w:lineRule="exact"/>
        <w:rPr>
          <w:sz w:val="20"/>
          <w:szCs w:val="20"/>
          <w:color w:val="auto"/>
        </w:rPr>
      </w:pPr>
    </w:p>
    <w:p>
      <w:pPr>
        <w:ind w:left="1400" w:right="559" w:firstLine="339"/>
        <w:spacing w:after="0" w:line="318" w:lineRule="auto"/>
        <w:rPr>
          <w:sz w:val="20"/>
          <w:szCs w:val="20"/>
          <w:color w:val="auto"/>
        </w:rPr>
      </w:pPr>
      <w:r>
        <w:rPr>
          <w:rFonts w:ascii="Times New Roman" w:cs="Times New Roman" w:eastAsia="Times New Roman" w:hAnsi="Times New Roman"/>
          <w:sz w:val="13"/>
          <w:szCs w:val="13"/>
          <w:color w:val="auto"/>
        </w:rPr>
        <w:t>We are not offering any securities under this prospectus. To the extent we receive proceeds from the cash exercise of the Class 1 Warrants, the Class 2 Warrants and the Gyzer Acquisition Warrants, we intend to use such proceeds for working capital and other general corporate purposes.</w:t>
      </w:r>
    </w:p>
    <w:p>
      <w:pPr>
        <w:spacing w:after="0" w:line="26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3" w:lineRule="exact"/>
        <w:rPr>
          <w:sz w:val="20"/>
          <w:szCs w:val="20"/>
          <w:color w:val="auto"/>
        </w:rPr>
      </w:pPr>
    </w:p>
    <w:p>
      <w:pPr>
        <w:ind w:left="1400" w:right="659" w:firstLine="339"/>
        <w:spacing w:after="0" w:line="278" w:lineRule="auto"/>
        <w:rPr>
          <w:sz w:val="20"/>
          <w:szCs w:val="20"/>
          <w:color w:val="auto"/>
        </w:rPr>
      </w:pPr>
      <w:r>
        <w:rPr>
          <w:rFonts w:ascii="Times New Roman" w:cs="Times New Roman" w:eastAsia="Times New Roman" w:hAnsi="Times New Roman"/>
          <w:sz w:val="14"/>
          <w:szCs w:val="14"/>
          <w:color w:val="auto"/>
        </w:rPr>
        <w:t>The description of our capital stock is incorporated by reference to Exhibit 4.9 to our Annual Report on Form 10-K for the fiscal year ended December 31, 2025, filed with the SEC on March 19, 2026.</w:t>
      </w:r>
    </w:p>
    <w:p>
      <w:pPr>
        <w:spacing w:after="0" w:line="2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DTR ACQUISITION</w:t>
      </w:r>
    </w:p>
    <w:p>
      <w:pPr>
        <w:spacing w:after="0" w:line="173" w:lineRule="exact"/>
        <w:rPr>
          <w:sz w:val="20"/>
          <w:szCs w:val="20"/>
          <w:color w:val="auto"/>
        </w:rPr>
      </w:pPr>
    </w:p>
    <w:p>
      <w:pPr>
        <w:ind w:left="1400" w:right="359" w:firstLine="339"/>
        <w:spacing w:after="0" w:line="252" w:lineRule="auto"/>
        <w:rPr>
          <w:sz w:val="20"/>
          <w:szCs w:val="20"/>
          <w:color w:val="auto"/>
        </w:rPr>
      </w:pPr>
      <w:r>
        <w:rPr>
          <w:rFonts w:ascii="Times New Roman" w:cs="Times New Roman" w:eastAsia="Times New Roman" w:hAnsi="Times New Roman"/>
          <w:sz w:val="14"/>
          <w:szCs w:val="14"/>
          <w:color w:val="auto"/>
        </w:rPr>
        <w:t>On January 11, 2026, Opco, the Company, DTR, and Akshay Naheta entered into the Purchase Agreement. Pursuant to the terms and subject to the conditions set forth in the Purchase Agreement, the Company completed the acquisition of all of the outstanding equity interests of DTR (the “DTR Acquisition”) on April 30, 2026 (the “Closing”) by issuing to the DTR Holders an aggregate of 11,316,775 shares of Class A Common Stock (the “Consideration Shares”). The Consideration Shares were calculated as (A) 31.5% of (i) the aggregate number of shares of Class A Common Stock issued and outstanding immediately prior to the Closing plus (ii) the aggregate number of shares of the Company’s capital stock issuable upon full exercise or conversion of any options or other convertible derivative securities outstanding immediately prior to the Closing, on an as-converted basis, excluding any outstanding warrants to purchase shares of Class A Common Stock, less (B) an adjustment amount of 196,532 shares (the “Adjustment Amount”).</w:t>
      </w:r>
    </w:p>
    <w:p>
      <w:pPr>
        <w:spacing w:after="0" w:line="144" w:lineRule="exact"/>
        <w:rPr>
          <w:sz w:val="20"/>
          <w:szCs w:val="20"/>
          <w:color w:val="auto"/>
        </w:rPr>
      </w:pPr>
    </w:p>
    <w:p>
      <w:pPr>
        <w:jc w:val="both"/>
        <w:ind w:left="1400" w:right="599" w:firstLine="339"/>
        <w:spacing w:after="0" w:line="292" w:lineRule="auto"/>
        <w:rPr>
          <w:sz w:val="20"/>
          <w:szCs w:val="20"/>
          <w:color w:val="auto"/>
        </w:rPr>
      </w:pPr>
      <w:r>
        <w:rPr>
          <w:rFonts w:ascii="Times New Roman" w:cs="Times New Roman" w:eastAsia="Times New Roman" w:hAnsi="Times New Roman"/>
          <w:sz w:val="13"/>
          <w:szCs w:val="13"/>
          <w:color w:val="auto"/>
        </w:rPr>
        <w:t>The number of Consideration Shares was reduced by the Adjustment Amount, which reflects (x) the aggregate amount of certain shareholder loans extended to DTR by the Seller or his affiliates outstanding immediately prior to the Closing and (y) transaction expenses incurred by DTR or Mr. Naheta in excess of $1.5 million, divided by (z) the volume-weighted average trading price of the Company’s Class A Common Stock over</w:t>
      </w:r>
    </w:p>
    <w:p>
      <w:pPr>
        <w:spacing w:after="0" w:line="6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2"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59"/>
        <w:spacing w:after="0" w:line="257" w:lineRule="auto"/>
        <w:rPr>
          <w:sz w:val="20"/>
          <w:szCs w:val="20"/>
          <w:color w:val="auto"/>
        </w:rPr>
      </w:pPr>
      <w:r>
        <w:rPr>
          <w:rFonts w:ascii="Times New Roman" w:cs="Times New Roman" w:eastAsia="Times New Roman" w:hAnsi="Times New Roman"/>
          <w:sz w:val="14"/>
          <w:szCs w:val="14"/>
          <w:color w:val="auto"/>
        </w:rPr>
        <w:t>the 20 consecutive trading day period ending on and including the day immediately prior to the Closing, or $8.65. In addition, following the Closing, to the extent the Company issues shares of Class A Common Stock upon the exercise or conversion of warrants outstanding as of the date of the Purchase Agreement, the Consideration Shares will be increased by a number of shares equal to 31.5% of the number of shares issued upon such exercise or conversion, which could result in the issuance of up to an additional 725,592 shares of Class A Common Stock.</w:t>
      </w:r>
    </w:p>
    <w:p>
      <w:pPr>
        <w:spacing w:after="0" w:line="142" w:lineRule="exact"/>
        <w:rPr>
          <w:sz w:val="20"/>
          <w:szCs w:val="20"/>
          <w:color w:val="auto"/>
        </w:rPr>
      </w:pPr>
    </w:p>
    <w:p>
      <w:pPr>
        <w:ind w:left="1400" w:right="579" w:firstLine="339"/>
        <w:spacing w:after="0" w:line="255" w:lineRule="auto"/>
        <w:rPr>
          <w:sz w:val="20"/>
          <w:szCs w:val="20"/>
          <w:color w:val="auto"/>
        </w:rPr>
      </w:pPr>
      <w:r>
        <w:rPr>
          <w:rFonts w:ascii="Times New Roman" w:cs="Times New Roman" w:eastAsia="Times New Roman" w:hAnsi="Times New Roman"/>
          <w:sz w:val="14"/>
          <w:szCs w:val="14"/>
          <w:color w:val="auto"/>
        </w:rPr>
        <w:t>A Special Committee of the Board, composed entirely of independent and disinterested directors (the “Special Committee”), was formed and granted full authority to review, negotiate, and approve the terms of the DTR Acquisition on behalf of the Company. After evaluating the DTR Acquisition, the Special Committee unanimously determined that the DTR Acquisition was fair to, and in the best interests of, the Company and its stockholders (excluding Mr. Naheta and his affiliates), approved the DTR Acquisition, and recommended that the full Board (excluding Mr. Naheta from such consideration) approve the DTR Acquisition.</w:t>
      </w:r>
    </w:p>
    <w:p>
      <w:pPr>
        <w:spacing w:after="0" w:line="142" w:lineRule="exact"/>
        <w:rPr>
          <w:sz w:val="20"/>
          <w:szCs w:val="20"/>
          <w:color w:val="auto"/>
        </w:rPr>
      </w:pPr>
    </w:p>
    <w:p>
      <w:pPr>
        <w:ind w:left="1400" w:right="339" w:firstLine="339"/>
        <w:spacing w:after="0" w:line="262" w:lineRule="auto"/>
        <w:rPr>
          <w:sz w:val="20"/>
          <w:szCs w:val="20"/>
          <w:color w:val="auto"/>
        </w:rPr>
      </w:pPr>
      <w:r>
        <w:rPr>
          <w:rFonts w:ascii="Times New Roman" w:cs="Times New Roman" w:eastAsia="Times New Roman" w:hAnsi="Times New Roman"/>
          <w:sz w:val="14"/>
          <w:szCs w:val="14"/>
          <w:color w:val="auto"/>
        </w:rPr>
        <w:t>Following the Special Committee’s approval, the Board (excluding Mr. Naheta from such consideration) approved the DTR Acquisition and determined to submit the DTR Acquisition to the Company’s stockholders for approval. Mr. Naheta is a member of the Board and recused himself from consideration and deliberation with respect to the DTR Acquisition and abstained from the vote.</w:t>
      </w:r>
    </w:p>
    <w:p>
      <w:pPr>
        <w:spacing w:after="0" w:line="138"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The Company’s stockholders approved the DTR Acquisition on April 17, 2026. The DTR Acquisition was completed on April 30, 2026, with the Company acquiring all of the outstanding equity interests of DTR.</w:t>
      </w:r>
    </w:p>
    <w:p>
      <w:pPr>
        <w:spacing w:after="0" w:line="126" w:lineRule="exact"/>
        <w:rPr>
          <w:sz w:val="20"/>
          <w:szCs w:val="20"/>
          <w:color w:val="auto"/>
        </w:rPr>
      </w:pPr>
    </w:p>
    <w:p>
      <w:pPr>
        <w:ind w:left="1400" w:right="419" w:firstLine="339"/>
        <w:spacing w:after="0" w:line="283" w:lineRule="auto"/>
        <w:rPr>
          <w:sz w:val="20"/>
          <w:szCs w:val="20"/>
          <w:color w:val="auto"/>
        </w:rPr>
      </w:pPr>
      <w:r>
        <w:rPr>
          <w:rFonts w:ascii="Times New Roman" w:cs="Times New Roman" w:eastAsia="Times New Roman" w:hAnsi="Times New Roman"/>
          <w:sz w:val="13"/>
          <w:szCs w:val="13"/>
          <w:color w:val="auto"/>
        </w:rPr>
        <w:t>In connection with the Purchase Agreement: (i) each current DTR Holder entered into a joinder agreement pursuant to which such holder agreed to be bound by the obligations of the Seller under the Purchase Agreement, (ii) the Seller entered into a non-competition agreement (the “Non-Competition Agreement”) with the Company, (iii) each current DTR Holder, the Company, Mr. Naheta and ICE entered into the Registration Rights Agreement and (iv) the Company and certain stockholders entered into a voting and support agreement (the “Voting and Support Agreement”).</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Non-Competition Agreement</w:t>
      </w:r>
    </w:p>
    <w:p>
      <w:pPr>
        <w:spacing w:after="0" w:line="90"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Pursuant to the Non-Competition Agreement, Mr. Naheta has agreed, effective at the Closing, to not, without the prior written consent of the Company, compete with the business, activities, products or services conducted, authorized, offered, or provided by the Company or any of its subsidiaries in the United States, or any other jurisdiction where the Company conducts business as of the Closing during a period beginning on the date of the Closing and ending on the first anniversary of the Closing (the “Restricted Period”), or, upon exercise by the Company, in the Company’s sole discretion, a later date that is on or prior to the second anniversary of the Closing (such period, the “Extension Period”). If (i) Mr. Naheta’s employment is terminated with the Company or any subsidiary or affiliate thereof, regardless of whether the Company or Mr. Naheta initiated the termination of employment, and (ii) the Company has elected to extend the Restricted Period into the Extension Period, then after the first anniversary of the Closing, the Company shall pay to Mr. Naheta monthly compensation for each month of the Extension Period in an amount equal to 100% of Mr. Naheta’s average monthly base salary from the Company during the twelve months immediately preceding such termination.</w:t>
      </w:r>
    </w:p>
    <w:p>
      <w:pPr>
        <w:spacing w:after="0" w:line="2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Registration Rights Agreement</w:t>
      </w:r>
    </w:p>
    <w:p>
      <w:pPr>
        <w:spacing w:after="0" w:line="90"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Registration Rights Agreement, which became effective at the Closing, amends and restates that certain Registration Rights Agreement, dated as of October 15, 2021, pursuant to which the Company granted ICE and the other holders party thereto certain registration rights with respect to certain securities of the Company. Under the terms of the Registration Rights Agreement, the Company agreed, among other things, to register for resale (a) any Class A Common Stock currently owned by ICE or that may be issued upon exercise of any warrants currently owned by ICE, (b) the Consideration Shares, and (c) any other equity securities of the Company issued or issuable to any stockholder with respect to any such share of Class A Common Stock referred to in clauses (a) and (b) by way of a stock dividend or stock split or in connection with a combination of shares, recapitalization, merger, consolidation or reorganization (collectively, the “Registrable Securities”). Under the terms of the Registration Rights Agreement, the Company has agreed to prepare and file a registration statement with the SEC to register for resale the Registrable Securities within five business days after the date of the Closing. The Company has agreed to</w:t>
      </w:r>
    </w:p>
    <w:p>
      <w:pPr>
        <w:spacing w:after="0" w:line="9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439"/>
        <w:spacing w:after="0" w:line="292" w:lineRule="auto"/>
        <w:rPr>
          <w:sz w:val="20"/>
          <w:szCs w:val="20"/>
          <w:color w:val="auto"/>
        </w:rPr>
      </w:pPr>
      <w:r>
        <w:rPr>
          <w:rFonts w:ascii="Times New Roman" w:cs="Times New Roman" w:eastAsia="Times New Roman" w:hAnsi="Times New Roman"/>
          <w:sz w:val="13"/>
          <w:szCs w:val="13"/>
          <w:color w:val="auto"/>
        </w:rPr>
        <w:t>be responsible for all fees and expenses incurred in connection with such registration. Furthermore, under the Registration Rights Agreement, the holders of the Registrable Securities have certain customary underwritten offering demand rights and piggyback registration rights. The Company has granted certain customary piggyback registration rights and indemnification rights in connection with such registration of Registrable Securities.</w:t>
      </w:r>
    </w:p>
    <w:p>
      <w:pPr>
        <w:spacing w:after="0" w:line="20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Voting and Support Agreement</w:t>
      </w:r>
    </w:p>
    <w:p>
      <w:pPr>
        <w:spacing w:after="0" w:line="90" w:lineRule="exact"/>
        <w:rPr>
          <w:sz w:val="20"/>
          <w:szCs w:val="20"/>
          <w:color w:val="auto"/>
        </w:rPr>
      </w:pPr>
    </w:p>
    <w:p>
      <w:pPr>
        <w:ind w:left="1400" w:right="319" w:firstLine="339"/>
        <w:spacing w:after="0" w:line="257" w:lineRule="auto"/>
        <w:rPr>
          <w:sz w:val="20"/>
          <w:szCs w:val="20"/>
          <w:color w:val="auto"/>
        </w:rPr>
      </w:pPr>
      <w:r>
        <w:rPr>
          <w:rFonts w:ascii="Times New Roman" w:cs="Times New Roman" w:eastAsia="Times New Roman" w:hAnsi="Times New Roman"/>
          <w:sz w:val="14"/>
          <w:szCs w:val="14"/>
          <w:color w:val="auto"/>
        </w:rPr>
        <w:t>Pursuant to the Voting and Support Agreement, the Voting and Support Parties agreed to vote their shares of the Company’s Class A Common Stock (including those owned beneficially) in favor of the DTR Acquisition. The Voting and Support Agreement automatically terminated upon the Closing. At the time of execution, the Voting and Support Parties together beneficially owned approximately 36.1% of the outstanding shares of Class A Common Stock.</w:t>
      </w:r>
    </w:p>
    <w:p>
      <w:pPr>
        <w:spacing w:after="0" w:line="142" w:lineRule="exact"/>
        <w:rPr>
          <w:sz w:val="20"/>
          <w:szCs w:val="20"/>
          <w:color w:val="auto"/>
        </w:rPr>
      </w:pPr>
    </w:p>
    <w:p>
      <w:pPr>
        <w:jc w:val="both"/>
        <w:ind w:left="1400" w:right="359" w:firstLine="339"/>
        <w:spacing w:after="0" w:line="262" w:lineRule="auto"/>
        <w:rPr>
          <w:sz w:val="20"/>
          <w:szCs w:val="20"/>
          <w:color w:val="auto"/>
        </w:rPr>
      </w:pPr>
      <w:r>
        <w:rPr>
          <w:rFonts w:ascii="Times New Roman" w:cs="Times New Roman" w:eastAsia="Times New Roman" w:hAnsi="Times New Roman"/>
          <w:sz w:val="14"/>
          <w:szCs w:val="14"/>
          <w:color w:val="auto"/>
        </w:rPr>
        <w:t>The foregoing descriptions of the Purchase Agreement, the Non-Competition Agreement, the Registration Rights Agreement and the Voting and Support Agreement are not complete and are qualified in their entirety by reference to the full text of such agreements, which are filed as Exhibits 10.1, 10.2, 10.3 and 10.4, respectively, hereto and are incorporated herein by reference.</w:t>
      </w:r>
    </w:p>
    <w:p>
      <w:pPr>
        <w:spacing w:after="0" w:line="30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GYZER ACQUISITION</w:t>
      </w:r>
    </w:p>
    <w:p>
      <w:pPr>
        <w:spacing w:after="0" w:line="173"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In May 2026, the Company completed the acquisition of all of the issued and outstanding equity interests of Gyzer Inc. (“Gyzer”), a digital asset payments business. In connection with the acquisition, the Company issued 94,595 shares of its Class A Common Stock and warrants to purchase 250,000 shares of its Class A Common Stock to Daniel Ishag, the sole stockholder of Gyzer and the Company’s Chief Commercial Officer, as consideration for the transaction. This prospectus relates to the resale of such shares by the applicable Selling Stockholder, including any shares received by the applicable Selling Stockholder upon the exercise of the Gyzer Acquisition Warrants.</w:t>
      </w:r>
    </w:p>
    <w:p>
      <w:pPr>
        <w:spacing w:after="0" w:line="30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UP-C COLLAPSE</w:t>
      </w:r>
    </w:p>
    <w:p>
      <w:pPr>
        <w:spacing w:after="0" w:line="173" w:lineRule="exact"/>
        <w:rPr>
          <w:sz w:val="20"/>
          <w:szCs w:val="20"/>
          <w:color w:val="auto"/>
        </w:rPr>
      </w:pPr>
    </w:p>
    <w:p>
      <w:pPr>
        <w:jc w:val="both"/>
        <w:ind w:left="1400" w:right="319" w:firstLine="339"/>
        <w:spacing w:after="0" w:line="262" w:lineRule="auto"/>
        <w:rPr>
          <w:sz w:val="20"/>
          <w:szCs w:val="20"/>
          <w:color w:val="auto"/>
        </w:rPr>
      </w:pPr>
      <w:r>
        <w:rPr>
          <w:rFonts w:ascii="Times New Roman" w:cs="Times New Roman" w:eastAsia="Times New Roman" w:hAnsi="Times New Roman"/>
          <w:sz w:val="14"/>
          <w:szCs w:val="14"/>
          <w:color w:val="auto"/>
        </w:rPr>
        <w:t>On November 3, 2025, the Company completed a transaction to simplify its organizational structure (the “Up-C Collapse”), pursuant to which the Company eliminated its prior umbrella partnership-C corporation (“Up-C”) structure. Prior to the Up-C Collapse, the Company operated through Bakkt Opco Holdings, LLC (“Opco”), in which certain non-controlling equity holders held interests.</w:t>
      </w:r>
    </w:p>
    <w:p>
      <w:pPr>
        <w:spacing w:after="0" w:line="138" w:lineRule="exact"/>
        <w:rPr>
          <w:sz w:val="20"/>
          <w:szCs w:val="20"/>
          <w:color w:val="auto"/>
        </w:rPr>
      </w:pPr>
    </w:p>
    <w:p>
      <w:pPr>
        <w:jc w:val="both"/>
        <w:ind w:left="1400" w:right="299" w:firstLine="339"/>
        <w:spacing w:after="0" w:line="262" w:lineRule="auto"/>
        <w:rPr>
          <w:sz w:val="20"/>
          <w:szCs w:val="20"/>
          <w:color w:val="auto"/>
        </w:rPr>
      </w:pPr>
      <w:r>
        <w:rPr>
          <w:rFonts w:ascii="Times New Roman" w:cs="Times New Roman" w:eastAsia="Times New Roman" w:hAnsi="Times New Roman"/>
          <w:sz w:val="14"/>
          <w:szCs w:val="14"/>
          <w:color w:val="auto"/>
        </w:rPr>
        <w:t>In connection with the Up-C Collapse, the Company acquired the outstanding equity interests in Opco held by such non-controlling equity holders in exchange for shares of the Company’s Class A Common Stock. As a result of the Up-C Collapse, such holders became stockholders of the Company, and the Company directly or indirectly acquired 100% of the equity interests in Opco.</w:t>
      </w:r>
    </w:p>
    <w:p>
      <w:pPr>
        <w:spacing w:after="0" w:line="138" w:lineRule="exact"/>
        <w:rPr>
          <w:sz w:val="20"/>
          <w:szCs w:val="20"/>
          <w:color w:val="auto"/>
        </w:rPr>
      </w:pPr>
    </w:p>
    <w:p>
      <w:pPr>
        <w:jc w:val="both"/>
        <w:ind w:left="1400" w:right="579" w:firstLine="339"/>
        <w:spacing w:after="0" w:line="262" w:lineRule="auto"/>
        <w:rPr>
          <w:sz w:val="20"/>
          <w:szCs w:val="20"/>
          <w:color w:val="auto"/>
        </w:rPr>
      </w:pPr>
      <w:r>
        <w:rPr>
          <w:rFonts w:ascii="Times New Roman" w:cs="Times New Roman" w:eastAsia="Times New Roman" w:hAnsi="Times New Roman"/>
          <w:sz w:val="14"/>
          <w:szCs w:val="14"/>
          <w:color w:val="auto"/>
        </w:rPr>
        <w:t>In connection with the Up-C Collapse, the Company issued shares of Class A common stock to the former holders of Opco equity interests as consideration for the acquisition of their equity interests in Opco. Such shares were issued in reliance on the exemptions from registration under the Securities Act. This prospectus relates to the resale of certain of such shares by the applicable Selling Stockholders.</w:t>
      </w:r>
    </w:p>
    <w:p>
      <w:pPr>
        <w:spacing w:after="0" w:line="138"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In connection with the Up-C Collapse, the Company, ICE and Akshay Naheta entered into (i) Amendment No. 1 to the Tax Receivable Agreement, dated as of October 16, 2025, which amended the Tax Receivable Agreement, dated as of October 15, 2021, (ii) the Contribution Agreement, dated as of October 16, 2025 (the “Contribution Agreement”), and (iii) the Contribution Agreement Amendment, dated as of November 3, 2025, which amended the Contribution Agreement in connection with the consummation of the Up-C Collapse. These agreements reflect the elimination of the Up-C structure and address the parties’ respective rights and obligations following the Up-C Collapse, including with respect to tax attributes and related payments. Following the Up-C Collapse, the Company owns 100% of the equity interests in Opco and no longer has non-controlling equity holders at the Opco level.</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2"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DETERMINATION OF OFFERING PRICE</w:t>
      </w:r>
    </w:p>
    <w:p>
      <w:pPr>
        <w:spacing w:after="0" w:line="173"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We cannot currently determine the price or prices at which shares of Class A Common Stock may be sold by the Selling Stockholders under this prospectus.</w:t>
      </w: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73" w:lineRule="exact"/>
        <w:rPr>
          <w:sz w:val="20"/>
          <w:szCs w:val="20"/>
          <w:color w:val="auto"/>
        </w:rPr>
      </w:pPr>
    </w:p>
    <w:p>
      <w:pPr>
        <w:ind w:left="1400" w:right="279" w:firstLine="339"/>
        <w:spacing w:after="0" w:line="279" w:lineRule="auto"/>
        <w:rPr>
          <w:sz w:val="20"/>
          <w:szCs w:val="20"/>
          <w:color w:val="auto"/>
        </w:rPr>
      </w:pPr>
      <w:r>
        <w:rPr>
          <w:rFonts w:ascii="Times New Roman" w:cs="Times New Roman" w:eastAsia="Times New Roman" w:hAnsi="Times New Roman"/>
          <w:sz w:val="13"/>
          <w:szCs w:val="13"/>
          <w:color w:val="auto"/>
        </w:rPr>
        <w:t>This prospectus relates to the possible resale by certain of the Selling Stockholders from time to time of up to an aggregate of 21,010,640 shares of Class A Common Stock. The term “Selling Stockholders” includes any transferees of Registrable Securities who become parties to the Registration Rights Agreement in accordance with its terms, including by executing a joinder thereto. The shares covered by this prospectus are being offered solely for the account of the Selling Stockholders, and the Company has no role in determining the timing, amount or method of any sales. The Company has not provided, and will not provide, any financing or other assistance to the Selling Stockholders in connection with the resale of such shares.</w:t>
      </w:r>
    </w:p>
    <w:p>
      <w:pPr>
        <w:spacing w:after="0" w:line="21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Akshay Naheta and the DTR Holders</w:t>
      </w:r>
    </w:p>
    <w:p>
      <w:pPr>
        <w:spacing w:after="0" w:line="90" w:lineRule="exact"/>
        <w:rPr>
          <w:sz w:val="20"/>
          <w:szCs w:val="20"/>
          <w:color w:val="auto"/>
        </w:rPr>
      </w:pPr>
    </w:p>
    <w:p>
      <w:pPr>
        <w:ind w:left="1400" w:right="279" w:firstLine="339"/>
        <w:spacing w:after="0" w:line="257" w:lineRule="auto"/>
        <w:rPr>
          <w:sz w:val="20"/>
          <w:szCs w:val="20"/>
          <w:color w:val="auto"/>
        </w:rPr>
      </w:pPr>
      <w:r>
        <w:rPr>
          <w:rFonts w:ascii="Times New Roman" w:cs="Times New Roman" w:eastAsia="Times New Roman" w:hAnsi="Times New Roman"/>
          <w:sz w:val="14"/>
          <w:szCs w:val="14"/>
          <w:color w:val="auto"/>
        </w:rPr>
        <w:t>On April 30, 2026, we acquired 100% of the outstanding equity interests of DTR pursuant to the Purchase Agreement in exchange for the issuance of an aggregate of 11,316,775 shares of Class A Common Stock (the “Consideration Shares”) to Akshay Naheta and the other DTR Holders, with up to an additional 725,592 shares of Class A Common Stock issuable as Consideration Shares upon the exercise of certain outstanding warrants as described in the Purchase Agreement to Akshay Naheta and the DTR Holders.</w:t>
      </w:r>
    </w:p>
    <w:p>
      <w:pPr>
        <w:spacing w:after="0" w:line="142" w:lineRule="exact"/>
        <w:rPr>
          <w:sz w:val="20"/>
          <w:szCs w:val="20"/>
          <w:color w:val="auto"/>
        </w:rPr>
      </w:pPr>
    </w:p>
    <w:p>
      <w:pPr>
        <w:ind w:left="1400" w:right="299" w:firstLine="339"/>
        <w:spacing w:after="0" w:line="262" w:lineRule="auto"/>
        <w:rPr>
          <w:sz w:val="20"/>
          <w:szCs w:val="20"/>
          <w:color w:val="auto"/>
        </w:rPr>
      </w:pPr>
      <w:r>
        <w:rPr>
          <w:rFonts w:ascii="Times New Roman" w:cs="Times New Roman" w:eastAsia="Times New Roman" w:hAnsi="Times New Roman"/>
          <w:sz w:val="14"/>
          <w:szCs w:val="14"/>
          <w:color w:val="auto"/>
        </w:rPr>
        <w:t>Akshay Naheta is a Selling Stockholder. He is also our Chief Executive Officer, President and a member of our Board. Mr. Naheta acquired the shares covered by this prospectus in connection with the DTR Acquisition for investment purposes and not with a view to distribution. Upon completion of the DTR Acquisition, Mr. Naheta owned 22.3% of the outstanding shares of Class A Common Stock.</w:t>
      </w:r>
    </w:p>
    <w:p>
      <w:pPr>
        <w:spacing w:after="0" w:line="138"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Mr. Naheta will act independently of the Company in determining whether, when and how to dispose of any shares, and any such sales will be made for his own account. The Company is not a party to, and has not participated in, any arrangement or understanding with Mr. Naheta or any other person regarding the distribution of such shares, and Mr. Naheta is not selling shares on behalf of the Company. To the extent that any of the shares held by Mr. Naheta become eligible for resale pursuant to Rule 144 under the Securities Act, such shares may be sold in accordance with Rule 144 rather than pursuant to this prospectus.</w:t>
      </w:r>
    </w:p>
    <w:p>
      <w:pPr>
        <w:spacing w:after="0" w:line="142"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All of the Consideration Shares issued at the Closing to Mr. Naheta and the other DTR Holders (and any additional Consideration Shares issuable upon the exercise of warrants as described above) were issued in reliance on the exemption from registration pursuant to Section 4(a)(2) of the Securities Act. In accordance with our obligations under the Purchase Agreement and the Registration Rights Agreement entered into in connection therewith, we agreed to register the resale of the Consideration Shares. The resale of such shares is being registered solely to satisfy such contractual registration rights.</w:t>
      </w:r>
    </w:p>
    <w:p>
      <w:pPr>
        <w:spacing w:after="0" w:line="22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Intercontinental Exchange Holdings, Inc.</w:t>
      </w:r>
    </w:p>
    <w:p>
      <w:pPr>
        <w:spacing w:after="0" w:line="90" w:lineRule="exact"/>
        <w:rPr>
          <w:sz w:val="20"/>
          <w:szCs w:val="20"/>
          <w:color w:val="auto"/>
        </w:rPr>
      </w:pPr>
    </w:p>
    <w:p>
      <w:pPr>
        <w:jc w:val="both"/>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ICE is a wholly owned subsidiary of Intercontinental Exchange, Inc. ICE has been a significant holder of the Company’s capital stock since the closing of our business combination with VPC Impact Acquisition Holdings on October 15, 2021. In addition, ICE received 461,361 shares of Class A Common Stock in a registered direct offering in February 2024 and 465,890 shares in connection with the Up-C Collapse. As of May 4, 2026, ICE held 7,919,002 shares of Class A Common Stock (the “ICE Class A Common Stock”). As of April 30, 2026, this represents 16.5% of the outstanding shares of Class A Common Stock. The ICE Class A Common Stock is covered by this prospectus.</w:t>
      </w:r>
    </w:p>
    <w:p>
      <w:pPr>
        <w:spacing w:after="0" w:line="142" w:lineRule="exact"/>
        <w:rPr>
          <w:sz w:val="20"/>
          <w:szCs w:val="20"/>
          <w:color w:val="auto"/>
        </w:rPr>
      </w:pPr>
    </w:p>
    <w:p>
      <w:pPr>
        <w:jc w:val="both"/>
        <w:ind w:left="1400" w:right="399" w:firstLine="339"/>
        <w:spacing w:after="0" w:line="262" w:lineRule="auto"/>
        <w:rPr>
          <w:sz w:val="20"/>
          <w:szCs w:val="20"/>
          <w:color w:val="auto"/>
        </w:rPr>
      </w:pPr>
      <w:r>
        <w:rPr>
          <w:rFonts w:ascii="Times New Roman" w:cs="Times New Roman" w:eastAsia="Times New Roman" w:hAnsi="Times New Roman"/>
          <w:sz w:val="14"/>
          <w:szCs w:val="14"/>
          <w:color w:val="auto"/>
        </w:rPr>
        <w:t>ICE will act independently of the Company in determining whether, when and how to dispose of any shares, and any such sales will be made for its own account. The Company is not a party to, and has not participated in, any arrangement or understanding with ICE or any other person regarding the distribution of such shares, and</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2"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59"/>
        <w:spacing w:after="0" w:line="262" w:lineRule="auto"/>
        <w:rPr>
          <w:sz w:val="20"/>
          <w:szCs w:val="20"/>
          <w:color w:val="auto"/>
        </w:rPr>
      </w:pPr>
      <w:r>
        <w:rPr>
          <w:rFonts w:ascii="Times New Roman" w:cs="Times New Roman" w:eastAsia="Times New Roman" w:hAnsi="Times New Roman"/>
          <w:sz w:val="14"/>
          <w:szCs w:val="14"/>
          <w:color w:val="auto"/>
        </w:rPr>
        <w:t>ICE is not selling shares on behalf of the Company. ICE acquired its shares for investment purposes and not with a view to distribution. To the extent that any of the shares held by ICE become eligible for resale pursuant to Rule 144 under the Securities Act, such shares may be sold in accordance with Rule 144 rather than pursuant to this prospectus.</w:t>
      </w:r>
    </w:p>
    <w:p>
      <w:pPr>
        <w:spacing w:after="0" w:line="138" w:lineRule="exact"/>
        <w:rPr>
          <w:sz w:val="20"/>
          <w:szCs w:val="20"/>
          <w:color w:val="auto"/>
        </w:rPr>
      </w:pPr>
    </w:p>
    <w:p>
      <w:pPr>
        <w:ind w:left="1400" w:right="359" w:firstLine="339"/>
        <w:spacing w:after="0" w:line="257" w:lineRule="auto"/>
        <w:rPr>
          <w:sz w:val="20"/>
          <w:szCs w:val="20"/>
          <w:color w:val="auto"/>
        </w:rPr>
      </w:pPr>
      <w:r>
        <w:rPr>
          <w:rFonts w:ascii="Times New Roman" w:cs="Times New Roman" w:eastAsia="Times New Roman" w:hAnsi="Times New Roman"/>
          <w:sz w:val="14"/>
          <w:szCs w:val="14"/>
          <w:color w:val="auto"/>
        </w:rPr>
        <w:t>In addition, as of May 4, 2026, ICE holds 230,680 Class 1 Warrants to purchase an aggregate of 230,680 shares of Class A Common Stock and 230,680 Class 2 Warrants to purchase an aggregate of 230,680 shares of Class A Common Stock (such shares of Class A Common Stock that may be issued upon exercise of those Class 1 Warrants and Class 2 Warrants, the “ICE Warrant Shares”, and together with the ICE Class A Common Stock, the “ICE Shares”). ICE acquired the Class 1 Warrants and Class 2 Warrants in a registered direct offering in February 2024.</w:t>
      </w:r>
    </w:p>
    <w:p>
      <w:pPr>
        <w:spacing w:after="0" w:line="142" w:lineRule="exact"/>
        <w:rPr>
          <w:sz w:val="20"/>
          <w:szCs w:val="20"/>
          <w:color w:val="auto"/>
        </w:rPr>
      </w:pPr>
    </w:p>
    <w:p>
      <w:pPr>
        <w:ind w:left="1400" w:right="359" w:firstLine="339"/>
        <w:spacing w:after="0" w:line="253" w:lineRule="auto"/>
        <w:rPr>
          <w:sz w:val="20"/>
          <w:szCs w:val="20"/>
          <w:color w:val="auto"/>
        </w:rPr>
      </w:pPr>
      <w:r>
        <w:rPr>
          <w:rFonts w:ascii="Times New Roman" w:cs="Times New Roman" w:eastAsia="Times New Roman" w:hAnsi="Times New Roman"/>
          <w:sz w:val="14"/>
          <w:szCs w:val="14"/>
          <w:color w:val="auto"/>
        </w:rPr>
        <w:t>The Class 1 Warrants and Class 2 Warrants are exercisable for shares of Class A Common Stock at an exercise price of $25.50 per share (subject to adjustment), payable in cash or on a cashless basis. The Class 2 Warrants include an alternative cashless exercise feature that, under certain conditions, permits the holder to receive a number of shares of Class A Common Stock equal to the intrinsic value of the warrants, determined pursuant to a formula based on the market price of the Class A Common Stock, in lieu of paying the exercise price in cash. This feature results in the issuance of fewer shares than a cash exercise, but allows the holder to realize the economic value of the warrants without any cash payment. The Class 1 Warrants and Class 2 Warrants will expire in September 2029, and include customary anti-dilution and fundamental transaction provisions.</w:t>
      </w:r>
    </w:p>
    <w:p>
      <w:pPr>
        <w:spacing w:after="0" w:line="145"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In accordance with our obligations under the Registration Rights Agreement entered into in connection with the Purchase Agreement, we agreed to register the resale of the ICE Shares. The resale of such shares is being registered solely to satisfy such contractual registration rights.</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Cohen &amp; Company Securities, LLC</w:t>
      </w:r>
    </w:p>
    <w:p>
      <w:pPr>
        <w:spacing w:after="0" w:line="90" w:lineRule="exact"/>
        <w:rPr>
          <w:sz w:val="20"/>
          <w:szCs w:val="20"/>
          <w:color w:val="auto"/>
        </w:rPr>
      </w:pPr>
    </w:p>
    <w:p>
      <w:pPr>
        <w:jc w:val="both"/>
        <w:ind w:left="1400" w:right="599" w:firstLine="339"/>
        <w:spacing w:after="0" w:line="318" w:lineRule="auto"/>
        <w:rPr>
          <w:sz w:val="20"/>
          <w:szCs w:val="20"/>
          <w:color w:val="auto"/>
        </w:rPr>
      </w:pPr>
      <w:r>
        <w:rPr>
          <w:rFonts w:ascii="Times New Roman" w:cs="Times New Roman" w:eastAsia="Times New Roman" w:hAnsi="Times New Roman"/>
          <w:sz w:val="13"/>
          <w:szCs w:val="13"/>
          <w:color w:val="auto"/>
        </w:rPr>
        <w:t>Cohen acquired 125,000 shares of Class A Common Stock pursuant to an engagement letter with the Company, in consideration for financial advisory services. The shares were issued to Cohen in reliance on the exemption from registration pursuant to Section 4(a)(2) of the Securities Act.</w:t>
      </w:r>
    </w:p>
    <w:p>
      <w:pPr>
        <w:spacing w:after="0" w:line="103"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Cohen is a registered broker-dealer and acquired its shares of Class A Common Stock covered by this prospectus as compensation for advisory services rendered to the Company pursuant to an engagement letter.</w:t>
      </w:r>
    </w:p>
    <w:p>
      <w:pPr>
        <w:spacing w:after="0" w:line="126" w:lineRule="exact"/>
        <w:rPr>
          <w:sz w:val="20"/>
          <w:szCs w:val="20"/>
          <w:color w:val="auto"/>
        </w:rPr>
      </w:pPr>
    </w:p>
    <w:p>
      <w:pPr>
        <w:ind w:left="1400" w:right="419" w:firstLine="339"/>
        <w:spacing w:after="0" w:line="255" w:lineRule="auto"/>
        <w:rPr>
          <w:sz w:val="20"/>
          <w:szCs w:val="20"/>
          <w:color w:val="auto"/>
        </w:rPr>
      </w:pPr>
      <w:r>
        <w:rPr>
          <w:rFonts w:ascii="Times New Roman" w:cs="Times New Roman" w:eastAsia="Times New Roman" w:hAnsi="Times New Roman"/>
          <w:sz w:val="14"/>
          <w:szCs w:val="14"/>
          <w:color w:val="auto"/>
        </w:rPr>
        <w:t>Cohen will act independently of the Company in determining whether, when and how to dispose of any shares, and any such sales will be made for its own account. The Company is not a party to, and has not participated in, any arrangement or understanding with Cohen or any other person regarding the distribution of such shares, and Cohen is not selling shares on behalf of the Company. Cohen acquired its shares for investment purposes and not with a view to distribution. To the extent that any of the shares held by Cohen become eligible for resale pursuant to Rule 144 under the Securities Act, such shares may be sold in accordance with Rule 144 rather than pursuant to this prospectus.</w:t>
      </w:r>
    </w:p>
    <w:p>
      <w:pPr>
        <w:spacing w:after="0" w:line="22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Daniel Ishag</w:t>
      </w:r>
    </w:p>
    <w:p>
      <w:pPr>
        <w:spacing w:after="0" w:line="173"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Daniel Ishag is the Chief Commercial Officer of the Company. Mr. Ishag is also the former sole stockholder of Gyzer Inc., which was acquired by the Company in May 2026. In connection with such acquisition, Mr. Ishag received shares of Class A Common Stock and warrants exercisable for shares of Class A Common Stock as consideration for the transaction. The securities were issued in reliance on the exemption from registration pursuant to Section 4(a)(2) of the Securities Act. The resale of such shares, including any Gyzer Acquisition Shares acquired upon exercise of the Gyzer Acquisition Warrants, is being registered pursuant to this prospectus.</w:t>
      </w:r>
    </w:p>
    <w:p>
      <w:pPr>
        <w:spacing w:after="0" w:line="142" w:lineRule="exact"/>
        <w:rPr>
          <w:sz w:val="20"/>
          <w:szCs w:val="20"/>
          <w:color w:val="auto"/>
        </w:rPr>
      </w:pPr>
    </w:p>
    <w:p>
      <w:pPr>
        <w:ind w:left="1400" w:right="299" w:firstLine="339"/>
        <w:spacing w:after="0" w:line="262" w:lineRule="auto"/>
        <w:rPr>
          <w:sz w:val="20"/>
          <w:szCs w:val="20"/>
          <w:color w:val="auto"/>
        </w:rPr>
      </w:pPr>
      <w:r>
        <w:rPr>
          <w:rFonts w:ascii="Times New Roman" w:cs="Times New Roman" w:eastAsia="Times New Roman" w:hAnsi="Times New Roman"/>
          <w:sz w:val="14"/>
          <w:szCs w:val="14"/>
          <w:color w:val="auto"/>
        </w:rPr>
        <w:t>Mr. Ishag will act independently of the Company in determining whether, when and how to dispose of any shares, and any such sales will be made for his own account. The Company is not a party to, and has not participated in, any arrangement or understanding with Mr. Ishag or any other person regarding the distribution of such shares.</w:t>
      </w:r>
    </w:p>
    <w:p>
      <w:pPr>
        <w:spacing w:after="0" w:line="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2"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Security Ownership</w:t>
      </w:r>
    </w:p>
    <w:p>
      <w:pPr>
        <w:spacing w:after="0" w:line="90" w:lineRule="exact"/>
        <w:rPr>
          <w:sz w:val="20"/>
          <w:szCs w:val="20"/>
          <w:color w:val="auto"/>
        </w:rPr>
      </w:pPr>
    </w:p>
    <w:p>
      <w:pPr>
        <w:ind w:left="1400" w:right="339" w:firstLine="339"/>
        <w:spacing w:after="0" w:line="272" w:lineRule="auto"/>
        <w:rPr>
          <w:sz w:val="20"/>
          <w:szCs w:val="20"/>
          <w:color w:val="auto"/>
        </w:rPr>
      </w:pPr>
      <w:r>
        <w:rPr>
          <w:rFonts w:ascii="Times New Roman" w:cs="Times New Roman" w:eastAsia="Times New Roman" w:hAnsi="Times New Roman"/>
          <w:sz w:val="13"/>
          <w:szCs w:val="13"/>
          <w:color w:val="auto"/>
        </w:rPr>
        <w:t>The following table sets forth information concerning the shares of Class A Common Stock that may be offered from time to time by each Selling Stockholder. The number of shares beneficially owned by each Selling Stockholder is determined under rules issued by the SEC. Under these rules, beneficial ownership includes any shares as to which the Selling Stockholder has sole or shared voting power or investment power. The percent of beneficial ownership in the table below is based on (i) 47,866,956 shares of Class A Common Stock issued and outstanding as of April 30, 2026 and</w:t>
      </w:r>
    </w:p>
    <w:p>
      <w:pPr>
        <w:spacing w:after="0" w:line="2" w:lineRule="exact"/>
        <w:rPr>
          <w:sz w:val="20"/>
          <w:szCs w:val="20"/>
          <w:color w:val="auto"/>
        </w:rPr>
      </w:pPr>
    </w:p>
    <w:p>
      <w:pPr>
        <w:ind w:left="1400" w:right="319" w:firstLine="6"/>
        <w:spacing w:after="0" w:line="248" w:lineRule="auto"/>
        <w:tabs>
          <w:tab w:leader="none" w:pos="16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(t) an additional 250,000 shares of Class A Common Stock have been issued to Mr. Ishag upon the exercise of Gyzer Acquisition Warrants, (u) an additional 725,592 shares of Class A Common Stock have been issued as Consideration Shares upon the exercise of certain outstanding warrants as described in the Purchase Agreement to Akshay Naheta and the DTR Holders, (w) 230,680 shares of Class A Common Stock have been issued to ICE upon the exercise of its Class 1 Warrants, (x) 230,680 shares of Class A Common Stock have been issued to ICE upon the exercise of its Class 2 Warrants, (y) options held by Mr. Naheta to acquire 1,308,725 shares of Class A Common Stock have been exercised and (z) 803,856 shares of Class A Common Stock relating to performance-based restricted stock units held by Mr. Naheta have vested. As of the date of this prospectus, none of the events described in clause (ii) above has occurred, and the assumptions are presented solely for purposes of calculating beneficial ownership percentages.</w:t>
      </w:r>
    </w:p>
    <w:p>
      <w:pPr>
        <w:spacing w:after="0" w:line="150" w:lineRule="exact"/>
        <w:rPr>
          <w:sz w:val="20"/>
          <w:szCs w:val="20"/>
          <w:color w:val="auto"/>
        </w:rPr>
      </w:pPr>
    </w:p>
    <w:p>
      <w:pPr>
        <w:ind w:left="1400" w:right="399" w:firstLine="339"/>
        <w:spacing w:after="0" w:line="257" w:lineRule="auto"/>
        <w:rPr>
          <w:sz w:val="20"/>
          <w:szCs w:val="20"/>
          <w:color w:val="auto"/>
        </w:rPr>
      </w:pPr>
      <w:r>
        <w:rPr>
          <w:rFonts w:ascii="Times New Roman" w:cs="Times New Roman" w:eastAsia="Times New Roman" w:hAnsi="Times New Roman"/>
          <w:sz w:val="14"/>
          <w:szCs w:val="14"/>
          <w:color w:val="auto"/>
        </w:rPr>
        <w:t>The information in the following table has been provided to us by or on behalf of the Selling Stockholders. The Selling Stockholders may have sold, transferred or otherwise disposed of all or a portion of the shares of Class A Common Stock listed below after the date on which they provided us with information regarding their securities. A Selling Stockholder may sell all, some or none of his, her or its shares of Class A Common Stock in this offering. See the section of this prospectus entitled “Plan of Distribution”.</w:t>
      </w:r>
    </w:p>
    <w:p>
      <w:pPr>
        <w:spacing w:after="0" w:line="146"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Maximum</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gridSpan w:val="2"/>
          </w:tcPr>
          <w:p>
            <w:pPr>
              <w:jc w:val="center"/>
              <w:ind w:right="320"/>
              <w:spacing w:after="0" w:line="114" w:lineRule="exact"/>
              <w:rPr>
                <w:sz w:val="20"/>
                <w:szCs w:val="20"/>
                <w:color w:val="auto"/>
              </w:rPr>
            </w:pPr>
            <w:r>
              <w:rPr>
                <w:rFonts w:ascii="Times New Roman" w:cs="Times New Roman" w:eastAsia="Times New Roman" w:hAnsi="Times New Roman"/>
                <w:sz w:val="11"/>
                <w:szCs w:val="11"/>
                <w:b w:val="1"/>
                <w:bCs w:val="1"/>
                <w:color w:val="auto"/>
                <w:w w:val="99"/>
              </w:rPr>
              <w:t>of Common Stock</w:t>
            </w:r>
          </w:p>
        </w:tc>
        <w:tc>
          <w:tcPr>
            <w:tcW w:w="154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Common Stock Beneficially</w:t>
            </w:r>
          </w:p>
        </w:tc>
        <w:tc>
          <w:tcPr>
            <w:tcW w:w="0" w:type="dxa"/>
            <w:vAlign w:val="bottom"/>
          </w:tcPr>
          <w:p>
            <w:pPr>
              <w:spacing w:after="0"/>
              <w:rPr>
                <w:sz w:val="1"/>
                <w:szCs w:val="1"/>
                <w:color w:val="auto"/>
              </w:rPr>
            </w:pPr>
          </w:p>
        </w:tc>
      </w:tr>
      <w:tr>
        <w:trPr>
          <w:trHeight w:val="114"/>
        </w:trPr>
        <w:tc>
          <w:tcPr>
            <w:tcW w:w="9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16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Common Stock Beneficially Owned</w:t>
            </w:r>
          </w:p>
        </w:tc>
        <w:tc>
          <w:tcPr>
            <w:tcW w:w="1160" w:type="dxa"/>
            <w:vAlign w:val="bottom"/>
            <w:gridSpan w:val="2"/>
          </w:tcPr>
          <w:p>
            <w:pPr>
              <w:jc w:val="center"/>
              <w:ind w:right="320"/>
              <w:spacing w:after="0" w:line="114" w:lineRule="exact"/>
              <w:rPr>
                <w:sz w:val="20"/>
                <w:szCs w:val="20"/>
                <w:color w:val="auto"/>
              </w:rPr>
            </w:pPr>
            <w:r>
              <w:rPr>
                <w:rFonts w:ascii="Times New Roman" w:cs="Times New Roman" w:eastAsia="Times New Roman" w:hAnsi="Times New Roman"/>
                <w:sz w:val="11"/>
                <w:szCs w:val="11"/>
                <w:b w:val="1"/>
                <w:bCs w:val="1"/>
                <w:color w:val="auto"/>
              </w:rPr>
              <w:t>to be Sold</w:t>
            </w:r>
          </w:p>
        </w:tc>
        <w:tc>
          <w:tcPr>
            <w:tcW w:w="15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1160" w:type="dxa"/>
            <w:vAlign w:val="bottom"/>
            <w:gridSpan w:val="2"/>
          </w:tcPr>
          <w:p>
            <w:pPr>
              <w:jc w:val="center"/>
              <w:ind w:right="320"/>
              <w:spacing w:after="0" w:line="114" w:lineRule="exact"/>
              <w:rPr>
                <w:sz w:val="20"/>
                <w:szCs w:val="20"/>
                <w:color w:val="auto"/>
              </w:rPr>
            </w:pPr>
            <w:r>
              <w:rPr>
                <w:rFonts w:ascii="Times New Roman" w:cs="Times New Roman" w:eastAsia="Times New Roman" w:hAnsi="Times New Roman"/>
                <w:sz w:val="11"/>
                <w:szCs w:val="11"/>
                <w:b w:val="1"/>
                <w:bCs w:val="1"/>
                <w:color w:val="auto"/>
              </w:rPr>
              <w:t>Pursuant to this</w:t>
            </w:r>
          </w:p>
        </w:tc>
        <w:tc>
          <w:tcPr>
            <w:tcW w:w="1540" w:type="dxa"/>
            <w:vAlign w:val="bottom"/>
            <w:gridSpan w:val="4"/>
          </w:tcPr>
          <w:p>
            <w:pPr>
              <w:jc w:val="center"/>
              <w:ind w:right="40"/>
              <w:spacing w:after="0" w:line="114" w:lineRule="exact"/>
              <w:rPr>
                <w:sz w:val="20"/>
                <w:szCs w:val="20"/>
                <w:color w:val="auto"/>
              </w:rPr>
            </w:pPr>
            <w:r>
              <w:rPr>
                <w:rFonts w:ascii="Times New Roman" w:cs="Times New Roman" w:eastAsia="Times New Roman" w:hAnsi="Times New Roman"/>
                <w:sz w:val="11"/>
                <w:szCs w:val="11"/>
                <w:b w:val="1"/>
                <w:bCs w:val="1"/>
                <w:color w:val="auto"/>
              </w:rPr>
              <w:t>Owned Upon Completion</w:t>
            </w:r>
          </w:p>
        </w:tc>
        <w:tc>
          <w:tcPr>
            <w:tcW w:w="0" w:type="dxa"/>
            <w:vAlign w:val="bottom"/>
          </w:tcPr>
          <w:p>
            <w:pPr>
              <w:spacing w:after="0"/>
              <w:rPr>
                <w:sz w:val="1"/>
                <w:szCs w:val="1"/>
                <w:color w:val="auto"/>
              </w:rPr>
            </w:pPr>
          </w:p>
        </w:tc>
      </w:tr>
      <w:tr>
        <w:trPr>
          <w:trHeight w:val="133"/>
        </w:trPr>
        <w:tc>
          <w:tcPr>
            <w:tcW w:w="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Selling Stockholder</w:t>
            </w:r>
          </w:p>
        </w:tc>
        <w:tc>
          <w:tcPr>
            <w:tcW w:w="2680" w:type="dxa"/>
            <w:vAlign w:val="bottom"/>
            <w:vMerge w:val="restart"/>
          </w:tcPr>
          <w:p>
            <w:pPr>
              <w:spacing w:after="0"/>
              <w:rPr>
                <w:sz w:val="11"/>
                <w:szCs w:val="11"/>
                <w:color w:val="auto"/>
              </w:rPr>
            </w:pPr>
          </w:p>
        </w:tc>
        <w:tc>
          <w:tcPr>
            <w:tcW w:w="2160" w:type="dxa"/>
            <w:vAlign w:val="bottom"/>
            <w:gridSpan w:val="4"/>
          </w:tcPr>
          <w:p>
            <w:pPr>
              <w:jc w:val="right"/>
              <w:ind w:right="760"/>
              <w:spacing w:after="0"/>
              <w:rPr>
                <w:sz w:val="20"/>
                <w:szCs w:val="20"/>
                <w:color w:val="auto"/>
              </w:rPr>
            </w:pPr>
            <w:r>
              <w:rPr>
                <w:rFonts w:ascii="Times New Roman" w:cs="Times New Roman" w:eastAsia="Times New Roman" w:hAnsi="Times New Roman"/>
                <w:sz w:val="11"/>
                <w:szCs w:val="11"/>
                <w:b w:val="1"/>
                <w:bCs w:val="1"/>
                <w:color w:val="auto"/>
              </w:rPr>
              <w:t>Before this Offering</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Prospectus</w:t>
            </w:r>
          </w:p>
        </w:tc>
        <w:tc>
          <w:tcPr>
            <w:tcW w:w="154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of this Offering</w:t>
            </w:r>
          </w:p>
        </w:tc>
        <w:tc>
          <w:tcPr>
            <w:tcW w:w="0" w:type="dxa"/>
            <w:vAlign w:val="bottom"/>
          </w:tcPr>
          <w:p>
            <w:pPr>
              <w:spacing w:after="0"/>
              <w:rPr>
                <w:sz w:val="1"/>
                <w:szCs w:val="1"/>
                <w:color w:val="auto"/>
              </w:rPr>
            </w:pPr>
          </w:p>
        </w:tc>
      </w:tr>
      <w:tr>
        <w:trPr>
          <w:trHeight w:val="114"/>
        </w:trPr>
        <w:tc>
          <w:tcPr>
            <w:tcW w:w="940" w:type="dxa"/>
            <w:vAlign w:val="bottom"/>
            <w:tcBorders>
              <w:bottom w:val="single" w:sz="8" w:color="auto"/>
            </w:tcBorders>
            <w:vMerge w:val="continue"/>
          </w:tcPr>
          <w:p>
            <w:pPr>
              <w:spacing w:after="0"/>
              <w:rPr>
                <w:sz w:val="9"/>
                <w:szCs w:val="9"/>
                <w:color w:val="auto"/>
              </w:rPr>
            </w:pPr>
          </w:p>
        </w:tc>
        <w:tc>
          <w:tcPr>
            <w:tcW w:w="2680" w:type="dxa"/>
            <w:vAlign w:val="bottom"/>
            <w:vMerge w:val="continue"/>
          </w:tcPr>
          <w:p>
            <w:pPr>
              <w:spacing w:after="0"/>
              <w:rPr>
                <w:sz w:val="9"/>
                <w:szCs w:val="9"/>
                <w:color w:val="auto"/>
              </w:rPr>
            </w:pPr>
          </w:p>
        </w:tc>
        <w:tc>
          <w:tcPr>
            <w:tcW w:w="1160" w:type="dxa"/>
            <w:vAlign w:val="bottom"/>
            <w:tcBorders>
              <w:top w:val="single" w:sz="8" w:color="auto"/>
            </w:tcBorders>
            <w:gridSpan w:val="2"/>
          </w:tcPr>
          <w:p>
            <w:pPr>
              <w:ind w:left="220"/>
              <w:spacing w:after="0" w:line="94" w:lineRule="exact"/>
              <w:rPr>
                <w:sz w:val="20"/>
                <w:szCs w:val="20"/>
                <w:color w:val="auto"/>
              </w:rPr>
            </w:pPr>
            <w:r>
              <w:rPr>
                <w:rFonts w:ascii="Times New Roman" w:cs="Times New Roman" w:eastAsia="Times New Roman" w:hAnsi="Times New Roman"/>
                <w:sz w:val="10"/>
                <w:szCs w:val="10"/>
                <w:b w:val="1"/>
                <w:bCs w:val="1"/>
                <w:color w:val="auto"/>
              </w:rPr>
              <w:t>Number</w:t>
            </w:r>
          </w:p>
        </w:tc>
        <w:tc>
          <w:tcPr>
            <w:tcW w:w="680" w:type="dxa"/>
            <w:vAlign w:val="bottom"/>
            <w:tcBorders>
              <w:top w:val="single" w:sz="8" w:color="auto"/>
            </w:tcBorders>
          </w:tcPr>
          <w:p>
            <w:pPr>
              <w:jc w:val="right"/>
              <w:ind w:right="12"/>
              <w:spacing w:after="0" w:line="94"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320" w:type="dxa"/>
            <w:vAlign w:val="bottom"/>
          </w:tcPr>
          <w:p>
            <w:pPr>
              <w:spacing w:after="0"/>
              <w:rPr>
                <w:sz w:val="9"/>
                <w:szCs w:val="9"/>
                <w:color w:val="auto"/>
              </w:rPr>
            </w:pPr>
          </w:p>
        </w:tc>
        <w:tc>
          <w:tcPr>
            <w:tcW w:w="860" w:type="dxa"/>
            <w:vAlign w:val="bottom"/>
            <w:tcBorders>
              <w:top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Number</w:t>
            </w:r>
          </w:p>
        </w:tc>
        <w:tc>
          <w:tcPr>
            <w:tcW w:w="300" w:type="dxa"/>
            <w:vAlign w:val="bottom"/>
          </w:tcPr>
          <w:p>
            <w:pPr>
              <w:spacing w:after="0"/>
              <w:rPr>
                <w:sz w:val="9"/>
                <w:szCs w:val="9"/>
                <w:color w:val="auto"/>
              </w:rPr>
            </w:pPr>
          </w:p>
        </w:tc>
        <w:tc>
          <w:tcPr>
            <w:tcW w:w="920" w:type="dxa"/>
            <w:vAlign w:val="bottom"/>
            <w:tcBorders>
              <w:top w:val="single" w:sz="8" w:color="auto"/>
            </w:tcBorders>
            <w:gridSpan w:val="2"/>
          </w:tcPr>
          <w:p>
            <w:pPr>
              <w:jc w:val="right"/>
              <w:ind w:right="420"/>
              <w:spacing w:after="0" w:line="94" w:lineRule="exact"/>
              <w:rPr>
                <w:sz w:val="20"/>
                <w:szCs w:val="20"/>
                <w:color w:val="auto"/>
              </w:rPr>
            </w:pPr>
            <w:r>
              <w:rPr>
                <w:rFonts w:ascii="Times New Roman" w:cs="Times New Roman" w:eastAsia="Times New Roman" w:hAnsi="Times New Roman"/>
                <w:sz w:val="10"/>
                <w:szCs w:val="10"/>
                <w:b w:val="1"/>
                <w:bCs w:val="1"/>
                <w:color w:val="auto"/>
              </w:rPr>
              <w:t>Number</w:t>
            </w:r>
          </w:p>
        </w:tc>
        <w:tc>
          <w:tcPr>
            <w:tcW w:w="580" w:type="dxa"/>
            <w:vAlign w:val="bottom"/>
            <w:tcBorders>
              <w:top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62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Akshay Naheta</w:t>
            </w:r>
            <w:r>
              <w:rPr>
                <w:rFonts w:ascii="Times New Roman" w:cs="Times New Roman" w:eastAsia="Times New Roman" w:hAnsi="Times New Roman"/>
                <w:sz w:val="17"/>
                <w:szCs w:val="17"/>
                <w:color w:val="auto"/>
                <w:vertAlign w:val="superscript"/>
              </w:rPr>
              <w:t>(1)</w:t>
            </w:r>
          </w:p>
        </w:tc>
        <w:tc>
          <w:tcPr>
            <w:tcW w:w="8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11,522,681</w:t>
            </w: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23.1</w:t>
            </w:r>
          </w:p>
        </w:tc>
        <w:tc>
          <w:tcPr>
            <w:tcW w:w="3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8,926,320</w:t>
            </w:r>
          </w:p>
        </w:tc>
        <w:tc>
          <w:tcPr>
            <w:tcW w:w="3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3,129,999</w:t>
            </w:r>
          </w:p>
        </w:tc>
        <w:tc>
          <w:tcPr>
            <w:tcW w:w="3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Global Clara Futurum Ltd</w:t>
            </w:r>
            <w:r>
              <w:rPr>
                <w:rFonts w:ascii="Times New Roman" w:cs="Times New Roman" w:eastAsia="Times New Roman" w:hAnsi="Times New Roman"/>
                <w:sz w:val="19"/>
                <w:szCs w:val="19"/>
                <w:color w:val="auto"/>
                <w:vertAlign w:val="superscript"/>
              </w:rPr>
              <w:t>(2)</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266,828</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283,936</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362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Khabri Limited</w:t>
            </w:r>
            <w:r>
              <w:rPr>
                <w:rFonts w:ascii="Times New Roman" w:cs="Times New Roman" w:eastAsia="Times New Roman" w:hAnsi="Times New Roman"/>
                <w:sz w:val="19"/>
                <w:szCs w:val="19"/>
                <w:color w:val="auto"/>
                <w:vertAlign w:val="superscript"/>
              </w:rPr>
              <w:t>(3)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159,633</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169,868</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B72 Ventures UG</w:t>
            </w:r>
            <w:r>
              <w:rPr>
                <w:rFonts w:ascii="Times New Roman" w:cs="Times New Roman" w:eastAsia="Times New Roman" w:hAnsi="Times New Roman"/>
                <w:sz w:val="19"/>
                <w:szCs w:val="19"/>
                <w:color w:val="auto"/>
                <w:vertAlign w:val="superscript"/>
              </w:rPr>
              <w:t>(4)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273,861</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291,420</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362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Michael Krupa</w:t>
            </w:r>
            <w:r>
              <w:rPr>
                <w:rFonts w:ascii="Times New Roman" w:cs="Times New Roman" w:eastAsia="Times New Roman" w:hAnsi="Times New Roman"/>
                <w:sz w:val="19"/>
                <w:szCs w:val="19"/>
                <w:color w:val="auto"/>
                <w:vertAlign w:val="superscript"/>
              </w:rPr>
              <w:t>(5)</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40,516</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20,787</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20,981</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Jason Griffith</w:t>
            </w:r>
            <w:r>
              <w:rPr>
                <w:rFonts w:ascii="Times New Roman" w:cs="Times New Roman" w:eastAsia="Times New Roman" w:hAnsi="Times New Roman"/>
                <w:sz w:val="19"/>
                <w:szCs w:val="19"/>
                <w:color w:val="auto"/>
                <w:vertAlign w:val="superscript"/>
              </w:rPr>
              <w:t>(6)</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129,910</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138,239</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362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Lotus Grove Trust</w:t>
            </w:r>
            <w:r>
              <w:rPr>
                <w:rFonts w:ascii="Times New Roman" w:cs="Times New Roman" w:eastAsia="Times New Roman" w:hAnsi="Times New Roman"/>
                <w:sz w:val="19"/>
                <w:szCs w:val="19"/>
                <w:color w:val="auto"/>
                <w:vertAlign w:val="superscript"/>
              </w:rPr>
              <w:t>(7)</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735,615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782,780</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Clear Haven STAR Trust</w:t>
            </w:r>
            <w:r>
              <w:rPr>
                <w:rFonts w:ascii="Times New Roman" w:cs="Times New Roman" w:eastAsia="Times New Roman" w:hAnsi="Times New Roman"/>
                <w:sz w:val="19"/>
                <w:szCs w:val="19"/>
                <w:color w:val="auto"/>
                <w:vertAlign w:val="superscript"/>
              </w:rPr>
              <w:t>(8)</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1,408,445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1,498,750</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Intercontinental Exchange Holdings, Inc.</w:t>
            </w:r>
            <w:r>
              <w:rPr>
                <w:rFonts w:ascii="Times New Roman" w:cs="Times New Roman" w:eastAsia="Times New Roman" w:hAnsi="Times New Roman"/>
                <w:sz w:val="19"/>
                <w:szCs w:val="19"/>
                <w:color w:val="auto"/>
                <w:vertAlign w:val="superscript"/>
              </w:rPr>
              <w:t>(9)</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8,380,362</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17.3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8,380,362</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Cohen &amp; Company Securities, LLC</w:t>
            </w:r>
            <w:r>
              <w:rPr>
                <w:rFonts w:ascii="Times New Roman" w:cs="Times New Roman" w:eastAsia="Times New Roman" w:hAnsi="Times New Roman"/>
                <w:sz w:val="19"/>
                <w:szCs w:val="19"/>
                <w:color w:val="auto"/>
                <w:vertAlign w:val="superscript"/>
              </w:rPr>
              <w:t>(10)</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125,000</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362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Kelly Loeffler</w:t>
            </w:r>
            <w:r>
              <w:rPr>
                <w:rFonts w:ascii="Times New Roman" w:cs="Times New Roman" w:eastAsia="Times New Roman" w:hAnsi="Times New Roman"/>
                <w:sz w:val="19"/>
                <w:szCs w:val="19"/>
                <w:color w:val="auto"/>
                <w:vertAlign w:val="superscript"/>
              </w:rPr>
              <w:t>(11)</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194,949</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48,583</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146,366</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3"/>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Ishag</w:t>
            </w:r>
            <w:r>
              <w:rPr>
                <w:rFonts w:ascii="Times New Roman" w:cs="Times New Roman" w:eastAsia="Times New Roman" w:hAnsi="Times New Roman"/>
                <w:sz w:val="20"/>
                <w:szCs w:val="20"/>
                <w:color w:val="auto"/>
                <w:vertAlign w:val="superscript"/>
              </w:rPr>
              <w:t>(12)</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94,595</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344,595</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-1270</wp:posOffset>
            </wp:positionV>
            <wp:extent cx="59372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3725" cy="6350"/>
                    </a:xfrm>
                    <a:prstGeom prst="rect">
                      <a:avLst/>
                    </a:prstGeom>
                    <a:noFill/>
                  </pic:spPr>
                </pic:pic>
              </a:graphicData>
            </a:graphic>
          </wp:anchor>
        </w:drawing>
      </w:r>
    </w:p>
    <w:p>
      <w:pPr>
        <w:spacing w:after="0" w:line="4" w:lineRule="exact"/>
        <w:rPr>
          <w:sz w:val="20"/>
          <w:szCs w:val="20"/>
          <w:color w:val="auto"/>
        </w:rPr>
      </w:pPr>
    </w:p>
    <w:p>
      <w:pPr>
        <w:ind w:left="1740" w:hanging="334"/>
        <w:spacing w:after="0"/>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0" w:lineRule="exact"/>
        <w:rPr>
          <w:sz w:val="20"/>
          <w:szCs w:val="20"/>
          <w:color w:val="auto"/>
        </w:rPr>
      </w:pPr>
    </w:p>
    <w:p>
      <w:pPr>
        <w:ind w:left="1740" w:right="339" w:hanging="334"/>
        <w:spacing w:after="0" w:line="248"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March 21, 2025, Akshay Naheta was appointed Co-Chief Executive Officer of the Company and a member of the Board. Effective August 11, 2025, Mr. Naheta became the Chief Executive Officer and President of the Company. Mr. Naheta’s shares that are covered by this prospectus consist of 8,322,949 shares of Class A Common Stock issued as consideration in connection with the DTR Acquisition and 69,733 shares of Class A Common Stock issued in connection with the Up-C Collapse. Mr. Naheta has sole voting and investment control over the securities. In addition, Mr. Naheta is the beneficial owner of (i) 1,087,151 shares of Class A Common Stock, (ii) options to acquire 1,308,725 shares of Class A Common Stock and (iii) 803,856 shares of Class A Common Stock relating to performance-based restricted stock units that vest upon the attainment of stock price metrics. Assumes that an additional 533,638 shares of Class A Common Stock have been issued to Mr. Naheta as Consideration Shares upon the exercise of certain outstanding warrants as described in the Purchase Agreement.</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740" w:right="299" w:hanging="334"/>
        <w:spacing w:after="0" w:line="252"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Clara Futurum Ltd is a Cyprus private company limited by shares. Intolegal Ltd., a Cyprus private company limited by shares, is the sole corporate director of Global Clara Futurum Ltd, and Anapel Panayi is the sole director of Intolegal Ltd. Remi Tuyaerts has voting and investment control over the securities held by Global Clara Futurum Ltd. The securities were issued as consideration in connection with the DTR Acquisition. Assumes that an additional 17,108 shares of Class A Common Stock have been issued to Global Clara Futurum Ltd as Consideration Shares upon the exercise of certain outstanding warrants as described in the Purchase Agreement.</w:t>
      </w:r>
    </w:p>
    <w:p>
      <w:pPr>
        <w:spacing w:after="0" w:line="1" w:lineRule="exact"/>
        <w:rPr>
          <w:rFonts w:ascii="Times New Roman" w:cs="Times New Roman" w:eastAsia="Times New Roman" w:hAnsi="Times New Roman"/>
          <w:sz w:val="14"/>
          <w:szCs w:val="14"/>
          <w:color w:val="auto"/>
        </w:rPr>
      </w:pPr>
    </w:p>
    <w:p>
      <w:pPr>
        <w:ind w:left="1740" w:right="339" w:hanging="334"/>
        <w:spacing w:after="0" w:line="247"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Khabri Limited is a private limited company incorporated in England and Wales. Hasan Souat Hilmi Sabri has voting and investment control over the securities held by Khabri Limited. The securities were issued as consideration in connection with the DTR Acquisition. Assumes that an additional 10,235 shares of Class A Common Stock have been issued to Khabri Limited as Consideration Shares upon the exercise of certain outstanding warrants as described in the Purchase Agreement.</w:t>
      </w:r>
    </w:p>
    <w:p>
      <w:pPr>
        <w:spacing w:after="0" w:line="2" w:lineRule="exact"/>
        <w:rPr>
          <w:rFonts w:ascii="Times New Roman" w:cs="Times New Roman" w:eastAsia="Times New Roman" w:hAnsi="Times New Roman"/>
          <w:sz w:val="14"/>
          <w:szCs w:val="14"/>
          <w:color w:val="auto"/>
        </w:rPr>
      </w:pPr>
    </w:p>
    <w:p>
      <w:pPr>
        <w:ind w:left="1740" w:right="299" w:hanging="334"/>
        <w:spacing w:after="0" w:line="247"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B72 Ventures UG is a corporation organized under the laws of Germany. Tobias Buck has voting and investment control over the securities held by B72 Ventures UG. The securities were issued as consideration in connection with the DTR Acquisition. Assumes that an additional 17,559 shares of Class A Common Stock have been issued to B72 Ventures UG as Consideration Shares upon the exercise of certain outstanding warrants as described in the Purchase Agreement.</w:t>
      </w:r>
    </w:p>
    <w:p>
      <w:pPr>
        <w:spacing w:after="0" w:line="2" w:lineRule="exact"/>
        <w:rPr>
          <w:rFonts w:ascii="Times New Roman" w:cs="Times New Roman" w:eastAsia="Times New Roman" w:hAnsi="Times New Roman"/>
          <w:sz w:val="14"/>
          <w:szCs w:val="14"/>
          <w:color w:val="auto"/>
        </w:rPr>
      </w:pPr>
    </w:p>
    <w:p>
      <w:pPr>
        <w:ind w:left="1740" w:right="299" w:hanging="334"/>
        <w:spacing w:after="0" w:line="247"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Krupa serves as Vice President, Corporate Development and Operations of the Company. Mr. Krupa was previously a shareholder of DTR. The securities were issued as consideration in connection with the DTR Acquisition. Mr. Krupa has sole voting and investment control over the securities. Assumes that an additional 1,253 shares of Class A Common Stock have been issued to Mr. Krupa as Consideration Shares upon the exercise of certain outstanding warrants as described in the Purchase Agreement.</w:t>
      </w:r>
    </w:p>
    <w:p>
      <w:pPr>
        <w:spacing w:after="0" w:line="2" w:lineRule="exact"/>
        <w:rPr>
          <w:rFonts w:ascii="Times New Roman" w:cs="Times New Roman" w:eastAsia="Times New Roman" w:hAnsi="Times New Roman"/>
          <w:sz w:val="14"/>
          <w:szCs w:val="14"/>
          <w:color w:val="auto"/>
        </w:rPr>
      </w:pPr>
    </w:p>
    <w:p>
      <w:pPr>
        <w:ind w:left="1740" w:right="279" w:hanging="334"/>
        <w:spacing w:after="0" w:line="247"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Jason Daniel Griffith previously provided services to the Company pursuant to a consulting agreement. The securities were issued as consideration in connection with the DTR Acquisition. Mr. Griffith has sole voting and investment control over the securities. Assumes that an additional 8,329 shares of Class A Common Stock have been issued to Mr. Griffith as Consideration Shares upon the exercise of certain outstanding warrants as described in the Purchase Agreement.</w:t>
      </w:r>
    </w:p>
    <w:p>
      <w:pPr>
        <w:spacing w:after="0" w:line="2" w:lineRule="exact"/>
        <w:rPr>
          <w:rFonts w:ascii="Times New Roman" w:cs="Times New Roman" w:eastAsia="Times New Roman" w:hAnsi="Times New Roman"/>
          <w:sz w:val="14"/>
          <w:szCs w:val="14"/>
          <w:color w:val="auto"/>
        </w:rPr>
      </w:pPr>
    </w:p>
    <w:p>
      <w:pPr>
        <w:ind w:left="1740" w:right="399" w:hanging="334"/>
        <w:spacing w:after="0" w:line="247"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Lotus Grove Trust is an irrevocable trust established under the laws of the Cayman Islands. Tobias Buck, as trustee, has voting and investment control over the securities held by Lotus Grove Trust. The Lotus Grove Trust is a trust for the benefit of certain members of Mr. Naheta’s immediate family. Mr. Naheta does not have any pecuniary interest in the Lotus Grove Trust and will not exercise voting control or investment power over such shares of Class A Common Stock held by the Lotus Grove Trust. The securities were issued as consideration in connection with the DTR Acquisition. Assumes that an additional 47,165 shares of Class A Common Stock have been issued to Lotus Grove Trust as Consideration Shares upon the exercise of certain outstanding warrants as described in the Purchase Agreement.</w:t>
      </w:r>
    </w:p>
    <w:p>
      <w:pPr>
        <w:spacing w:after="0" w:line="3" w:lineRule="exact"/>
        <w:rPr>
          <w:rFonts w:ascii="Times New Roman" w:cs="Times New Roman" w:eastAsia="Times New Roman" w:hAnsi="Times New Roman"/>
          <w:sz w:val="14"/>
          <w:szCs w:val="14"/>
          <w:color w:val="auto"/>
        </w:rPr>
      </w:pPr>
    </w:p>
    <w:p>
      <w:pPr>
        <w:ind w:left="1740" w:right="659" w:hanging="334"/>
        <w:spacing w:after="0" w:line="247"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 Haven STAR Trust is an irrevocable STAR trust established under the laws of the Cayman Islands. ITA Global Trust Ltd, a company incorporated in the Cayman Islands, serves as trustee, and the directors of ITA Global Trust Ltd have voting and investment control over the securities held by the trust. The securities were issued as consideration in connection with the DTR Acquisition. Assumes that an additional 90,305 shares of Class A Common Stock have been issued to Clear Haven STAR Trust as Consideration Shares upon the exercise of certain outstanding warrants as described in the Purchase Agreement.</w:t>
      </w:r>
    </w:p>
    <w:p>
      <w:pPr>
        <w:spacing w:after="0" w:line="2" w:lineRule="exact"/>
        <w:rPr>
          <w:rFonts w:ascii="Times New Roman" w:cs="Times New Roman" w:eastAsia="Times New Roman" w:hAnsi="Times New Roman"/>
          <w:sz w:val="14"/>
          <w:szCs w:val="14"/>
          <w:color w:val="auto"/>
        </w:rPr>
      </w:pPr>
    </w:p>
    <w:p>
      <w:pPr>
        <w:ind w:left="1740" w:right="299" w:hanging="334"/>
        <w:spacing w:after="0" w:line="266" w:lineRule="auto"/>
        <w:tabs>
          <w:tab w:leader="none" w:pos="1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Intercontinental Exchange Holdings, Inc. is a Delaware corporation. ICE has been a significant holder of the Company’s capital stock since the closing of our business combination with VPC Impact Acquisition Holdings on October 15, 2021. Consists of 461,360 shares of Class A Common Stock underlying warrants and 7,919,002 shares of Class A Common Stock. ICE is a wholly owned subsidiary of Intercontinental Exchange, Inc.</w:t>
      </w:r>
    </w:p>
    <w:p>
      <w:pPr>
        <w:spacing w:after="0" w:line="1" w:lineRule="exact"/>
        <w:rPr>
          <w:rFonts w:ascii="Times New Roman" w:cs="Times New Roman" w:eastAsia="Times New Roman" w:hAnsi="Times New Roman"/>
          <w:sz w:val="13"/>
          <w:szCs w:val="13"/>
          <w:color w:val="auto"/>
        </w:rPr>
      </w:pPr>
    </w:p>
    <w:p>
      <w:pPr>
        <w:ind w:left="1740" w:right="419" w:hanging="334"/>
        <w:spacing w:after="0" w:line="247"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Cohen &amp; Company Securities, LLC is a Delaware limited liability company and a registered broker-dealer. Cohen &amp; Company Securities, LLC has acted as a financial advisor, underwriter and placement agent to the Company from time to time. The securities were issued as compensation for advisory services rendered to the Company. Jerry Serowik has voting and investment control over the securities held by Cohen &amp; Company Securities, LLC.</w:t>
      </w:r>
    </w:p>
    <w:p>
      <w:pPr>
        <w:spacing w:after="0" w:line="2" w:lineRule="exact"/>
        <w:rPr>
          <w:rFonts w:ascii="Times New Roman" w:cs="Times New Roman" w:eastAsia="Times New Roman" w:hAnsi="Times New Roman"/>
          <w:sz w:val="14"/>
          <w:szCs w:val="14"/>
          <w:color w:val="auto"/>
        </w:rPr>
      </w:pPr>
    </w:p>
    <w:p>
      <w:pPr>
        <w:ind w:left="1740" w:right="579" w:hanging="334"/>
        <w:spacing w:after="0" w:line="247"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Kelly Loeffler has been a holder of the Company’s capital stock since the closing of our business combination with VPC Impact Acquisition Holdings on October 15, 2021. The securities were issued in connection with the Up-C Collapse. Ms. Loeffler has sole voting and investment control over the securities.</w:t>
      </w:r>
    </w:p>
    <w:p>
      <w:pPr>
        <w:spacing w:after="0" w:line="1" w:lineRule="exact"/>
        <w:rPr>
          <w:rFonts w:ascii="Times New Roman" w:cs="Times New Roman" w:eastAsia="Times New Roman" w:hAnsi="Times New Roman"/>
          <w:sz w:val="14"/>
          <w:szCs w:val="14"/>
          <w:color w:val="auto"/>
        </w:rPr>
      </w:pPr>
    </w:p>
    <w:p>
      <w:pPr>
        <w:ind w:left="1740" w:right="379" w:hanging="334"/>
        <w:spacing w:after="0" w:line="251"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Daniel Ishag serves as Chief Commercial Officer of the Company. The securities were issued as consideration in connection with the Company’s acquisition of Gyzer Inc. Mr. Ishag has sole voting and investment control over the securities. Assumes that an additional 250,000 shares of Class A Common Stock have been issued to Mr. Ishag upon the exercise of Gyzer Acquisition Warrants.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2"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3" w:lineRule="exact"/>
        <w:rPr>
          <w:sz w:val="20"/>
          <w:szCs w:val="20"/>
          <w:color w:val="auto"/>
        </w:rPr>
      </w:pPr>
    </w:p>
    <w:p>
      <w:pPr>
        <w:ind w:left="1400" w:right="279" w:firstLine="339"/>
        <w:spacing w:after="0" w:line="270" w:lineRule="auto"/>
        <w:rPr>
          <w:sz w:val="20"/>
          <w:szCs w:val="20"/>
          <w:color w:val="auto"/>
        </w:rPr>
      </w:pPr>
      <w:r>
        <w:rPr>
          <w:rFonts w:ascii="Times New Roman" w:cs="Times New Roman" w:eastAsia="Times New Roman" w:hAnsi="Times New Roman"/>
          <w:sz w:val="13"/>
          <w:szCs w:val="13"/>
          <w:color w:val="auto"/>
        </w:rPr>
        <w:t>We are registering the shares of Class A Common Stock issued to the Selling Stockholders to permit the resale of such shares by such holder from time to time after the date of this prospectus. We are not selling any securities under this prospectus and will not receive any proceeds from the resale of shares by the Selling Stockholders. The Selling Stockholders may from time to time offer some or all of the shares of Common Stock covered by this prospectus. To the extent required, this prospectus may be amended and supplemented from time to time to describe a specific plan of distribution. We have not entered into any agreement, arrangement or understanding with any Selling Stockholder or any other person regarding the distribution of the shares. The Company has not provided, and will not provide, any financing or other assistance to the Selling Stockholders in connection with the resale of the shares. The Selling Stockholders will not pay any of the costs, expenses and fees in connection with the registration of the shares covered by this prospectus, but they will pay any and all underwriting discounts, selling commissions and similar charges attributable to sales of the shares. All proceeds from the resale of shares will be received by the Selling Stockholders for their own accounts. The Selling Stockholders may sell some or all of the shares of Class A Common Stock covered by this prospectus from time to time or may decide not to sell any of the shares of Common Stock covered by this prospectus. As used in this prospectus, “Selling Stockholders” includes any transferees of Registrable Securities who become parties to the Registration Rights Agreement in accordance with its terms, including by executing a joinder thereto. The Selling Stockholders will act independently of us in making decisions with respect to the timing, manner and size of each sale. We have no control over, and will not participate in, any such sales. Such sales are not being made pursuant to any underwriting or other coordinated distribution arrangement on behalf of the Company, and will be made in ordinary brokerage transactions, block trades, privately negotiated transactions or similar transactions. Such sales may be made on one or more exchanges or in the over-the-counter market at prices and under terms then prevailing or at prices related to the then-current market price or in negotiated transactions. The Selling Stockholders may dispose of their shares by one or more of, or a combination of, the following methods:</w:t>
      </w:r>
    </w:p>
    <w:p>
      <w:pPr>
        <w:spacing w:after="0" w:line="228" w:lineRule="exact"/>
        <w:rPr>
          <w:sz w:val="20"/>
          <w:szCs w:val="20"/>
          <w:color w:val="auto"/>
        </w:rPr>
      </w:pPr>
    </w:p>
    <w:p>
      <w:pPr>
        <w:ind w:left="2160" w:hanging="339"/>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such broker-dealer for its own account pursuant to this prospectus;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 solicits purchasers;</w:t>
      </w:r>
    </w:p>
    <w:p>
      <w:pPr>
        <w:spacing w:after="0" w:line="98" w:lineRule="exact"/>
        <w:rPr>
          <w:rFonts w:ascii="Times New Roman" w:cs="Times New Roman" w:eastAsia="Times New Roman" w:hAnsi="Times New Roman"/>
          <w:sz w:val="14"/>
          <w:szCs w:val="14"/>
          <w:color w:val="auto"/>
        </w:rPr>
      </w:pPr>
    </w:p>
    <w:p>
      <w:pPr>
        <w:ind w:left="2160" w:right="279" w:hanging="339"/>
        <w:spacing w:after="0" w:line="278" w:lineRule="auto"/>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so engaged will attempt to sell the shares as agent but may position and resell a portion of the block as principal to facilitate the transaction;</w:t>
      </w:r>
    </w:p>
    <w:p>
      <w:pPr>
        <w:spacing w:after="0" w:line="52" w:lineRule="exact"/>
        <w:rPr>
          <w:rFonts w:ascii="Times New Roman" w:cs="Times New Roman" w:eastAsia="Times New Roman" w:hAnsi="Times New Roman"/>
          <w:sz w:val="14"/>
          <w:szCs w:val="14"/>
          <w:color w:val="auto"/>
        </w:rPr>
      </w:pPr>
    </w:p>
    <w:p>
      <w:pPr>
        <w:ind w:left="2160" w:right="299" w:hanging="339"/>
        <w:spacing w:after="0" w:line="262" w:lineRule="auto"/>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trading plans entered into by Selling Stockholders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64"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 or</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 above methods of sale.</w:t>
      </w:r>
    </w:p>
    <w:p>
      <w:pPr>
        <w:spacing w:after="0" w:line="17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In addition, any shares that qualify for sale pursuant to Rule 144 may be sold under Rule 144 rather than pursuant to this prospectus.</w:t>
      </w:r>
    </w:p>
    <w:p>
      <w:pPr>
        <w:spacing w:after="0" w:line="171" w:lineRule="exact"/>
        <w:rPr>
          <w:sz w:val="20"/>
          <w:szCs w:val="20"/>
          <w:color w:val="auto"/>
        </w:rPr>
      </w:pPr>
    </w:p>
    <w:p>
      <w:pPr>
        <w:ind w:left="1400" w:right="299" w:firstLine="339"/>
        <w:spacing w:after="0" w:line="262" w:lineRule="auto"/>
        <w:rPr>
          <w:sz w:val="20"/>
          <w:szCs w:val="20"/>
          <w:color w:val="auto"/>
        </w:rPr>
      </w:pPr>
      <w:r>
        <w:rPr>
          <w:rFonts w:ascii="Times New Roman" w:cs="Times New Roman" w:eastAsia="Times New Roman" w:hAnsi="Times New Roman"/>
          <w:sz w:val="14"/>
          <w:szCs w:val="14"/>
          <w:color w:val="auto"/>
        </w:rPr>
        <w:t>The Selling Stockholders do not currently have any agreements, arrangements or understandings with any person to distribute the shares. The Company has not participated in, and will not participate in, any such arrangements or in the resale of the shares. The Company has not been involved in identifying or engaging any such persons.</w:t>
      </w:r>
    </w:p>
    <w:p>
      <w:pPr>
        <w:spacing w:after="0" w:line="138" w:lineRule="exact"/>
        <w:rPr>
          <w:sz w:val="20"/>
          <w:szCs w:val="20"/>
          <w:color w:val="auto"/>
        </w:rPr>
      </w:pPr>
    </w:p>
    <w:p>
      <w:pPr>
        <w:ind w:left="1400" w:right="299" w:firstLine="339"/>
        <w:spacing w:after="0" w:line="318" w:lineRule="auto"/>
        <w:rPr>
          <w:sz w:val="20"/>
          <w:szCs w:val="20"/>
          <w:color w:val="auto"/>
        </w:rPr>
      </w:pPr>
      <w:r>
        <w:rPr>
          <w:rFonts w:ascii="Times New Roman" w:cs="Times New Roman" w:eastAsia="Times New Roman" w:hAnsi="Times New Roman"/>
          <w:sz w:val="13"/>
          <w:szCs w:val="13"/>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03" w:lineRule="exact"/>
        <w:rPr>
          <w:sz w:val="20"/>
          <w:szCs w:val="20"/>
          <w:color w:val="auto"/>
        </w:rPr>
      </w:pPr>
    </w:p>
    <w:p>
      <w:pPr>
        <w:jc w:val="both"/>
        <w:ind w:left="1400" w:right="439" w:firstLine="339"/>
        <w:spacing w:after="0" w:line="292" w:lineRule="auto"/>
        <w:rPr>
          <w:sz w:val="20"/>
          <w:szCs w:val="20"/>
          <w:color w:val="auto"/>
        </w:rPr>
      </w:pPr>
      <w:r>
        <w:rPr>
          <w:rFonts w:ascii="Times New Roman" w:cs="Times New Roman" w:eastAsia="Times New Roman" w:hAnsi="Times New Roman"/>
          <w:sz w:val="13"/>
          <w:szCs w:val="13"/>
          <w:color w:val="auto"/>
        </w:rPr>
        <w:t>In offering the shares covered by this prospectus, the Selling Stockholders and any broker-dealers who execute sales for the selling stockholders may be deemed to be or are “underwriters” within the meaning of the Securities Act in connection with such sales. Any profits realized by the Selling Stockholders and the compensation of any broker-dealer may be deemed to be underwriting commissions, discounts or concessions.</w:t>
      </w:r>
    </w:p>
    <w:p>
      <w:pPr>
        <w:spacing w:after="0" w:line="6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2"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99" w:firstLine="339"/>
        <w:spacing w:after="0" w:line="262" w:lineRule="auto"/>
        <w:rPr>
          <w:sz w:val="20"/>
          <w:szCs w:val="20"/>
          <w:color w:val="auto"/>
        </w:rPr>
      </w:pPr>
      <w:r>
        <w:rPr>
          <w:rFonts w:ascii="Times New Roman" w:cs="Times New Roman" w:eastAsia="Times New Roman" w:hAnsi="Times New Roman"/>
          <w:sz w:val="14"/>
          <w:szCs w:val="14"/>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38" w:lineRule="exact"/>
        <w:rPr>
          <w:sz w:val="20"/>
          <w:szCs w:val="20"/>
          <w:color w:val="auto"/>
        </w:rPr>
      </w:pPr>
    </w:p>
    <w:p>
      <w:pPr>
        <w:ind w:left="1400" w:right="399" w:firstLine="339"/>
        <w:spacing w:after="0" w:line="253" w:lineRule="auto"/>
        <w:rPr>
          <w:sz w:val="20"/>
          <w:szCs w:val="20"/>
          <w:color w:val="auto"/>
        </w:rPr>
      </w:pPr>
      <w:r>
        <w:rPr>
          <w:rFonts w:ascii="Times New Roman" w:cs="Times New Roman" w:eastAsia="Times New Roman" w:hAnsi="Times New Roman"/>
          <w:sz w:val="14"/>
          <w:szCs w:val="14"/>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We have agreed to indemnify the Selling Stockholders against certain liabilities, including liabilities under the Securities Act, relating to the registration of the shares offered by this prospectus. The Selling Stockholders may indemnify any broker-dealer that participates in transactions involving the sale of the shares against certain liabilities, including liabilities under the Securities Act.</w:t>
      </w:r>
    </w:p>
    <w:p>
      <w:pPr>
        <w:spacing w:after="0" w:line="145" w:lineRule="exact"/>
        <w:rPr>
          <w:sz w:val="20"/>
          <w:szCs w:val="20"/>
          <w:color w:val="auto"/>
        </w:rPr>
      </w:pPr>
    </w:p>
    <w:p>
      <w:pPr>
        <w:ind w:left="1400" w:right="279" w:firstLine="339"/>
        <w:spacing w:after="0" w:line="257" w:lineRule="auto"/>
        <w:rPr>
          <w:sz w:val="20"/>
          <w:szCs w:val="20"/>
          <w:color w:val="auto"/>
        </w:rPr>
      </w:pPr>
      <w:r>
        <w:rPr>
          <w:rFonts w:ascii="Times New Roman" w:cs="Times New Roman" w:eastAsia="Times New Roman" w:hAnsi="Times New Roman"/>
          <w:sz w:val="14"/>
          <w:szCs w:val="14"/>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2"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VALIDITY OF THE SECURITIES</w:t>
      </w:r>
    </w:p>
    <w:p>
      <w:pPr>
        <w:spacing w:after="0" w:line="173" w:lineRule="exact"/>
        <w:rPr>
          <w:sz w:val="20"/>
          <w:szCs w:val="20"/>
          <w:color w:val="auto"/>
        </w:rPr>
      </w:pPr>
    </w:p>
    <w:p>
      <w:pPr>
        <w:ind w:left="1400" w:right="599" w:firstLine="339"/>
        <w:spacing w:after="0" w:line="278" w:lineRule="auto"/>
        <w:rPr>
          <w:sz w:val="20"/>
          <w:szCs w:val="20"/>
          <w:color w:val="auto"/>
        </w:rPr>
      </w:pPr>
      <w:r>
        <w:rPr>
          <w:rFonts w:ascii="Times New Roman" w:cs="Times New Roman" w:eastAsia="Times New Roman" w:hAnsi="Times New Roman"/>
          <w:sz w:val="14"/>
          <w:szCs w:val="14"/>
          <w:color w:val="auto"/>
        </w:rPr>
        <w:t>The validity of the securities offered hereby will be passed upon for us by Sullivan &amp; Cromwell LLP, New York, New York. Additional legal matters may be passed on for us, or any underwriters, dealers or agents by counsel we will name in the applicable prospectus supplement.</w:t>
      </w:r>
    </w:p>
    <w:p>
      <w:pPr>
        <w:spacing w:after="0" w:line="2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3" w:lineRule="exact"/>
        <w:rPr>
          <w:sz w:val="20"/>
          <w:szCs w:val="20"/>
          <w:color w:val="auto"/>
        </w:rPr>
      </w:pPr>
    </w:p>
    <w:p>
      <w:pPr>
        <w:jc w:val="both"/>
        <w:ind w:left="1400" w:right="399" w:firstLine="339"/>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of Bakkt, Inc. as of and for the year ended December 31, 2025 appearing in the Company’s Annual Report (Form 10-K), have been incorporated by reference herein in reliance upon the report of Grant Thornton LLP, independent registered public accounting firm, included thereon, and incorporated by reference herein, and upon the authority of said firm as experts in accounting and auditing.</w:t>
      </w:r>
    </w:p>
    <w:p>
      <w:pPr>
        <w:spacing w:after="0" w:line="138" w:lineRule="exact"/>
        <w:rPr>
          <w:sz w:val="20"/>
          <w:szCs w:val="20"/>
          <w:color w:val="auto"/>
        </w:rPr>
      </w:pPr>
    </w:p>
    <w:p>
      <w:pPr>
        <w:ind w:left="1400" w:right="399" w:firstLine="339"/>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Bakkt, Inc. as of and for the year ended December 31, 2024 appearing in the Company’s Annual Report (Form 10-K) for the period ended December 31, 2025 have been incorporated by reference herein in reliance upon the report of KPMG LLP, independent registered public accounting firm, and incorporated by reference herein, and upon the authority of said firm as experts in accounting and auditing.</w:t>
      </w:r>
    </w:p>
    <w:p>
      <w:pPr>
        <w:spacing w:after="0" w:line="142" w:lineRule="exact"/>
        <w:rPr>
          <w:sz w:val="20"/>
          <w:szCs w:val="20"/>
          <w:color w:val="auto"/>
        </w:r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color w:val="auto"/>
        </w:rPr>
        <w:t>The consolidated statements of operations, comprehensive loss, changes in stockholders’ equity and cash flows of Bakkt, Inc., for the year ended December 31, 2023 and the related notes (collectively, the “financial statements”) appearing in the Company’s Annual Report (Form 10-K) for the period ended December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w:t>
      </w:r>
    </w:p>
    <w:p>
      <w:pPr>
        <w:spacing w:after="0" w:line="30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3" w:lineRule="exact"/>
        <w:rPr>
          <w:sz w:val="20"/>
          <w:szCs w:val="20"/>
          <w:color w:val="auto"/>
        </w:rPr>
      </w:pPr>
    </w:p>
    <w:p>
      <w:pPr>
        <w:ind w:left="1400" w:right="499" w:firstLine="339"/>
        <w:spacing w:after="0" w:line="262"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Copies of certain information filed by us with the SEC are also available on our website at </w:t>
      </w:r>
      <w:r>
        <w:rPr>
          <w:rFonts w:ascii="Times New Roman" w:cs="Times New Roman" w:eastAsia="Times New Roman" w:hAnsi="Times New Roman"/>
          <w:sz w:val="14"/>
          <w:szCs w:val="14"/>
          <w:i w:val="1"/>
          <w:iCs w:val="1"/>
          <w:color w:val="auto"/>
        </w:rPr>
        <w:t>investors.bakkt.com</w:t>
      </w:r>
      <w:r>
        <w:rPr>
          <w:rFonts w:ascii="Times New Roman" w:cs="Times New Roman" w:eastAsia="Times New Roman" w:hAnsi="Times New Roman"/>
          <w:sz w:val="14"/>
          <w:szCs w:val="14"/>
          <w:color w:val="auto"/>
        </w:rPr>
        <w:t>. Information accessible on or through our website is not a part of this prospectus.</w:t>
      </w:r>
    </w:p>
    <w:p>
      <w:pPr>
        <w:spacing w:after="0" w:line="138"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2"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3"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The SEC allows us to incorporate by reference much of the information that we file with the SEC, which means that we can disclose important information to you by referring you to those publicly available documents.</w:t>
      </w:r>
    </w:p>
    <w:p>
      <w:pPr>
        <w:spacing w:after="0" w:line="126" w:lineRule="exact"/>
        <w:rPr>
          <w:sz w:val="20"/>
          <w:szCs w:val="20"/>
          <w:color w:val="auto"/>
        </w:rPr>
      </w:pPr>
    </w:p>
    <w:p>
      <w:pPr>
        <w:ind w:left="1400" w:right="419" w:firstLine="339"/>
        <w:spacing w:after="0" w:line="274" w:lineRule="auto"/>
        <w:rPr>
          <w:sz w:val="20"/>
          <w:szCs w:val="20"/>
          <w:color w:val="auto"/>
        </w:rPr>
      </w:pPr>
      <w:r>
        <w:rPr>
          <w:rFonts w:ascii="Times New Roman" w:cs="Times New Roman" w:eastAsia="Times New Roman" w:hAnsi="Times New Roman"/>
          <w:sz w:val="13"/>
          <w:szCs w:val="13"/>
          <w:color w:val="auto"/>
        </w:rPr>
        <w:t>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58" w:lineRule="exact"/>
        <w:rPr>
          <w:sz w:val="20"/>
          <w:szCs w:val="20"/>
          <w:color w:val="auto"/>
        </w:rPr>
      </w:pPr>
    </w:p>
    <w:p>
      <w:pPr>
        <w:ind w:left="2160" w:hanging="339"/>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4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March 19, 2026 (our “Annual Report”);</w:t>
      </w:r>
    </w:p>
    <w:p>
      <w:pPr>
        <w:spacing w:after="0" w:line="98" w:lineRule="exact"/>
        <w:rPr>
          <w:rFonts w:ascii="Times New Roman" w:cs="Times New Roman" w:eastAsia="Times New Roman" w:hAnsi="Times New Roman"/>
          <w:sz w:val="14"/>
          <w:szCs w:val="14"/>
          <w:color w:val="auto"/>
        </w:rPr>
      </w:pPr>
    </w:p>
    <w:p>
      <w:pPr>
        <w:ind w:left="2160" w:right="379" w:hanging="339"/>
        <w:spacing w:after="0" w:line="279" w:lineRule="auto"/>
        <w:tabs>
          <w:tab w:leader="none" w:pos="21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portions of our </w:t>
      </w:r>
      <w:hyperlink r:id="rId50">
        <w:r>
          <w:rPr>
            <w:rFonts w:ascii="Times New Roman" w:cs="Times New Roman" w:eastAsia="Times New Roman" w:hAnsi="Times New Roman"/>
            <w:sz w:val="13"/>
            <w:szCs w:val="13"/>
            <w:u w:val="single" w:color="auto"/>
            <w:color w:val="0000EE"/>
          </w:rPr>
          <w:t>Definitive Proxy Statement on Schedule 14A</w:t>
        </w:r>
      </w:hyperlink>
      <w:r>
        <w:rPr>
          <w:rFonts w:ascii="Times New Roman" w:cs="Times New Roman" w:eastAsia="Times New Roman" w:hAnsi="Times New Roman"/>
          <w:sz w:val="13"/>
          <w:szCs w:val="13"/>
          <w:color w:val="auto"/>
        </w:rPr>
        <w:t xml:space="preserve">, filed with the SEC on April 30, 2026, that are incorporated by reference into our Annual Report; our Quarterly Report on </w:t>
      </w:r>
      <w:hyperlink r:id="rId51">
        <w:r>
          <w:rPr>
            <w:rFonts w:ascii="Times New Roman" w:cs="Times New Roman" w:eastAsia="Times New Roman" w:hAnsi="Times New Roman"/>
            <w:sz w:val="13"/>
            <w:szCs w:val="13"/>
            <w:u w:val="single" w:color="auto"/>
            <w:color w:val="0000EE"/>
          </w:rPr>
          <w:t>Form 10-Q</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quarterly period ended March 31, 2026, filed with the SEC</w:t>
      </w:r>
    </w:p>
    <w:p>
      <w:pPr>
        <w:ind w:left="21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on May 11, 2026;</w:t>
      </w:r>
    </w:p>
    <w:p>
      <w:pPr>
        <w:spacing w:after="0" w:line="83" w:lineRule="exact"/>
        <w:rPr>
          <w:rFonts w:ascii="Times New Roman" w:cs="Times New Roman" w:eastAsia="Times New Roman" w:hAnsi="Times New Roman"/>
          <w:sz w:val="13"/>
          <w:szCs w:val="13"/>
          <w:color w:val="auto"/>
        </w:rPr>
      </w:pPr>
    </w:p>
    <w:p>
      <w:pPr>
        <w:ind w:left="2160" w:right="399" w:hanging="339"/>
        <w:spacing w:after="0" w:line="278" w:lineRule="auto"/>
        <w:tabs>
          <w:tab w:leader="none" w:pos="2160" w:val="left"/>
        </w:tabs>
        <w:numPr>
          <w:ilvl w:val="0"/>
          <w:numId w:val="11"/>
        </w:numPr>
        <w:rPr>
          <w:rFonts w:ascii="Times New Roman" w:cs="Times New Roman" w:eastAsia="Times New Roman" w:hAnsi="Times New Roman"/>
          <w:sz w:val="14"/>
          <w:szCs w:val="14"/>
          <w:color w:val="0000EE"/>
        </w:rPr>
      </w:pPr>
      <w:hyperlink r:id="rId52">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April 30,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24,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January 20,</w:t>
        </w:r>
      </w:hyperlink>
      <w:r>
        <w:rPr>
          <w:rFonts w:ascii="Times New Roman" w:cs="Times New Roman" w:eastAsia="Times New Roman" w:hAnsi="Times New Roman"/>
          <w:sz w:val="14"/>
          <w:szCs w:val="14"/>
          <w:color w:val="auto"/>
        </w:rPr>
        <w:t xml:space="preserve"> </w:t>
      </w:r>
      <w:hyperlink r:id="rId52">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3">
        <w:r>
          <w:rPr>
            <w:rFonts w:ascii="Times New Roman" w:cs="Times New Roman" w:eastAsia="Times New Roman" w:hAnsi="Times New Roman"/>
            <w:sz w:val="14"/>
            <w:szCs w:val="14"/>
            <w:u w:val="single" w:color="auto"/>
            <w:color w:val="0000EE"/>
          </w:rPr>
          <w:t xml:space="preserve">January 20, 2026 </w:t>
        </w:r>
      </w:hyperlink>
      <w:hyperlink r:id="rId52">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54">
        <w:r>
          <w:rPr>
            <w:rFonts w:ascii="Times New Roman" w:cs="Times New Roman" w:eastAsia="Times New Roman" w:hAnsi="Times New Roman"/>
            <w:sz w:val="14"/>
            <w:szCs w:val="14"/>
            <w:u w:val="single" w:color="auto"/>
            <w:color w:val="0000EE"/>
          </w:rPr>
          <w:t>January 12, 2026</w:t>
        </w:r>
      </w:hyperlink>
      <w:hyperlink r:id="rId52">
        <w:r>
          <w:rPr>
            <w:rFonts w:ascii="Times New Roman" w:cs="Times New Roman" w:eastAsia="Times New Roman" w:hAnsi="Times New Roman"/>
            <w:sz w:val="14"/>
            <w:szCs w:val="14"/>
            <w:color w:val="000000"/>
          </w:rPr>
          <w:t>; and</w:t>
        </w:r>
      </w:hyperlink>
    </w:p>
    <w:p>
      <w:pPr>
        <w:spacing w:after="0" w:line="52" w:lineRule="exact"/>
        <w:rPr>
          <w:rFonts w:ascii="Times New Roman" w:cs="Times New Roman" w:eastAsia="Times New Roman" w:hAnsi="Times New Roman"/>
          <w:sz w:val="14"/>
          <w:szCs w:val="14"/>
          <w:color w:val="0000EE"/>
        </w:rPr>
      </w:pPr>
    </w:p>
    <w:p>
      <w:pPr>
        <w:ind w:left="2160" w:right="279" w:hanging="339"/>
        <w:spacing w:after="0" w:line="278" w:lineRule="auto"/>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securities contained in the Registration Statement on </w:t>
      </w:r>
      <w:hyperlink r:id="rId55">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relating thereto, filed on October 15, 2021, including any amendment or report filed for the purpose of updating such description.</w:t>
      </w:r>
    </w:p>
    <w:p>
      <w:pPr>
        <w:spacing w:after="0" w:line="126" w:lineRule="exact"/>
        <w:rPr>
          <w:rFonts w:ascii="Times New Roman" w:cs="Times New Roman" w:eastAsia="Times New Roman" w:hAnsi="Times New Roman"/>
          <w:sz w:val="14"/>
          <w:szCs w:val="14"/>
          <w:color w:val="0000EE"/>
        </w:rPr>
      </w:pPr>
    </w:p>
    <w:p>
      <w:pPr>
        <w:ind w:left="174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w:t>
      </w:r>
    </w:p>
    <w:p>
      <w:pPr>
        <w:spacing w:after="0" w:line="86" w:lineRule="exact"/>
        <w:rPr>
          <w:rFonts w:ascii="Times New Roman" w:cs="Times New Roman" w:eastAsia="Times New Roman" w:hAnsi="Times New Roman"/>
          <w:sz w:val="14"/>
          <w:szCs w:val="14"/>
          <w:color w:val="0000EE"/>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3280 Peachtree Road, Suites 07-128, 07-130 &amp; 07-132</w:t>
      </w:r>
    </w:p>
    <w:p>
      <w:pPr>
        <w:spacing w:after="0" w:line="22" w:lineRule="exact"/>
        <w:rPr>
          <w:rFonts w:ascii="Times New Roman" w:cs="Times New Roman" w:eastAsia="Times New Roman" w:hAnsi="Times New Roman"/>
          <w:sz w:val="14"/>
          <w:szCs w:val="14"/>
          <w:color w:val="0000EE"/>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Atlanta, Georgia 30305</w:t>
      </w:r>
    </w:p>
    <w:p>
      <w:pPr>
        <w:spacing w:after="0" w:line="5" w:lineRule="exact"/>
        <w:rPr>
          <w:rFonts w:ascii="Times New Roman" w:cs="Times New Roman" w:eastAsia="Times New Roman" w:hAnsi="Times New Roman"/>
          <w:sz w:val="14"/>
          <w:szCs w:val="14"/>
          <w:color w:val="0000EE"/>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(332) 203-3017</w:t>
      </w:r>
    </w:p>
    <w:p>
      <w:pPr>
        <w:spacing w:after="0" w:line="156" w:lineRule="exact"/>
        <w:rPr>
          <w:rFonts w:ascii="Times New Roman" w:cs="Times New Roman" w:eastAsia="Times New Roman" w:hAnsi="Times New Roman"/>
          <w:sz w:val="14"/>
          <w:szCs w:val="14"/>
          <w:color w:val="0000EE"/>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74" w:lineRule="exact"/>
        <w:rPr>
          <w:rFonts w:ascii="Times New Roman" w:cs="Times New Roman" w:eastAsia="Times New Roman" w:hAnsi="Times New Roman"/>
          <w:sz w:val="14"/>
          <w:szCs w:val="14"/>
          <w:color w:val="0000EE"/>
        </w:rPr>
      </w:pPr>
    </w:p>
    <w:p>
      <w:pPr>
        <w:ind w:left="552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2"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9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following table sets forth estimated expenses in connection with the issuance and distribution of the securities being registered:</w:t>
      </w:r>
    </w:p>
    <w:p>
      <w:pPr>
        <w:spacing w:after="0" w:line="176" w:lineRule="exact"/>
        <w:rPr>
          <w:sz w:val="20"/>
          <w:szCs w:val="20"/>
          <w:color w:val="auto"/>
        </w:rPr>
      </w:pPr>
    </w:p>
    <w:tbl>
      <w:tblPr>
        <w:tblLayout w:type="fixed"/>
        <w:tblInd w:w="2760" w:type="dxa"/>
        <w:tblCellMar>
          <w:top w:w="0" w:type="dxa"/>
          <w:left w:w="0" w:type="dxa"/>
          <w:bottom w:w="0" w:type="dxa"/>
          <w:right w:w="0" w:type="dxa"/>
        </w:tblCellMar>
      </w:tblPr>
      <w:tr>
        <w:trPr>
          <w:trHeight w:val="126"/>
        </w:trPr>
        <w:tc>
          <w:tcPr>
            <w:tcW w:w="508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Amount to</w:t>
            </w:r>
          </w:p>
        </w:tc>
      </w:tr>
      <w:tr>
        <w:trPr>
          <w:trHeight w:val="133"/>
        </w:trPr>
        <w:tc>
          <w:tcPr>
            <w:tcW w:w="508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be Paid</w:t>
            </w:r>
          </w:p>
        </w:tc>
      </w:tr>
      <w:tr>
        <w:trPr>
          <w:trHeight w:val="157"/>
        </w:trPr>
        <w:tc>
          <w:tcPr>
            <w:tcW w:w="50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SEC registration fee</w:t>
            </w: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8"/>
              </w:rPr>
              <w:t>$14,920.94</w:t>
            </w:r>
          </w:p>
        </w:tc>
        <w:tc>
          <w:tcPr>
            <w:tcW w:w="40" w:type="dxa"/>
            <w:vAlign w:val="bottom"/>
            <w:tcBorders>
              <w:top w:val="single" w:sz="8" w:color="CCEEFF"/>
            </w:tcBorders>
            <w:shd w:val="clear" w:color="auto" w:fill="CCEEFF"/>
          </w:tcPr>
          <w:p>
            <w:pPr>
              <w:spacing w:after="0"/>
              <w:rPr>
                <w:sz w:val="13"/>
                <w:szCs w:val="13"/>
                <w:color w:val="auto"/>
              </w:rPr>
            </w:pPr>
          </w:p>
        </w:tc>
      </w:tr>
      <w:tr>
        <w:trPr>
          <w:trHeight w:val="166"/>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exchange listing fee</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Printing and engraving expenses</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 and registrar fees and expenses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Trustee’s fees and expenses</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$14,920.94</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56515</wp:posOffset>
            </wp:positionV>
            <wp:extent cx="59372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93725" cy="6350"/>
                    </a:xfrm>
                    <a:prstGeom prst="rect">
                      <a:avLst/>
                    </a:prstGeom>
                    <a:noFill/>
                  </pic:spPr>
                </pic:pic>
              </a:graphicData>
            </a:graphic>
          </wp:anchor>
        </w:drawing>
      </w:r>
    </w:p>
    <w:p>
      <w:pPr>
        <w:spacing w:after="0" w:line="9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  These fees are calculated based on the securities offered and the number of issuances and accordingly cannot be estimated at this time.</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90"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Section 145 of the Delaware General Corporation Law (“DGCL”) authorizes a corporation’s board of directors to grant, and authorizes a court to award, indemnity to officers, directors and other corporate agents.</w:t>
      </w:r>
    </w:p>
    <w:p>
      <w:pPr>
        <w:spacing w:after="0" w:line="126" w:lineRule="exact"/>
        <w:rPr>
          <w:sz w:val="20"/>
          <w:szCs w:val="20"/>
          <w:color w:val="auto"/>
        </w:rPr>
      </w:pPr>
    </w:p>
    <w:p>
      <w:pPr>
        <w:jc w:val="both"/>
        <w:ind w:left="1400" w:right="279" w:firstLine="339"/>
        <w:spacing w:after="0" w:line="262" w:lineRule="auto"/>
        <w:rPr>
          <w:sz w:val="20"/>
          <w:szCs w:val="20"/>
          <w:color w:val="auto"/>
        </w:rPr>
      </w:pPr>
      <w:r>
        <w:rPr>
          <w:rFonts w:ascii="Times New Roman" w:cs="Times New Roman" w:eastAsia="Times New Roman" w:hAnsi="Times New Roman"/>
          <w:sz w:val="14"/>
          <w:szCs w:val="14"/>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65" w:lineRule="exact"/>
        <w:rPr>
          <w:sz w:val="20"/>
          <w:szCs w:val="20"/>
          <w:color w:val="auto"/>
        </w:rPr>
      </w:pPr>
    </w:p>
    <w:p>
      <w:pPr>
        <w:ind w:left="2160" w:hanging="339"/>
        <w:spacing w:after="0"/>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their duty of loyalty to our company or our stockholders;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unlawful payments of dividends or unlawful stock repurchases or redemptions as provided in Section 174 of the DGCL; or</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they derived an improper personal benefit.</w:t>
      </w:r>
    </w:p>
    <w:p>
      <w:pPr>
        <w:spacing w:after="0" w:line="171" w:lineRule="exact"/>
        <w:rPr>
          <w:sz w:val="20"/>
          <w:szCs w:val="20"/>
          <w:color w:val="auto"/>
        </w:rPr>
      </w:pPr>
    </w:p>
    <w:p>
      <w:pPr>
        <w:jc w:val="both"/>
        <w:ind w:left="1400" w:right="279" w:firstLine="339"/>
        <w:spacing w:after="0" w:line="292" w:lineRule="auto"/>
        <w:rPr>
          <w:sz w:val="20"/>
          <w:szCs w:val="20"/>
          <w:color w:val="auto"/>
        </w:rPr>
      </w:pPr>
      <w:r>
        <w:rPr>
          <w:rFonts w:ascii="Times New Roman" w:cs="Times New Roman" w:eastAsia="Times New Roman" w:hAnsi="Times New Roman"/>
          <w:sz w:val="13"/>
          <w:szCs w:val="13"/>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119" w:lineRule="exact"/>
        <w:rPr>
          <w:sz w:val="20"/>
          <w:szCs w:val="20"/>
          <w:color w:val="auto"/>
        </w:rPr>
      </w:pPr>
    </w:p>
    <w:p>
      <w:pPr>
        <w:ind w:left="1400" w:right="299" w:firstLine="339"/>
        <w:spacing w:after="0" w:line="262" w:lineRule="auto"/>
        <w:rPr>
          <w:sz w:val="20"/>
          <w:szCs w:val="20"/>
          <w:color w:val="auto"/>
        </w:rPr>
      </w:pPr>
      <w:r>
        <w:rPr>
          <w:rFonts w:ascii="Times New Roman" w:cs="Times New Roman" w:eastAsia="Times New Roman" w:hAnsi="Times New Roman"/>
          <w:sz w:val="14"/>
          <w:szCs w:val="14"/>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2"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42" w:lineRule="exact"/>
        <w:rPr>
          <w:sz w:val="20"/>
          <w:szCs w:val="20"/>
          <w:color w:val="auto"/>
        </w:rPr>
      </w:pPr>
    </w:p>
    <w:p>
      <w:pPr>
        <w:ind w:left="1400" w:right="419" w:firstLine="339"/>
        <w:spacing w:after="0" w:line="253" w:lineRule="auto"/>
        <w:rPr>
          <w:sz w:val="20"/>
          <w:szCs w:val="20"/>
          <w:color w:val="auto"/>
        </w:rPr>
      </w:pPr>
      <w:r>
        <w:rPr>
          <w:rFonts w:ascii="Times New Roman" w:cs="Times New Roman" w:eastAsia="Times New Roman" w:hAnsi="Times New Roman"/>
          <w:sz w:val="14"/>
          <w:szCs w:val="14"/>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45" w:lineRule="exact"/>
        <w:rPr>
          <w:sz w:val="20"/>
          <w:szCs w:val="20"/>
          <w:color w:val="auto"/>
        </w:rPr>
      </w:pPr>
    </w:p>
    <w:p>
      <w:pPr>
        <w:ind w:left="1400" w:right="339" w:firstLine="339"/>
        <w:spacing w:after="0" w:line="257" w:lineRule="auto"/>
        <w:rPr>
          <w:sz w:val="20"/>
          <w:szCs w:val="20"/>
          <w:color w:val="auto"/>
        </w:rPr>
      </w:pPr>
      <w:r>
        <w:rPr>
          <w:rFonts w:ascii="Times New Roman" w:cs="Times New Roman" w:eastAsia="Times New Roman" w:hAnsi="Times New Roman"/>
          <w:sz w:val="14"/>
          <w:szCs w:val="14"/>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42" w:lineRule="exact"/>
        <w:rPr>
          <w:sz w:val="20"/>
          <w:szCs w:val="20"/>
          <w:color w:val="auto"/>
        </w:rPr>
      </w:pPr>
    </w:p>
    <w:p>
      <w:pPr>
        <w:ind w:left="1400" w:right="739" w:firstLine="339"/>
        <w:spacing w:after="0" w:line="278" w:lineRule="auto"/>
        <w:rPr>
          <w:sz w:val="20"/>
          <w:szCs w:val="20"/>
          <w:color w:val="auto"/>
        </w:rPr>
      </w:pPr>
      <w:r>
        <w:rPr>
          <w:rFonts w:ascii="Times New Roman" w:cs="Times New Roman" w:eastAsia="Times New Roman" w:hAnsi="Times New Roman"/>
          <w:sz w:val="14"/>
          <w:szCs w:val="14"/>
          <w:color w:val="auto"/>
        </w:rPr>
        <w:t>Certain of our non-employee directors may, through their relationships with their employers, be insured and/or indemnified against certain liabilities incurred in their capacity as members of the Board.</w:t>
      </w:r>
    </w:p>
    <w:p>
      <w:pPr>
        <w:spacing w:after="0" w:line="126" w:lineRule="exact"/>
        <w:rPr>
          <w:sz w:val="20"/>
          <w:szCs w:val="20"/>
          <w:color w:val="auto"/>
        </w:rPr>
      </w:pPr>
    </w:p>
    <w:p>
      <w:pPr>
        <w:ind w:left="1400" w:right="419" w:firstLine="339"/>
        <w:spacing w:after="0" w:line="262"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2"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71"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76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82"/>
        </w:trPr>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20" w:type="dxa"/>
            <w:vAlign w:val="bottom"/>
          </w:tcPr>
          <w:p>
            <w:pPr>
              <w:spacing w:after="0"/>
              <w:rPr>
                <w:sz w:val="24"/>
                <w:szCs w:val="24"/>
                <w:color w:val="auto"/>
              </w:rPr>
            </w:pPr>
          </w:p>
        </w:tc>
        <w:tc>
          <w:tcPr>
            <w:tcW w:w="7760" w:type="dxa"/>
            <w:vAlign w:val="bottom"/>
            <w:vMerge w:val="restart"/>
          </w:tcPr>
          <w:p>
            <w:pPr>
              <w:ind w:left="36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4"/>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320" w:type="dxa"/>
            <w:vAlign w:val="bottom"/>
          </w:tcPr>
          <w:p>
            <w:pPr>
              <w:spacing w:after="0"/>
              <w:rPr>
                <w:sz w:val="11"/>
                <w:szCs w:val="11"/>
                <w:color w:val="auto"/>
              </w:rPr>
            </w:pPr>
          </w:p>
        </w:tc>
        <w:tc>
          <w:tcPr>
            <w:tcW w:w="77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120" w:right="399" w:hanging="714"/>
        <w:spacing w:after="0" w:line="278" w:lineRule="auto"/>
        <w:tabs>
          <w:tab w:leader="none" w:pos="1472" w:val="left"/>
        </w:tabs>
        <w:numPr>
          <w:ilvl w:val="0"/>
          <w:numId w:val="1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3.1*</w:t>
      </w:r>
      <w:hyperlink r:id="rId60">
        <w:r>
          <w:rPr>
            <w:rFonts w:ascii="Times New Roman" w:cs="Times New Roman" w:eastAsia="Times New Roman" w:hAnsi="Times New Roman"/>
            <w:sz w:val="14"/>
            <w:szCs w:val="14"/>
            <w:u w:val="single" w:color="auto"/>
            <w:color w:val="0000EE"/>
          </w:rPr>
          <w:t>Amended and Restated Certificate of Incorporation of the Company, as currently in effect (incorporated by reference to Exhibit 3.1 to the</w:t>
        </w:r>
      </w:hyperlink>
      <w:r>
        <w:rPr>
          <w:rFonts w:ascii="Times New Roman" w:cs="Times New Roman" w:eastAsia="Times New Roman" w:hAnsi="Times New Roman"/>
          <w:sz w:val="14"/>
          <w:szCs w:val="14"/>
          <w:u w:val="single" w:color="auto"/>
          <w:color w:val="0000EE"/>
        </w:rPr>
        <w:t xml:space="preserve"> </w:t>
      </w:r>
      <w:hyperlink r:id="rId60">
        <w:r>
          <w:rPr>
            <w:rFonts w:ascii="Times New Roman" w:cs="Times New Roman" w:eastAsia="Times New Roman" w:hAnsi="Times New Roman"/>
            <w:sz w:val="14"/>
            <w:szCs w:val="14"/>
            <w:u w:val="single" w:color="auto"/>
            <w:color w:val="0000EE"/>
          </w:rPr>
          <w:t>Company’s Form 8-K filed with the SEC on November 3, 2025).</w:t>
        </w:r>
      </w:hyperlink>
    </w:p>
    <w:p>
      <w:pPr>
        <w:spacing w:after="0" w:line="42" w:lineRule="exact"/>
        <w:rPr>
          <w:rFonts w:ascii="Times New Roman" w:cs="Times New Roman" w:eastAsia="Times New Roman" w:hAnsi="Times New Roman"/>
          <w:sz w:val="14"/>
          <w:szCs w:val="14"/>
          <w:u w:val="single" w:color="auto"/>
          <w:color w:val="0000EE"/>
        </w:rPr>
      </w:pPr>
    </w:p>
    <w:p>
      <w:pPr>
        <w:ind w:left="2120" w:right="499" w:hanging="714"/>
        <w:spacing w:after="0" w:line="278" w:lineRule="auto"/>
        <w:tabs>
          <w:tab w:leader="none" w:pos="1472" w:val="left"/>
        </w:tabs>
        <w:numPr>
          <w:ilvl w:val="0"/>
          <w:numId w:val="1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3.2*</w:t>
      </w:r>
      <w:hyperlink r:id="rId61">
        <w:r>
          <w:rPr>
            <w:rFonts w:ascii="Times New Roman" w:cs="Times New Roman" w:eastAsia="Times New Roman" w:hAnsi="Times New Roman"/>
            <w:sz w:val="14"/>
            <w:szCs w:val="14"/>
            <w:u w:val="single" w:color="auto"/>
            <w:color w:val="0000EE"/>
          </w:rPr>
          <w:t>Certificate of Amendment to the Company’s Certificate of Incorporation, effective as of January 22, 2026 (incorporated by reference to</w:t>
        </w:r>
      </w:hyperlink>
      <w:r>
        <w:rPr>
          <w:rFonts w:ascii="Times New Roman" w:cs="Times New Roman" w:eastAsia="Times New Roman" w:hAnsi="Times New Roman"/>
          <w:sz w:val="14"/>
          <w:szCs w:val="14"/>
          <w:u w:val="single" w:color="auto"/>
          <w:color w:val="0000EE"/>
        </w:rPr>
        <w:t xml:space="preserve"> </w:t>
      </w:r>
      <w:hyperlink r:id="rId61">
        <w:r>
          <w:rPr>
            <w:rFonts w:ascii="Times New Roman" w:cs="Times New Roman" w:eastAsia="Times New Roman" w:hAnsi="Times New Roman"/>
            <w:sz w:val="14"/>
            <w:szCs w:val="14"/>
            <w:u w:val="single" w:color="auto"/>
            <w:color w:val="0000EE"/>
          </w:rPr>
          <w:t>Exhibit 3.2 to the Company’s Form 8-K filed with the SEC on January 12, 2026).</w:t>
        </w:r>
      </w:hyperlink>
    </w:p>
    <w:p>
      <w:pPr>
        <w:spacing w:after="0" w:line="42" w:lineRule="exact"/>
        <w:rPr>
          <w:rFonts w:ascii="Times New Roman" w:cs="Times New Roman" w:eastAsia="Times New Roman" w:hAnsi="Times New Roman"/>
          <w:sz w:val="14"/>
          <w:szCs w:val="14"/>
          <w:u w:val="single" w:color="auto"/>
          <w:color w:val="0000EE"/>
        </w:rPr>
      </w:pPr>
    </w:p>
    <w:p>
      <w:pPr>
        <w:ind w:left="2120" w:right="779" w:hanging="714"/>
        <w:spacing w:after="0" w:line="278" w:lineRule="auto"/>
        <w:tabs>
          <w:tab w:leader="none" w:pos="1472" w:val="left"/>
        </w:tabs>
        <w:numPr>
          <w:ilvl w:val="0"/>
          <w:numId w:val="1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3.3*</w:t>
      </w:r>
      <w:hyperlink r:id="rId62">
        <w:r>
          <w:rPr>
            <w:rFonts w:ascii="Times New Roman" w:cs="Times New Roman" w:eastAsia="Times New Roman" w:hAnsi="Times New Roman"/>
            <w:sz w:val="14"/>
            <w:szCs w:val="14"/>
            <w:u w:val="single" w:color="auto"/>
            <w:color w:val="0000EE"/>
          </w:rPr>
          <w:t>Amended and Restated By-Laws of the Company, effective as of January 22, 2026 (incorporated by reference to Exhibit 3.3 to the</w:t>
        </w:r>
      </w:hyperlink>
      <w:r>
        <w:rPr>
          <w:rFonts w:ascii="Times New Roman" w:cs="Times New Roman" w:eastAsia="Times New Roman" w:hAnsi="Times New Roman"/>
          <w:sz w:val="14"/>
          <w:szCs w:val="14"/>
          <w:u w:val="single" w:color="auto"/>
          <w:color w:val="0000EE"/>
        </w:rPr>
        <w:t xml:space="preserve"> </w:t>
      </w:r>
      <w:hyperlink r:id="rId62">
        <w:r>
          <w:rPr>
            <w:rFonts w:ascii="Times New Roman" w:cs="Times New Roman" w:eastAsia="Times New Roman" w:hAnsi="Times New Roman"/>
            <w:sz w:val="14"/>
            <w:szCs w:val="14"/>
            <w:u w:val="single" w:color="auto"/>
            <w:color w:val="0000EE"/>
          </w:rPr>
          <w:t>Company’s Form 8-K filed with the SEC on January 12, 2026).</w:t>
        </w:r>
      </w:hyperlink>
    </w:p>
    <w:p>
      <w:pPr>
        <w:spacing w:after="0" w:line="42" w:lineRule="exact"/>
        <w:rPr>
          <w:rFonts w:ascii="Times New Roman" w:cs="Times New Roman" w:eastAsia="Times New Roman" w:hAnsi="Times New Roman"/>
          <w:sz w:val="14"/>
          <w:szCs w:val="14"/>
          <w:u w:val="single" w:color="auto"/>
          <w:color w:val="0000EE"/>
        </w:rPr>
      </w:pPr>
    </w:p>
    <w:p>
      <w:pPr>
        <w:ind w:left="2120" w:right="399" w:hanging="714"/>
        <w:spacing w:after="0" w:line="278" w:lineRule="auto"/>
        <w:tabs>
          <w:tab w:leader="none" w:pos="1472" w:val="left"/>
        </w:tabs>
        <w:numPr>
          <w:ilvl w:val="0"/>
          <w:numId w:val="1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4.1*</w:t>
      </w:r>
      <w:hyperlink r:id="rId63">
        <w:r>
          <w:rPr>
            <w:rFonts w:ascii="Times New Roman" w:cs="Times New Roman" w:eastAsia="Times New Roman" w:hAnsi="Times New Roman"/>
            <w:sz w:val="14"/>
            <w:szCs w:val="14"/>
            <w:u w:val="single" w:color="auto"/>
            <w:color w:val="0000EE"/>
          </w:rPr>
          <w:t>Specimen Class A Common Stock Certificate of the Company (incorporated by reference to Exhibit 4.1 to the Company’s Form 8-K filed</w:t>
        </w:r>
      </w:hyperlink>
      <w:r>
        <w:rPr>
          <w:rFonts w:ascii="Times New Roman" w:cs="Times New Roman" w:eastAsia="Times New Roman" w:hAnsi="Times New Roman"/>
          <w:sz w:val="14"/>
          <w:szCs w:val="14"/>
          <w:u w:val="single" w:color="auto"/>
          <w:color w:val="0000EE"/>
        </w:rPr>
        <w:t xml:space="preserve"> </w:t>
      </w:r>
      <w:hyperlink r:id="rId63">
        <w:r>
          <w:rPr>
            <w:rFonts w:ascii="Times New Roman" w:cs="Times New Roman" w:eastAsia="Times New Roman" w:hAnsi="Times New Roman"/>
            <w:sz w:val="14"/>
            <w:szCs w:val="14"/>
            <w:u w:val="single" w:color="auto"/>
            <w:color w:val="0000EE"/>
          </w:rPr>
          <w:t>with the SEC on October 21, 2021).</w:t>
        </w:r>
      </w:hyperlink>
    </w:p>
    <w:p>
      <w:pPr>
        <w:spacing w:after="0" w:line="42" w:lineRule="exact"/>
        <w:rPr>
          <w:rFonts w:ascii="Times New Roman" w:cs="Times New Roman" w:eastAsia="Times New Roman" w:hAnsi="Times New Roman"/>
          <w:sz w:val="14"/>
          <w:szCs w:val="14"/>
          <w:u w:val="single" w:color="auto"/>
          <w:color w:val="0000EE"/>
        </w:rPr>
      </w:pPr>
    </w:p>
    <w:p>
      <w:pPr>
        <w:ind w:left="1480" w:hanging="74"/>
        <w:spacing w:after="0"/>
        <w:tabs>
          <w:tab w:leader="none" w:pos="1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5.1</w:t>
      </w:r>
      <w:r>
        <w:rPr>
          <w:rFonts w:ascii="Times New Roman" w:cs="Times New Roman" w:eastAsia="Times New Roman" w:hAnsi="Times New Roman"/>
          <w:sz w:val="13"/>
          <w:szCs w:val="13"/>
          <w:u w:val="single" w:color="auto"/>
          <w:color w:val="0000EE"/>
        </w:rPr>
        <w:t>Opinion of Sullivan &amp; Cromwell LLP.</w:t>
      </w:r>
    </w:p>
    <w:p>
      <w:pPr>
        <w:spacing w:after="0" w:line="88" w:lineRule="exact"/>
        <w:rPr>
          <w:rFonts w:ascii="Times New Roman" w:cs="Times New Roman" w:eastAsia="Times New Roman" w:hAnsi="Times New Roman"/>
          <w:sz w:val="14"/>
          <w:szCs w:val="14"/>
          <w:color w:val="auto"/>
        </w:rPr>
      </w:pPr>
    </w:p>
    <w:p>
      <w:pPr>
        <w:ind w:left="2120" w:right="399" w:hanging="714"/>
        <w:spacing w:after="0" w:line="262" w:lineRule="auto"/>
        <w:tabs>
          <w:tab w:leader="none" w:pos="1472" w:val="left"/>
        </w:tabs>
        <w:numPr>
          <w:ilvl w:val="0"/>
          <w:numId w:val="1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w:t>
      </w:r>
      <w:hyperlink r:id="rId64">
        <w:r>
          <w:rPr>
            <w:rFonts w:ascii="Times New Roman" w:cs="Times New Roman" w:eastAsia="Times New Roman" w:hAnsi="Times New Roman"/>
            <w:sz w:val="14"/>
            <w:szCs w:val="14"/>
            <w:u w:val="single" w:color="auto"/>
            <w:color w:val="0000EE"/>
          </w:rPr>
          <w:t>Share Purchase Agreement, dated as of January 11, 2026, by and among Bakkt Opco Holdings, LLC, the Company, Distributed</w:t>
        </w:r>
      </w:hyperlink>
      <w:r>
        <w:rPr>
          <w:rFonts w:ascii="Times New Roman" w:cs="Times New Roman" w:eastAsia="Times New Roman" w:hAnsi="Times New Roman"/>
          <w:sz w:val="14"/>
          <w:szCs w:val="14"/>
          <w:u w:val="single" w:color="auto"/>
          <w:color w:val="0000EE"/>
        </w:rPr>
        <w:t xml:space="preserve"> </w:t>
      </w:r>
      <w:hyperlink r:id="rId64">
        <w:r>
          <w:rPr>
            <w:rFonts w:ascii="Times New Roman" w:cs="Times New Roman" w:eastAsia="Times New Roman" w:hAnsi="Times New Roman"/>
            <w:sz w:val="14"/>
            <w:szCs w:val="14"/>
            <w:u w:val="single" w:color="auto"/>
            <w:color w:val="0000EE"/>
          </w:rPr>
          <w:t>Technologies Research Global Ltd. and Akshay Naheta (incorporated by reference to Exhibit 10.1 to the Company’s Form 8-K filed with</w:t>
        </w:r>
      </w:hyperlink>
      <w:r>
        <w:rPr>
          <w:rFonts w:ascii="Times New Roman" w:cs="Times New Roman" w:eastAsia="Times New Roman" w:hAnsi="Times New Roman"/>
          <w:sz w:val="14"/>
          <w:szCs w:val="14"/>
          <w:u w:val="single" w:color="auto"/>
          <w:color w:val="0000EE"/>
        </w:rPr>
        <w:t xml:space="preserve"> </w:t>
      </w:r>
      <w:hyperlink r:id="rId64">
        <w:r>
          <w:rPr>
            <w:rFonts w:ascii="Times New Roman" w:cs="Times New Roman" w:eastAsia="Times New Roman" w:hAnsi="Times New Roman"/>
            <w:sz w:val="14"/>
            <w:szCs w:val="14"/>
            <w:u w:val="single" w:color="auto"/>
            <w:color w:val="0000EE"/>
          </w:rPr>
          <w:t>the SEC on January 12, 2026).</w:t>
        </w:r>
      </w:hyperlink>
    </w:p>
    <w:p>
      <w:pPr>
        <w:spacing w:after="0" w:line="54" w:lineRule="exact"/>
        <w:rPr>
          <w:rFonts w:ascii="Times New Roman" w:cs="Times New Roman" w:eastAsia="Times New Roman" w:hAnsi="Times New Roman"/>
          <w:sz w:val="14"/>
          <w:szCs w:val="14"/>
          <w:u w:val="single" w:color="auto"/>
          <w:color w:val="0000EE"/>
        </w:rPr>
      </w:pPr>
    </w:p>
    <w:p>
      <w:pPr>
        <w:ind w:left="2120" w:right="339" w:hanging="714"/>
        <w:spacing w:after="0" w:line="278" w:lineRule="auto"/>
        <w:tabs>
          <w:tab w:leader="none" w:pos="1472" w:val="left"/>
        </w:tabs>
        <w:numPr>
          <w:ilvl w:val="0"/>
          <w:numId w:val="1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w:t>
      </w:r>
      <w:hyperlink r:id="rId65">
        <w:r>
          <w:rPr>
            <w:rFonts w:ascii="Times New Roman" w:cs="Times New Roman" w:eastAsia="Times New Roman" w:hAnsi="Times New Roman"/>
            <w:sz w:val="14"/>
            <w:szCs w:val="14"/>
            <w:u w:val="single" w:color="auto"/>
            <w:color w:val="0000EE"/>
          </w:rPr>
          <w:t>Non-Competition Agreement, dated as of January 11, 2026, by and among the Company and Akshay Naheta (incorporated by reference to</w:t>
        </w:r>
      </w:hyperlink>
      <w:r>
        <w:rPr>
          <w:rFonts w:ascii="Times New Roman" w:cs="Times New Roman" w:eastAsia="Times New Roman" w:hAnsi="Times New Roman"/>
          <w:sz w:val="14"/>
          <w:szCs w:val="14"/>
          <w:u w:val="single" w:color="auto"/>
          <w:color w:val="0000EE"/>
        </w:rPr>
        <w:t xml:space="preserve"> </w:t>
      </w:r>
      <w:hyperlink r:id="rId65">
        <w:r>
          <w:rPr>
            <w:rFonts w:ascii="Times New Roman" w:cs="Times New Roman" w:eastAsia="Times New Roman" w:hAnsi="Times New Roman"/>
            <w:sz w:val="14"/>
            <w:szCs w:val="14"/>
            <w:u w:val="single" w:color="auto"/>
            <w:color w:val="0000EE"/>
          </w:rPr>
          <w:t>Exhibit 10.2 to the Company’s Form 8-K filed with the SEC on January 12, 2026).</w:t>
        </w:r>
      </w:hyperlink>
    </w:p>
    <w:p>
      <w:pPr>
        <w:spacing w:after="0" w:line="42" w:lineRule="exact"/>
        <w:rPr>
          <w:rFonts w:ascii="Times New Roman" w:cs="Times New Roman" w:eastAsia="Times New Roman" w:hAnsi="Times New Roman"/>
          <w:sz w:val="14"/>
          <w:szCs w:val="14"/>
          <w:u w:val="single" w:color="auto"/>
          <w:color w:val="0000EE"/>
        </w:rPr>
      </w:pPr>
    </w:p>
    <w:p>
      <w:pPr>
        <w:ind w:left="2120" w:right="359" w:hanging="714"/>
        <w:spacing w:after="0" w:line="318" w:lineRule="auto"/>
        <w:tabs>
          <w:tab w:leader="none" w:pos="1472" w:val="left"/>
        </w:tabs>
        <w:numPr>
          <w:ilvl w:val="0"/>
          <w:numId w:val="13"/>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10.3*</w:t>
      </w:r>
      <w:hyperlink r:id="rId66">
        <w:r>
          <w:rPr>
            <w:rFonts w:ascii="Times New Roman" w:cs="Times New Roman" w:eastAsia="Times New Roman" w:hAnsi="Times New Roman"/>
            <w:sz w:val="13"/>
            <w:szCs w:val="13"/>
            <w:u w:val="single" w:color="auto"/>
            <w:color w:val="0000EE"/>
          </w:rPr>
          <w:t>Voting and Support Agreement, dated as of January 11, 2026, by and among the Company, DTR and the persons set forth on the signature</w:t>
        </w:r>
      </w:hyperlink>
      <w:r>
        <w:rPr>
          <w:rFonts w:ascii="Times New Roman" w:cs="Times New Roman" w:eastAsia="Times New Roman" w:hAnsi="Times New Roman"/>
          <w:sz w:val="13"/>
          <w:szCs w:val="13"/>
          <w:u w:val="single" w:color="auto"/>
          <w:color w:val="0000EE"/>
        </w:rPr>
        <w:t xml:space="preserve"> </w:t>
      </w:r>
      <w:hyperlink r:id="rId66">
        <w:r>
          <w:rPr>
            <w:rFonts w:ascii="Times New Roman" w:cs="Times New Roman" w:eastAsia="Times New Roman" w:hAnsi="Times New Roman"/>
            <w:sz w:val="13"/>
            <w:szCs w:val="13"/>
            <w:u w:val="single" w:color="auto"/>
            <w:color w:val="0000EE"/>
          </w:rPr>
          <w:t>page(s) thereto (incorporated by reference to Exhibit 10.3 to the Company’s Form 8-K filed with the SEC on January 12, 2026).</w:t>
        </w:r>
      </w:hyperlink>
    </w:p>
    <w:p>
      <w:pPr>
        <w:spacing w:after="0" w:line="19" w:lineRule="exact"/>
        <w:rPr>
          <w:rFonts w:ascii="Times New Roman" w:cs="Times New Roman" w:eastAsia="Times New Roman" w:hAnsi="Times New Roman"/>
          <w:sz w:val="13"/>
          <w:szCs w:val="13"/>
          <w:u w:val="single" w:color="auto"/>
          <w:color w:val="0000EE"/>
        </w:rPr>
      </w:pPr>
    </w:p>
    <w:p>
      <w:pPr>
        <w:ind w:left="2120" w:right="459" w:hanging="714"/>
        <w:spacing w:after="0" w:line="318" w:lineRule="auto"/>
        <w:tabs>
          <w:tab w:leader="none" w:pos="1472" w:val="left"/>
        </w:tabs>
        <w:numPr>
          <w:ilvl w:val="0"/>
          <w:numId w:val="13"/>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10.4*</w:t>
      </w:r>
      <w:hyperlink r:id="rId67">
        <w:r>
          <w:rPr>
            <w:rFonts w:ascii="Times New Roman" w:cs="Times New Roman" w:eastAsia="Times New Roman" w:hAnsi="Times New Roman"/>
            <w:sz w:val="13"/>
            <w:szCs w:val="13"/>
            <w:u w:val="single" w:color="auto"/>
            <w:color w:val="0000EE"/>
          </w:rPr>
          <w:t>Amended and Restated Registration Rights Agreement, dated as of January 11, 2026, by and among the Company, and each of the other</w:t>
        </w:r>
      </w:hyperlink>
      <w:r>
        <w:rPr>
          <w:rFonts w:ascii="Times New Roman" w:cs="Times New Roman" w:eastAsia="Times New Roman" w:hAnsi="Times New Roman"/>
          <w:sz w:val="13"/>
          <w:szCs w:val="13"/>
          <w:u w:val="single" w:color="auto"/>
          <w:color w:val="0000EE"/>
        </w:rPr>
        <w:t xml:space="preserve"> </w:t>
      </w:r>
      <w:hyperlink r:id="rId67">
        <w:r>
          <w:rPr>
            <w:rFonts w:ascii="Times New Roman" w:cs="Times New Roman" w:eastAsia="Times New Roman" w:hAnsi="Times New Roman"/>
            <w:sz w:val="13"/>
            <w:szCs w:val="13"/>
            <w:u w:val="single" w:color="auto"/>
            <w:color w:val="0000EE"/>
          </w:rPr>
          <w:t>parties named therein (incorporated by reference to Exhibit 10.4 to the Company’s Form 8-K filed with the SEC on January 12, 2026).</w:t>
        </w:r>
      </w:hyperlink>
    </w:p>
    <w:p>
      <w:pPr>
        <w:spacing w:after="0" w:line="19" w:lineRule="exact"/>
        <w:rPr>
          <w:rFonts w:ascii="Times New Roman" w:cs="Times New Roman" w:eastAsia="Times New Roman" w:hAnsi="Times New Roman"/>
          <w:sz w:val="13"/>
          <w:szCs w:val="13"/>
          <w:u w:val="single" w:color="auto"/>
          <w:color w:val="0000EE"/>
        </w:rPr>
      </w:pPr>
    </w:p>
    <w:p>
      <w:pPr>
        <w:ind w:left="2120" w:right="639" w:hanging="714"/>
        <w:spacing w:after="0" w:line="278" w:lineRule="auto"/>
        <w:tabs>
          <w:tab w:leader="none" w:pos="1472" w:val="left"/>
        </w:tabs>
        <w:numPr>
          <w:ilvl w:val="0"/>
          <w:numId w:val="1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10.5*</w:t>
      </w:r>
      <w:hyperlink r:id="rId68">
        <w:r>
          <w:rPr>
            <w:rFonts w:ascii="Times New Roman" w:cs="Times New Roman" w:eastAsia="Times New Roman" w:hAnsi="Times New Roman"/>
            <w:sz w:val="14"/>
            <w:szCs w:val="14"/>
            <w:u w:val="single" w:color="auto"/>
            <w:color w:val="0000EE"/>
          </w:rPr>
          <w:t>Tax Receivable Agreement, dated October 15, 2021 by and among the Company, Opco and the other parties thereto (incorporated by</w:t>
        </w:r>
      </w:hyperlink>
      <w:r>
        <w:rPr>
          <w:rFonts w:ascii="Times New Roman" w:cs="Times New Roman" w:eastAsia="Times New Roman" w:hAnsi="Times New Roman"/>
          <w:sz w:val="14"/>
          <w:szCs w:val="14"/>
          <w:u w:val="single" w:color="auto"/>
          <w:color w:val="0000EE"/>
        </w:rPr>
        <w:t xml:space="preserve"> </w:t>
      </w:r>
      <w:hyperlink r:id="rId68">
        <w:r>
          <w:rPr>
            <w:rFonts w:ascii="Times New Roman" w:cs="Times New Roman" w:eastAsia="Times New Roman" w:hAnsi="Times New Roman"/>
            <w:sz w:val="14"/>
            <w:szCs w:val="14"/>
            <w:u w:val="single" w:color="auto"/>
            <w:color w:val="0000EE"/>
          </w:rPr>
          <w:t>reference to Exhibit 10.5 to the Company’s Form 8-K filed with the SEC on October 21, 2021).</w:t>
        </w:r>
      </w:hyperlink>
    </w:p>
    <w:p>
      <w:pPr>
        <w:spacing w:after="0" w:line="42" w:lineRule="exact"/>
        <w:rPr>
          <w:rFonts w:ascii="Times New Roman" w:cs="Times New Roman" w:eastAsia="Times New Roman" w:hAnsi="Times New Roman"/>
          <w:sz w:val="14"/>
          <w:szCs w:val="14"/>
          <w:u w:val="single" w:color="auto"/>
          <w:color w:val="0000EE"/>
        </w:rPr>
      </w:pPr>
    </w:p>
    <w:p>
      <w:pPr>
        <w:ind w:left="2120" w:right="839" w:hanging="714"/>
        <w:spacing w:after="0" w:line="262" w:lineRule="auto"/>
        <w:tabs>
          <w:tab w:leader="none" w:pos="1472" w:val="left"/>
        </w:tabs>
        <w:numPr>
          <w:ilvl w:val="0"/>
          <w:numId w:val="1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10.6*</w:t>
      </w:r>
      <w:hyperlink r:id="rId69">
        <w:r>
          <w:rPr>
            <w:rFonts w:ascii="Times New Roman" w:cs="Times New Roman" w:eastAsia="Times New Roman" w:hAnsi="Times New Roman"/>
            <w:sz w:val="14"/>
            <w:szCs w:val="14"/>
            <w:u w:val="single" w:color="auto"/>
            <w:color w:val="0000EE"/>
          </w:rPr>
          <w:t>Amendment No.1 to Tax Receivable Agreement dated October 16, 2025, by and among the Company, Intercontinental Exchange</w:t>
        </w:r>
      </w:hyperlink>
      <w:r>
        <w:rPr>
          <w:rFonts w:ascii="Times New Roman" w:cs="Times New Roman" w:eastAsia="Times New Roman" w:hAnsi="Times New Roman"/>
          <w:sz w:val="14"/>
          <w:szCs w:val="14"/>
          <w:u w:val="single" w:color="auto"/>
          <w:color w:val="0000EE"/>
        </w:rPr>
        <w:t xml:space="preserve"> </w:t>
      </w:r>
      <w:hyperlink r:id="rId69">
        <w:r>
          <w:rPr>
            <w:rFonts w:ascii="Times New Roman" w:cs="Times New Roman" w:eastAsia="Times New Roman" w:hAnsi="Times New Roman"/>
            <w:sz w:val="14"/>
            <w:szCs w:val="14"/>
            <w:u w:val="single" w:color="auto"/>
            <w:color w:val="0000EE"/>
          </w:rPr>
          <w:t>Holdings, Inc. and Akshay Naheta (incorporated by reference to Exhibit 10.1 to the Company’s Form 8-K filed with the SEC on</w:t>
        </w:r>
      </w:hyperlink>
      <w:r>
        <w:rPr>
          <w:rFonts w:ascii="Times New Roman" w:cs="Times New Roman" w:eastAsia="Times New Roman" w:hAnsi="Times New Roman"/>
          <w:sz w:val="14"/>
          <w:szCs w:val="14"/>
          <w:u w:val="single" w:color="auto"/>
          <w:color w:val="0000EE"/>
        </w:rPr>
        <w:t xml:space="preserve"> </w:t>
      </w:r>
      <w:hyperlink r:id="rId69">
        <w:r>
          <w:rPr>
            <w:rFonts w:ascii="Times New Roman" w:cs="Times New Roman" w:eastAsia="Times New Roman" w:hAnsi="Times New Roman"/>
            <w:sz w:val="14"/>
            <w:szCs w:val="14"/>
            <w:u w:val="single" w:color="auto"/>
            <w:color w:val="0000EE"/>
          </w:rPr>
          <w:t>October 17, 2025).</w:t>
        </w:r>
      </w:hyperlink>
    </w:p>
    <w:p>
      <w:pPr>
        <w:spacing w:after="0" w:line="86" w:lineRule="exact"/>
        <w:rPr>
          <w:rFonts w:ascii="Times New Roman" w:cs="Times New Roman" w:eastAsia="Times New Roman" w:hAnsi="Times New Roman"/>
          <w:sz w:val="14"/>
          <w:szCs w:val="14"/>
          <w:u w:val="single" w:color="auto"/>
          <w:color w:val="0000EE"/>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2"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360" w:type="dxa"/>
            <w:vAlign w:val="bottom"/>
          </w:tcPr>
          <w:p>
            <w:pPr>
              <w:jc w:val="center"/>
              <w:ind w:right="1905"/>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520" w:type="dxa"/>
            <w:vAlign w:val="bottom"/>
            <w:vMerge w:val="restart"/>
          </w:tcPr>
          <w:p>
            <w:pPr>
              <w:ind w:left="1960"/>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0" w:type="dxa"/>
            <w:vAlign w:val="bottom"/>
          </w:tcPr>
          <w:p>
            <w:pPr>
              <w:spacing w:after="0"/>
              <w:rPr>
                <w:sz w:val="1"/>
                <w:szCs w:val="1"/>
                <w:color w:val="auto"/>
              </w:rPr>
            </w:pPr>
          </w:p>
        </w:tc>
      </w:tr>
      <w:tr>
        <w:trPr>
          <w:trHeight w:val="145"/>
        </w:trPr>
        <w:tc>
          <w:tcPr>
            <w:tcW w:w="2360" w:type="dxa"/>
            <w:vAlign w:val="bottom"/>
          </w:tcPr>
          <w:p>
            <w:pPr>
              <w:jc w:val="center"/>
              <w:ind w:right="1905"/>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120" w:right="639" w:hanging="714"/>
        <w:spacing w:after="0" w:line="278" w:lineRule="auto"/>
        <w:tabs>
          <w:tab w:leader="none" w:pos="1472" w:val="left"/>
        </w:tabs>
        <w:numPr>
          <w:ilvl w:val="0"/>
          <w:numId w:val="1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10.7*</w:t>
      </w:r>
      <w:hyperlink r:id="rId71">
        <w:r>
          <w:rPr>
            <w:rFonts w:ascii="Times New Roman" w:cs="Times New Roman" w:eastAsia="Times New Roman" w:hAnsi="Times New Roman"/>
            <w:sz w:val="14"/>
            <w:szCs w:val="14"/>
            <w:u w:val="single" w:color="auto"/>
            <w:color w:val="0000EE"/>
          </w:rPr>
          <w:t>Contribution Agreement dated October 16, 2025, by and among the Company, Intercontinental Exchange Holdings, Inc. and Akshay</w:t>
        </w:r>
      </w:hyperlink>
      <w:r>
        <w:rPr>
          <w:rFonts w:ascii="Times New Roman" w:cs="Times New Roman" w:eastAsia="Times New Roman" w:hAnsi="Times New Roman"/>
          <w:sz w:val="14"/>
          <w:szCs w:val="14"/>
          <w:u w:val="single" w:color="auto"/>
          <w:color w:val="0000EE"/>
        </w:rPr>
        <w:t xml:space="preserve"> </w:t>
      </w:r>
      <w:hyperlink r:id="rId71">
        <w:r>
          <w:rPr>
            <w:rFonts w:ascii="Times New Roman" w:cs="Times New Roman" w:eastAsia="Times New Roman" w:hAnsi="Times New Roman"/>
            <w:sz w:val="14"/>
            <w:szCs w:val="14"/>
            <w:u w:val="single" w:color="auto"/>
            <w:color w:val="0000EE"/>
          </w:rPr>
          <w:t>Naheta (incorporated by reference to Exhibit 10.2 to the Company’s Form 8-K filed with the SEC on October 17, 2025).</w:t>
        </w:r>
      </w:hyperlink>
    </w:p>
    <w:p>
      <w:pPr>
        <w:spacing w:after="0" w:line="42" w:lineRule="exact"/>
        <w:rPr>
          <w:rFonts w:ascii="Times New Roman" w:cs="Times New Roman" w:eastAsia="Times New Roman" w:hAnsi="Times New Roman"/>
          <w:sz w:val="14"/>
          <w:szCs w:val="14"/>
          <w:u w:val="single" w:color="auto"/>
          <w:color w:val="0000EE"/>
        </w:rPr>
      </w:pPr>
    </w:p>
    <w:p>
      <w:pPr>
        <w:ind w:left="2120" w:right="319" w:hanging="714"/>
        <w:spacing w:after="0" w:line="262" w:lineRule="auto"/>
        <w:tabs>
          <w:tab w:leader="none" w:pos="1472" w:val="left"/>
        </w:tabs>
        <w:numPr>
          <w:ilvl w:val="0"/>
          <w:numId w:val="1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10.8*</w:t>
      </w:r>
      <w:hyperlink r:id="rId72">
        <w:r>
          <w:rPr>
            <w:rFonts w:ascii="Times New Roman" w:cs="Times New Roman" w:eastAsia="Times New Roman" w:hAnsi="Times New Roman"/>
            <w:sz w:val="14"/>
            <w:szCs w:val="14"/>
            <w:u w:val="single" w:color="auto"/>
            <w:color w:val="0000EE"/>
          </w:rPr>
          <w:t>Amendment No. 1 to Contribution Agreement dated November 3, 2025, by and among the Company, Intercontinental Exchange Holdings,</w:t>
        </w:r>
      </w:hyperlink>
      <w:r>
        <w:rPr>
          <w:rFonts w:ascii="Times New Roman" w:cs="Times New Roman" w:eastAsia="Times New Roman" w:hAnsi="Times New Roman"/>
          <w:sz w:val="14"/>
          <w:szCs w:val="14"/>
          <w:u w:val="single" w:color="auto"/>
          <w:color w:val="0000EE"/>
        </w:rPr>
        <w:t xml:space="preserve"> </w:t>
      </w:r>
      <w:hyperlink r:id="rId72">
        <w:r>
          <w:rPr>
            <w:rFonts w:ascii="Times New Roman" w:cs="Times New Roman" w:eastAsia="Times New Roman" w:hAnsi="Times New Roman"/>
            <w:sz w:val="14"/>
            <w:szCs w:val="14"/>
            <w:u w:val="single" w:color="auto"/>
            <w:color w:val="0000EE"/>
          </w:rPr>
          <w:t>Inc. and Akshay Naheta (incorporated by reference to Exhibit 10.1 to the Company’s Form 8-K12B filed with the SEC on November 3,</w:t>
        </w:r>
      </w:hyperlink>
      <w:r>
        <w:rPr>
          <w:rFonts w:ascii="Times New Roman" w:cs="Times New Roman" w:eastAsia="Times New Roman" w:hAnsi="Times New Roman"/>
          <w:sz w:val="14"/>
          <w:szCs w:val="14"/>
          <w:u w:val="single" w:color="auto"/>
          <w:color w:val="0000EE"/>
        </w:rPr>
        <w:t xml:space="preserve"> </w:t>
      </w:r>
      <w:hyperlink r:id="rId72">
        <w:r>
          <w:rPr>
            <w:rFonts w:ascii="Times New Roman" w:cs="Times New Roman" w:eastAsia="Times New Roman" w:hAnsi="Times New Roman"/>
            <w:sz w:val="14"/>
            <w:szCs w:val="14"/>
            <w:u w:val="single" w:color="auto"/>
            <w:color w:val="0000EE"/>
          </w:rPr>
          <w:t>2025).</w:t>
        </w:r>
      </w:hyperlink>
    </w:p>
    <w:p>
      <w:pPr>
        <w:spacing w:after="0" w:line="54" w:lineRule="exact"/>
        <w:rPr>
          <w:rFonts w:ascii="Times New Roman" w:cs="Times New Roman" w:eastAsia="Times New Roman" w:hAnsi="Times New Roman"/>
          <w:sz w:val="14"/>
          <w:szCs w:val="14"/>
          <w:u w:val="single" w:color="auto"/>
          <w:color w:val="0000EE"/>
        </w:rPr>
      </w:pPr>
    </w:p>
    <w:p>
      <w:pPr>
        <w:ind w:left="1480" w:hanging="74"/>
        <w:spacing w:after="0"/>
        <w:tabs>
          <w:tab w:leader="none" w:pos="1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23.1</w:t>
      </w:r>
      <w:r>
        <w:rPr>
          <w:rFonts w:ascii="Times New Roman" w:cs="Times New Roman" w:eastAsia="Times New Roman" w:hAnsi="Times New Roman"/>
          <w:sz w:val="13"/>
          <w:szCs w:val="13"/>
          <w:u w:val="single" w:color="auto"/>
          <w:color w:val="0000EE"/>
        </w:rPr>
        <w:t>Consent of Ernst &amp; Young LLP, independent registered public accounting firm of the Company.</w:t>
      </w:r>
    </w:p>
    <w:p>
      <w:pPr>
        <w:spacing w:after="0" w:line="88" w:lineRule="exact"/>
        <w:rPr>
          <w:rFonts w:ascii="Times New Roman" w:cs="Times New Roman" w:eastAsia="Times New Roman" w:hAnsi="Times New Roman"/>
          <w:sz w:val="14"/>
          <w:szCs w:val="14"/>
          <w:color w:val="auto"/>
        </w:rPr>
      </w:pPr>
    </w:p>
    <w:p>
      <w:pPr>
        <w:ind w:left="1480" w:hanging="74"/>
        <w:spacing w:after="0"/>
        <w:tabs>
          <w:tab w:leader="none" w:pos="1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23.2</w:t>
      </w:r>
      <w:r>
        <w:rPr>
          <w:rFonts w:ascii="Times New Roman" w:cs="Times New Roman" w:eastAsia="Times New Roman" w:hAnsi="Times New Roman"/>
          <w:sz w:val="13"/>
          <w:szCs w:val="13"/>
          <w:u w:val="single" w:color="auto"/>
          <w:color w:val="0000EE"/>
        </w:rPr>
        <w:t>Consent of KPMG LLP, independent registered public accounting firm of the Company.</w:t>
      </w:r>
    </w:p>
    <w:p>
      <w:pPr>
        <w:spacing w:after="0" w:line="88" w:lineRule="exact"/>
        <w:rPr>
          <w:rFonts w:ascii="Times New Roman" w:cs="Times New Roman" w:eastAsia="Times New Roman" w:hAnsi="Times New Roman"/>
          <w:sz w:val="14"/>
          <w:szCs w:val="14"/>
          <w:color w:val="auto"/>
        </w:rPr>
      </w:pPr>
    </w:p>
    <w:p>
      <w:pPr>
        <w:ind w:left="1480" w:hanging="74"/>
        <w:spacing w:after="0"/>
        <w:tabs>
          <w:tab w:leader="none" w:pos="1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23.3</w:t>
      </w:r>
      <w:r>
        <w:rPr>
          <w:rFonts w:ascii="Times New Roman" w:cs="Times New Roman" w:eastAsia="Times New Roman" w:hAnsi="Times New Roman"/>
          <w:sz w:val="13"/>
          <w:szCs w:val="13"/>
          <w:u w:val="single" w:color="auto"/>
          <w:color w:val="0000EE"/>
        </w:rPr>
        <w:t>Consent of GRANT THORNTON LLP, independent registered public accounting firm of the Company.</w:t>
      </w:r>
    </w:p>
    <w:p>
      <w:pPr>
        <w:spacing w:after="0" w:line="88" w:lineRule="exact"/>
        <w:rPr>
          <w:rFonts w:ascii="Times New Roman" w:cs="Times New Roman" w:eastAsia="Times New Roman" w:hAnsi="Times New Roman"/>
          <w:sz w:val="14"/>
          <w:szCs w:val="14"/>
          <w:color w:val="auto"/>
        </w:rPr>
      </w:pPr>
    </w:p>
    <w:p>
      <w:pPr>
        <w:ind w:left="1480" w:hanging="74"/>
        <w:spacing w:after="0"/>
        <w:tabs>
          <w:tab w:leader="none" w:pos="1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23.4</w:t>
      </w:r>
      <w:r>
        <w:rPr>
          <w:rFonts w:ascii="Times New Roman" w:cs="Times New Roman" w:eastAsia="Times New Roman" w:hAnsi="Times New Roman"/>
          <w:sz w:val="13"/>
          <w:szCs w:val="13"/>
          <w:u w:val="single" w:color="auto"/>
          <w:color w:val="0000EE"/>
        </w:rPr>
        <w:t>Consent of Sullivan &amp; Cromwell LLP (included in the opinion filed as Exhibit 5.1 to this registration statement).</w:t>
      </w:r>
    </w:p>
    <w:p>
      <w:pPr>
        <w:spacing w:after="0" w:line="88" w:lineRule="exact"/>
        <w:rPr>
          <w:rFonts w:ascii="Times New Roman" w:cs="Times New Roman" w:eastAsia="Times New Roman" w:hAnsi="Times New Roman"/>
          <w:sz w:val="14"/>
          <w:szCs w:val="14"/>
          <w:color w:val="auto"/>
        </w:rPr>
      </w:pPr>
    </w:p>
    <w:p>
      <w:pPr>
        <w:ind w:left="1480" w:hanging="74"/>
        <w:spacing w:after="0"/>
        <w:tabs>
          <w:tab w:leader="none" w:pos="1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24.1</w:t>
      </w:r>
      <w:r>
        <w:rPr>
          <w:rFonts w:ascii="Times New Roman" w:cs="Times New Roman" w:eastAsia="Times New Roman" w:hAnsi="Times New Roman"/>
          <w:sz w:val="13"/>
          <w:szCs w:val="13"/>
          <w:u w:val="single" w:color="auto"/>
          <w:color w:val="0000EE"/>
        </w:rPr>
        <w:t>Powers of Attorney (included on the signature page to this registration statement).</w:t>
      </w:r>
    </w:p>
    <w:p>
      <w:pPr>
        <w:spacing w:after="0" w:line="88" w:lineRule="exact"/>
        <w:rPr>
          <w:rFonts w:ascii="Times New Roman" w:cs="Times New Roman" w:eastAsia="Times New Roman" w:hAnsi="Times New Roman"/>
          <w:sz w:val="14"/>
          <w:szCs w:val="14"/>
          <w:u w:val="single" w:color="auto"/>
          <w:color w:val="0000EE"/>
        </w:rPr>
      </w:pPr>
    </w:p>
    <w:p>
      <w:pPr>
        <w:ind w:left="2120" w:hanging="714"/>
        <w:spacing w:after="0"/>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44"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Previously filed.</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892810</wp:posOffset>
            </wp:positionH>
            <wp:positionV relativeFrom="paragraph">
              <wp:posOffset>-118745</wp:posOffset>
            </wp:positionV>
            <wp:extent cx="59372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593725" cy="6350"/>
                    </a:xfrm>
                    <a:prstGeom prst="rect">
                      <a:avLst/>
                    </a:prstGeom>
                    <a:noFill/>
                  </pic:spPr>
                </pic:pic>
              </a:graphicData>
            </a:graphic>
          </wp:anchor>
        </w:drawing>
      </w:r>
    </w:p>
    <w:p>
      <w:pPr>
        <w:spacing w:after="0" w:line="233" w:lineRule="exact"/>
        <w:rPr>
          <w:rFonts w:ascii="Times New Roman" w:cs="Times New Roman" w:eastAsia="Times New Roman" w:hAnsi="Times New Roman"/>
          <w:sz w:val="14"/>
          <w:szCs w:val="14"/>
          <w:u w:val="single" w:color="auto"/>
          <w:color w:val="0000EE"/>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01" w:lineRule="exact"/>
        <w:rPr>
          <w:rFonts w:ascii="Times New Roman" w:cs="Times New Roman" w:eastAsia="Times New Roman" w:hAnsi="Times New Roman"/>
          <w:sz w:val="14"/>
          <w:szCs w:val="14"/>
          <w:u w:val="single" w:color="auto"/>
          <w:color w:val="0000EE"/>
        </w:rPr>
      </w:pPr>
    </w:p>
    <w:p>
      <w:pPr>
        <w:ind w:left="1820" w:hanging="414"/>
        <w:spacing w:after="0"/>
        <w:tabs>
          <w:tab w:leader="none" w:pos="1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98" w:lineRule="exact"/>
        <w:rPr>
          <w:rFonts w:ascii="Times New Roman" w:cs="Times New Roman" w:eastAsia="Times New Roman" w:hAnsi="Times New Roman"/>
          <w:sz w:val="14"/>
          <w:szCs w:val="14"/>
          <w:color w:val="auto"/>
        </w:rPr>
      </w:pPr>
    </w:p>
    <w:p>
      <w:pPr>
        <w:ind w:left="2160" w:hanging="422"/>
        <w:spacing w:after="0"/>
        <w:tabs>
          <w:tab w:leader="none" w:pos="21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98" w:lineRule="exact"/>
        <w:rPr>
          <w:rFonts w:ascii="Times New Roman" w:cs="Times New Roman" w:eastAsia="Times New Roman" w:hAnsi="Times New Roman"/>
          <w:sz w:val="14"/>
          <w:szCs w:val="14"/>
          <w:color w:val="auto"/>
        </w:rPr>
      </w:pPr>
    </w:p>
    <w:p>
      <w:pPr>
        <w:ind w:left="2500" w:hanging="336"/>
        <w:spacing w:after="0"/>
        <w:tabs>
          <w:tab w:leader="none" w:pos="2500" w:val="left"/>
        </w:tabs>
        <w:numPr>
          <w:ilvl w:val="2"/>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98" w:lineRule="exact"/>
        <w:rPr>
          <w:rFonts w:ascii="Times New Roman" w:cs="Times New Roman" w:eastAsia="Times New Roman" w:hAnsi="Times New Roman"/>
          <w:sz w:val="14"/>
          <w:szCs w:val="14"/>
          <w:color w:val="auto"/>
        </w:rPr>
      </w:pPr>
    </w:p>
    <w:p>
      <w:pPr>
        <w:ind w:left="2500" w:right="339" w:hanging="336"/>
        <w:spacing w:after="0" w:line="275" w:lineRule="auto"/>
        <w:tabs>
          <w:tab w:leader="none" w:pos="2500" w:val="left"/>
        </w:tabs>
        <w:numPr>
          <w:ilvl w:val="2"/>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57" w:lineRule="exact"/>
        <w:rPr>
          <w:rFonts w:ascii="Times New Roman" w:cs="Times New Roman" w:eastAsia="Times New Roman" w:hAnsi="Times New Roman"/>
          <w:sz w:val="13"/>
          <w:szCs w:val="13"/>
          <w:color w:val="auto"/>
        </w:rPr>
      </w:pPr>
    </w:p>
    <w:p>
      <w:pPr>
        <w:ind w:left="2500" w:right="439" w:hanging="336"/>
        <w:spacing w:after="0" w:line="278" w:lineRule="auto"/>
        <w:tabs>
          <w:tab w:leader="none" w:pos="2500" w:val="left"/>
        </w:tabs>
        <w:numPr>
          <w:ilvl w:val="2"/>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4" w:lineRule="exact"/>
        <w:rPr>
          <w:rFonts w:ascii="Times New Roman" w:cs="Times New Roman" w:eastAsia="Times New Roman" w:hAnsi="Times New Roman"/>
          <w:sz w:val="14"/>
          <w:szCs w:val="14"/>
          <w:u w:val="single" w:color="auto"/>
          <w:color w:val="0000EE"/>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2"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740" w:right="339"/>
        <w:spacing w:after="0" w:line="258"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(1)(i), (1)(ii) and (1)(iii) do not apply if the information required to be included in a post-effective amendment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68" w:lineRule="exact"/>
        <w:rPr>
          <w:sz w:val="20"/>
          <w:szCs w:val="20"/>
          <w:color w:val="auto"/>
        </w:rPr>
      </w:pPr>
    </w:p>
    <w:p>
      <w:pPr>
        <w:ind w:left="2160" w:right="279" w:hanging="422"/>
        <w:spacing w:after="0" w:line="262"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4" w:lineRule="exact"/>
        <w:rPr>
          <w:rFonts w:ascii="Times New Roman" w:cs="Times New Roman" w:eastAsia="Times New Roman" w:hAnsi="Times New Roman"/>
          <w:sz w:val="14"/>
          <w:szCs w:val="14"/>
          <w:color w:val="auto"/>
        </w:rPr>
      </w:pPr>
    </w:p>
    <w:p>
      <w:pPr>
        <w:ind w:left="2160" w:right="599" w:hanging="422"/>
        <w:spacing w:after="0" w:line="278"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2" w:lineRule="exact"/>
        <w:rPr>
          <w:rFonts w:ascii="Times New Roman" w:cs="Times New Roman" w:eastAsia="Times New Roman" w:hAnsi="Times New Roman"/>
          <w:sz w:val="14"/>
          <w:szCs w:val="14"/>
          <w:color w:val="auto"/>
        </w:rPr>
      </w:pPr>
    </w:p>
    <w:p>
      <w:pPr>
        <w:ind w:left="2160" w:hanging="42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98" w:lineRule="exact"/>
        <w:rPr>
          <w:rFonts w:ascii="Times New Roman" w:cs="Times New Roman" w:eastAsia="Times New Roman" w:hAnsi="Times New Roman"/>
          <w:sz w:val="14"/>
          <w:szCs w:val="14"/>
          <w:color w:val="auto"/>
        </w:rPr>
      </w:pPr>
    </w:p>
    <w:p>
      <w:pPr>
        <w:ind w:left="2500" w:right="479" w:hanging="336"/>
        <w:spacing w:after="0" w:line="278" w:lineRule="auto"/>
        <w:tabs>
          <w:tab w:leader="none" w:pos="250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2" w:lineRule="exact"/>
        <w:rPr>
          <w:rFonts w:ascii="Times New Roman" w:cs="Times New Roman" w:eastAsia="Times New Roman" w:hAnsi="Times New Roman"/>
          <w:sz w:val="14"/>
          <w:szCs w:val="14"/>
          <w:color w:val="auto"/>
        </w:rPr>
      </w:pPr>
    </w:p>
    <w:p>
      <w:pPr>
        <w:ind w:left="2500" w:right="279" w:hanging="336"/>
        <w:spacing w:after="0" w:line="250" w:lineRule="auto"/>
        <w:tabs>
          <w:tab w:leader="none" w:pos="250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5" w:lineRule="exact"/>
        <w:rPr>
          <w:rFonts w:ascii="Times New Roman" w:cs="Times New Roman" w:eastAsia="Times New Roman" w:hAnsi="Times New Roman"/>
          <w:sz w:val="14"/>
          <w:szCs w:val="14"/>
          <w:color w:val="auto"/>
        </w:rPr>
      </w:pPr>
    </w:p>
    <w:p>
      <w:pPr>
        <w:ind w:left="2160" w:right="299" w:hanging="422"/>
        <w:spacing w:after="0" w:line="255"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9" w:lineRule="exact"/>
        <w:rPr>
          <w:rFonts w:ascii="Times New Roman" w:cs="Times New Roman" w:eastAsia="Times New Roman" w:hAnsi="Times New Roman"/>
          <w:sz w:val="14"/>
          <w:szCs w:val="14"/>
          <w:color w:val="auto"/>
        </w:rPr>
      </w:pPr>
    </w:p>
    <w:p>
      <w:pPr>
        <w:ind w:left="2500" w:right="439" w:hanging="336"/>
        <w:spacing w:after="0" w:line="278" w:lineRule="auto"/>
        <w:tabs>
          <w:tab w:leader="none" w:pos="250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2" w:lineRule="exact"/>
        <w:rPr>
          <w:rFonts w:ascii="Times New Roman" w:cs="Times New Roman" w:eastAsia="Times New Roman" w:hAnsi="Times New Roman"/>
          <w:sz w:val="14"/>
          <w:szCs w:val="14"/>
          <w:color w:val="auto"/>
        </w:rPr>
      </w:pPr>
    </w:p>
    <w:p>
      <w:pPr>
        <w:ind w:left="2500" w:right="479" w:hanging="336"/>
        <w:spacing w:after="0" w:line="278" w:lineRule="auto"/>
        <w:tabs>
          <w:tab w:leader="none" w:pos="250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2"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500" w:right="719" w:hanging="336"/>
        <w:spacing w:after="0" w:line="278" w:lineRule="auto"/>
        <w:tabs>
          <w:tab w:leader="none" w:pos="2500" w:val="left"/>
        </w:tabs>
        <w:numPr>
          <w:ilvl w:val="2"/>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2" w:lineRule="exact"/>
        <w:rPr>
          <w:rFonts w:ascii="Times New Roman" w:cs="Times New Roman" w:eastAsia="Times New Roman" w:hAnsi="Times New Roman"/>
          <w:sz w:val="14"/>
          <w:szCs w:val="14"/>
          <w:color w:val="auto"/>
        </w:rPr>
      </w:pPr>
    </w:p>
    <w:p>
      <w:pPr>
        <w:ind w:left="2500" w:hanging="336"/>
        <w:spacing w:after="0"/>
        <w:tabs>
          <w:tab w:leader="none" w:pos="2500" w:val="left"/>
        </w:tabs>
        <w:numPr>
          <w:ilvl w:val="2"/>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98" w:lineRule="exact"/>
        <w:rPr>
          <w:rFonts w:ascii="Times New Roman" w:cs="Times New Roman" w:eastAsia="Times New Roman" w:hAnsi="Times New Roman"/>
          <w:sz w:val="14"/>
          <w:szCs w:val="14"/>
          <w:color w:val="auto"/>
        </w:rPr>
      </w:pPr>
    </w:p>
    <w:p>
      <w:pPr>
        <w:ind w:left="2160" w:right="319" w:hanging="422"/>
        <w:spacing w:after="0" w:line="255" w:lineRule="auto"/>
        <w:tabs>
          <w:tab w:leader="none" w:pos="21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9" w:lineRule="exact"/>
        <w:rPr>
          <w:rFonts w:ascii="Times New Roman" w:cs="Times New Roman" w:eastAsia="Times New Roman" w:hAnsi="Times New Roman"/>
          <w:sz w:val="14"/>
          <w:szCs w:val="14"/>
          <w:color w:val="auto"/>
        </w:rPr>
      </w:pPr>
    </w:p>
    <w:p>
      <w:pPr>
        <w:ind w:left="2160" w:right="439" w:hanging="422"/>
        <w:spacing w:after="0" w:line="262" w:lineRule="auto"/>
        <w:tabs>
          <w:tab w:leader="none" w:pos="21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64" w:lineRule="exact"/>
        <w:rPr>
          <w:rFonts w:ascii="Times New Roman" w:cs="Times New Roman" w:eastAsia="Times New Roman" w:hAnsi="Times New Roman"/>
          <w:sz w:val="14"/>
          <w:szCs w:val="14"/>
          <w:color w:val="auto"/>
        </w:rPr>
      </w:pPr>
    </w:p>
    <w:p>
      <w:pPr>
        <w:ind w:left="1740" w:right="339" w:hanging="334"/>
        <w:spacing w:after="0" w:line="252" w:lineRule="auto"/>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82"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3" w:lineRule="exact"/>
        <w:rPr>
          <w:sz w:val="20"/>
          <w:szCs w:val="20"/>
          <w:color w:val="auto"/>
        </w:rPr>
      </w:pPr>
    </w:p>
    <w:p>
      <w:pPr>
        <w:ind w:left="1400" w:right="419" w:firstLine="339"/>
        <w:spacing w:after="0" w:line="26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Atlanta, State of Georgia, on May 12, 2026.</w:t>
      </w:r>
    </w:p>
    <w:p>
      <w:pPr>
        <w:spacing w:after="0" w:line="15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BAKKT, INC.</w:t>
      </w:r>
    </w:p>
    <w:p>
      <w:pPr>
        <w:spacing w:after="0" w:line="17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4276725</wp:posOffset>
            </wp:positionH>
            <wp:positionV relativeFrom="paragraph">
              <wp:posOffset>12700</wp:posOffset>
            </wp:positionV>
            <wp:extent cx="199898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1998980" cy="635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4"/>
          <w:szCs w:val="14"/>
          <w:color w:val="auto"/>
        </w:rPr>
        <w:t>Akshay Naheta</w:t>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382"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1"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b w:val="1"/>
          <w:bCs w:val="1"/>
          <w:color w:val="auto"/>
        </w:rPr>
        <w:t>KNOW ALL PERSONS BY THESE PRESENTS</w:t>
      </w:r>
      <w:r>
        <w:rPr>
          <w:rFonts w:ascii="Times New Roman" w:cs="Times New Roman" w:eastAsia="Times New Roman" w:hAnsi="Times New Roman"/>
          <w:sz w:val="14"/>
          <w:szCs w:val="14"/>
          <w:color w:val="auto"/>
        </w:rPr>
        <w:t>, that each person whose signature appears below hereby constitutes and appoints Akshay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Naheta, Karen Alexander and Marc D’Annunzio, or each one of them individually, as the undersigned’s true and lawful attorney-in-fact and agents, with full power of substitution and resubstitution for such person and in such person’s name, place and stead, in any and all capacities, to sign any and all amendments (including post-effective amendments, exhibits thereto, and other documents in connection therewith to this Registration Statement and any later registration statement filed by the registrant under Rule 462(b) of the Securities Act of 1933, which relates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such person might or could do in person, hereby ratifying and confirming all that each of said attorney-in-fact and agent, or their substitute or substitutes may lawfully do or cause to be done by virtue hereof.</w:t>
      </w:r>
    </w:p>
    <w:p>
      <w:pPr>
        <w:spacing w:after="0" w:line="149" w:lineRule="exact"/>
        <w:rPr>
          <w:sz w:val="20"/>
          <w:szCs w:val="20"/>
          <w:color w:val="auto"/>
        </w:rPr>
      </w:pPr>
    </w:p>
    <w:p>
      <w:pPr>
        <w:ind w:left="1400" w:right="279" w:firstLine="339"/>
        <w:spacing w:after="0" w:line="29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on behalf of the registrant in the capacities indicated on this 12</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day of May, 2026.</w:t>
      </w:r>
    </w:p>
    <w:p>
      <w:pPr>
        <w:sectPr>
          <w:pgSz w:w="11900" w:h="16838" w:orient="portrait"/>
          <w:cols w:equalWidth="0" w:num="1">
            <w:col w:w="10159"/>
          </w:cols>
          <w:pgMar w:left="300" w:top="382" w:right="1440" w:bottom="1440" w:gutter="0" w:footer="0" w:header="0"/>
        </w:sectPr>
      </w:pPr>
    </w:p>
    <w:p>
      <w:pPr>
        <w:spacing w:after="0" w:line="36"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10795</wp:posOffset>
            </wp:positionV>
            <wp:extent cx="208470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2084705" cy="6350"/>
                    </a:xfrm>
                    <a:prstGeom prst="rect">
                      <a:avLst/>
                    </a:prstGeom>
                    <a:noFill/>
                  </pic:spPr>
                </pic:pic>
              </a:graphicData>
            </a:graphic>
          </wp:anchor>
        </w:drawing>
      </w:r>
    </w:p>
    <w:p>
      <w:pPr>
        <w:spacing w:after="0" w:line="66"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4"/>
          <w:szCs w:val="14"/>
          <w:color w:val="auto"/>
        </w:rPr>
        <w:t>/s/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12700</wp:posOffset>
            </wp:positionV>
            <wp:extent cx="208470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2084705" cy="6350"/>
                    </a:xfrm>
                    <a:prstGeom prst="rect">
                      <a:avLst/>
                    </a:prstGeom>
                    <a:noFill/>
                  </pic:spPr>
                </pic:pic>
              </a:graphicData>
            </a:graphic>
          </wp:anchor>
        </w:drawing>
      </w:r>
    </w:p>
    <w:p>
      <w:pPr>
        <w:jc w:val="center"/>
        <w:ind w:left="2040"/>
        <w:spacing w:after="0"/>
        <w:rPr>
          <w:sz w:val="20"/>
          <w:szCs w:val="20"/>
          <w:color w:val="auto"/>
        </w:rPr>
      </w:pPr>
      <w:r>
        <w:rPr>
          <w:rFonts w:ascii="Times New Roman" w:cs="Times New Roman" w:eastAsia="Times New Roman" w:hAnsi="Times New Roman"/>
          <w:sz w:val="14"/>
          <w:szCs w:val="14"/>
          <w:color w:val="auto"/>
        </w:rPr>
        <w:t>Akshay Naheta</w:t>
      </w:r>
    </w:p>
    <w:p>
      <w:pPr>
        <w:spacing w:after="0" w:line="177"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4"/>
          <w:szCs w:val="14"/>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12700</wp:posOffset>
            </wp:positionV>
            <wp:extent cx="208470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2084705" cy="6350"/>
                    </a:xfrm>
                    <a:prstGeom prst="rect">
                      <a:avLst/>
                    </a:prstGeom>
                    <a:noFill/>
                  </pic:spPr>
                </pic:pic>
              </a:graphicData>
            </a:graphic>
          </wp:anchor>
        </w:drawing>
      </w:r>
    </w:p>
    <w:p>
      <w:pPr>
        <w:jc w:val="center"/>
        <w:ind w:left="2040"/>
        <w:spacing w:after="0"/>
        <w:rPr>
          <w:sz w:val="20"/>
          <w:szCs w:val="20"/>
          <w:color w:val="auto"/>
        </w:rPr>
      </w:pPr>
      <w:r>
        <w:rPr>
          <w:rFonts w:ascii="Times New Roman" w:cs="Times New Roman" w:eastAsia="Times New Roman" w:hAnsi="Times New Roman"/>
          <w:sz w:val="14"/>
          <w:szCs w:val="14"/>
          <w:color w:val="auto"/>
        </w:rPr>
        <w:t>Karen Alexander</w:t>
      </w:r>
    </w:p>
    <w:p>
      <w:pPr>
        <w:spacing w:after="0" w:line="177"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3"/>
          <w:szCs w:val="13"/>
          <w:color w:val="auto"/>
        </w:rPr>
        <w:t>/s/ Joseph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19685</wp:posOffset>
            </wp:positionV>
            <wp:extent cx="208470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2084705" cy="6350"/>
                    </a:xfrm>
                    <a:prstGeom prst="rect">
                      <a:avLst/>
                    </a:prstGeom>
                    <a:noFill/>
                  </pic:spPr>
                </pic:pic>
              </a:graphicData>
            </a:graphic>
          </wp:anchor>
        </w:drawing>
      </w:r>
    </w:p>
    <w:p>
      <w:pPr>
        <w:spacing w:after="0" w:line="12"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4"/>
          <w:szCs w:val="14"/>
          <w:color w:val="auto"/>
        </w:rPr>
        <w:t>Joseph Henderson</w:t>
      </w:r>
    </w:p>
    <w:p>
      <w:pPr>
        <w:spacing w:after="0" w:line="177"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4"/>
          <w:szCs w:val="14"/>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12700</wp:posOffset>
            </wp:positionV>
            <wp:extent cx="208470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2084705" cy="6350"/>
                    </a:xfrm>
                    <a:prstGeom prst="rect">
                      <a:avLst/>
                    </a:prstGeom>
                    <a:noFill/>
                  </pic:spPr>
                </pic:pic>
              </a:graphicData>
            </a:graphic>
          </wp:anchor>
        </w:drawing>
      </w:r>
    </w:p>
    <w:p>
      <w:pPr>
        <w:jc w:val="center"/>
        <w:ind w:left="2040"/>
        <w:spacing w:after="0"/>
        <w:rPr>
          <w:sz w:val="20"/>
          <w:szCs w:val="20"/>
          <w:color w:val="auto"/>
        </w:rPr>
      </w:pPr>
      <w:r>
        <w:rPr>
          <w:rFonts w:ascii="Times New Roman" w:cs="Times New Roman" w:eastAsia="Times New Roman" w:hAnsi="Times New Roman"/>
          <w:sz w:val="14"/>
          <w:szCs w:val="14"/>
          <w:color w:val="auto"/>
        </w:rPr>
        <w:t>Sean Collins</w:t>
      </w:r>
    </w:p>
    <w:p>
      <w:pPr>
        <w:spacing w:after="0" w:line="177"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4"/>
          <w:szCs w:val="14"/>
          <w:color w:val="auto"/>
        </w:rPr>
        <w:t>/s/ Mike Alfred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12700</wp:posOffset>
            </wp:positionV>
            <wp:extent cx="208470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2084705" cy="6350"/>
                    </a:xfrm>
                    <a:prstGeom prst="rect">
                      <a:avLst/>
                    </a:prstGeom>
                    <a:noFill/>
                  </pic:spPr>
                </pic:pic>
              </a:graphicData>
            </a:graphic>
          </wp:anchor>
        </w:drawing>
      </w:r>
    </w:p>
    <w:p>
      <w:pPr>
        <w:jc w:val="center"/>
        <w:ind w:left="2040"/>
        <w:spacing w:after="0"/>
        <w:rPr>
          <w:sz w:val="20"/>
          <w:szCs w:val="20"/>
          <w:color w:val="auto"/>
        </w:rPr>
      </w:pPr>
      <w:r>
        <w:rPr>
          <w:rFonts w:ascii="Times New Roman" w:cs="Times New Roman" w:eastAsia="Times New Roman" w:hAnsi="Times New Roman"/>
          <w:sz w:val="14"/>
          <w:szCs w:val="14"/>
          <w:color w:val="auto"/>
        </w:rPr>
        <w:t>Mike Alfred</w:t>
      </w:r>
    </w:p>
    <w:p>
      <w:pPr>
        <w:spacing w:after="0" w:line="177"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4"/>
          <w:szCs w:val="14"/>
          <w:color w:val="auto"/>
        </w:rPr>
        <w:t>/s/ Colleen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12700</wp:posOffset>
            </wp:positionV>
            <wp:extent cx="208470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2084705" cy="6350"/>
                    </a:xfrm>
                    <a:prstGeom prst="rect">
                      <a:avLst/>
                    </a:prstGeom>
                    <a:noFill/>
                  </pic:spPr>
                </pic:pic>
              </a:graphicData>
            </a:graphic>
          </wp:anchor>
        </w:drawing>
      </w:r>
    </w:p>
    <w:p>
      <w:pPr>
        <w:jc w:val="center"/>
        <w:ind w:left="2040"/>
        <w:spacing w:after="0"/>
        <w:rPr>
          <w:sz w:val="20"/>
          <w:szCs w:val="20"/>
          <w:color w:val="auto"/>
        </w:rPr>
      </w:pPr>
      <w:r>
        <w:rPr>
          <w:rFonts w:ascii="Times New Roman" w:cs="Times New Roman" w:eastAsia="Times New Roman" w:hAnsi="Times New Roman"/>
          <w:sz w:val="14"/>
          <w:szCs w:val="14"/>
          <w:color w:val="auto"/>
        </w:rPr>
        <w:t>Colleen Brown</w:t>
      </w:r>
    </w:p>
    <w:p>
      <w:pPr>
        <w:spacing w:after="0" w:line="177"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4"/>
          <w:szCs w:val="14"/>
          <w:color w:val="auto"/>
        </w:rPr>
        <w:t>/s/ Lyn Alden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12700</wp:posOffset>
            </wp:positionV>
            <wp:extent cx="208470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2084705" cy="6350"/>
                    </a:xfrm>
                    <a:prstGeom prst="rect">
                      <a:avLst/>
                    </a:prstGeom>
                    <a:noFill/>
                  </pic:spPr>
                </pic:pic>
              </a:graphicData>
            </a:graphic>
          </wp:anchor>
        </w:drawing>
      </w:r>
    </w:p>
    <w:p>
      <w:pPr>
        <w:jc w:val="center"/>
        <w:ind w:left="2040"/>
        <w:spacing w:after="0"/>
        <w:rPr>
          <w:sz w:val="20"/>
          <w:szCs w:val="20"/>
          <w:color w:val="auto"/>
        </w:rPr>
      </w:pPr>
      <w:r>
        <w:rPr>
          <w:rFonts w:ascii="Times New Roman" w:cs="Times New Roman" w:eastAsia="Times New Roman" w:hAnsi="Times New Roman"/>
          <w:sz w:val="14"/>
          <w:szCs w:val="14"/>
          <w:color w:val="auto"/>
        </w:rPr>
        <w:t>Lyn Alden</w:t>
      </w:r>
    </w:p>
    <w:p>
      <w:pPr>
        <w:spacing w:after="0" w:line="177"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4"/>
          <w:szCs w:val="14"/>
          <w:color w:val="auto"/>
        </w:rPr>
        <w:t>/s/ Richard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12700</wp:posOffset>
            </wp:positionV>
            <wp:extent cx="208470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2084705" cy="6350"/>
                    </a:xfrm>
                    <a:prstGeom prst="rect">
                      <a:avLst/>
                    </a:prstGeom>
                    <a:noFill/>
                  </pic:spPr>
                </pic:pic>
              </a:graphicData>
            </a:graphic>
          </wp:anchor>
        </w:drawing>
      </w:r>
    </w:p>
    <w:p>
      <w:pPr>
        <w:jc w:val="center"/>
        <w:ind w:left="2040"/>
        <w:spacing w:after="0"/>
        <w:rPr>
          <w:sz w:val="20"/>
          <w:szCs w:val="20"/>
          <w:color w:val="auto"/>
        </w:rPr>
      </w:pPr>
      <w:r>
        <w:rPr>
          <w:rFonts w:ascii="Times New Roman" w:cs="Times New Roman" w:eastAsia="Times New Roman" w:hAnsi="Times New Roman"/>
          <w:sz w:val="14"/>
          <w:szCs w:val="14"/>
          <w:color w:val="auto"/>
        </w:rPr>
        <w:t>Richard Galvin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4548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3245485" cy="63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Accounting Officer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Chair of the Board of Directors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II-8</w:t>
      </w:r>
    </w:p>
    <w:p>
      <w:pPr>
        <w:sectPr>
          <w:pgSz w:w="11900" w:h="16838" w:orient="portrait"/>
          <w:cols w:equalWidth="0" w:num="2">
            <w:col w:w="4060" w:space="720"/>
            <w:col w:w="5379"/>
          </w:cols>
          <w:pgMar w:left="300" w:top="382" w:right="1440" w:bottom="1440" w:gutter="0" w:footer="0" w:header="0"/>
          <w:type w:val="continuous"/>
        </w:sectPr>
      </w:pPr>
    </w:p>
    <w:bookmarkStart w:id="31" w:name="page32"/>
    <w:bookmarkEnd w:id="31"/>
    <w:tbl>
      <w:tblPr>
        <w:tblLayout w:type="fixed"/>
        <w:tblInd w:w="26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4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tc>
        <w:tc>
          <w:tcPr>
            <w:tcW w:w="0" w:type="dxa"/>
            <w:vAlign w:val="bottom"/>
          </w:tcPr>
          <w:p>
            <w:pPr>
              <w:spacing w:after="0"/>
              <w:rPr>
                <w:sz w:val="1"/>
                <w:szCs w:val="1"/>
                <w:color w:val="auto"/>
              </w:rPr>
            </w:pPr>
          </w:p>
        </w:tc>
      </w:tr>
      <w:tr>
        <w:trPr>
          <w:trHeight w:val="336"/>
        </w:trPr>
        <w:tc>
          <w:tcPr>
            <w:tcW w:w="4420" w:type="dxa"/>
            <w:vAlign w:val="bottom"/>
          </w:tcPr>
          <w:p>
            <w:pPr>
              <w:spacing w:after="0"/>
              <w:rPr>
                <w:sz w:val="24"/>
                <w:szCs w:val="24"/>
                <w:color w:val="auto"/>
              </w:rPr>
            </w:pPr>
          </w:p>
        </w:tc>
        <w:tc>
          <w:tcPr>
            <w:tcW w:w="406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8"/>
              </w:rPr>
              <w:t>125 Broad Street</w:t>
            </w:r>
          </w:p>
        </w:tc>
        <w:tc>
          <w:tcPr>
            <w:tcW w:w="0" w:type="dxa"/>
            <w:vAlign w:val="bottom"/>
          </w:tcPr>
          <w:p>
            <w:pPr>
              <w:spacing w:after="0"/>
              <w:rPr>
                <w:sz w:val="1"/>
                <w:szCs w:val="1"/>
                <w:color w:val="auto"/>
              </w:rPr>
            </w:pPr>
          </w:p>
        </w:tc>
      </w:tr>
      <w:tr>
        <w:trPr>
          <w:trHeight w:val="183"/>
        </w:trPr>
        <w:tc>
          <w:tcPr>
            <w:tcW w:w="4420" w:type="dxa"/>
            <w:vAlign w:val="bottom"/>
            <w:vMerge w:val="restart"/>
          </w:tcPr>
          <w:p>
            <w:pPr>
              <w:jc w:val="center"/>
              <w:ind w:right="351"/>
              <w:spacing w:after="0"/>
              <w:rPr>
                <w:sz w:val="20"/>
                <w:szCs w:val="20"/>
                <w:color w:val="auto"/>
              </w:rPr>
            </w:pPr>
            <w:r>
              <w:rPr>
                <w:rFonts w:ascii="Times New Roman" w:cs="Times New Roman" w:eastAsia="Times New Roman" w:hAnsi="Times New Roman"/>
                <w:sz w:val="14"/>
                <w:szCs w:val="14"/>
                <w:color w:val="auto"/>
                <w:w w:val="98"/>
              </w:rPr>
              <w:t>TELEPHONE: 1-212-558-4000</w:t>
            </w:r>
          </w:p>
        </w:tc>
        <w:tc>
          <w:tcPr>
            <w:tcW w:w="406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7"/>
              </w:rPr>
              <w:t>New York, New York 10004-2498</w:t>
            </w:r>
          </w:p>
        </w:tc>
        <w:tc>
          <w:tcPr>
            <w:tcW w:w="0" w:type="dxa"/>
            <w:vAlign w:val="bottom"/>
          </w:tcPr>
          <w:p>
            <w:pPr>
              <w:spacing w:after="0"/>
              <w:rPr>
                <w:sz w:val="1"/>
                <w:szCs w:val="1"/>
                <w:color w:val="auto"/>
              </w:rPr>
            </w:pPr>
          </w:p>
        </w:tc>
      </w:tr>
      <w:tr>
        <w:trPr>
          <w:trHeight w:val="120"/>
        </w:trPr>
        <w:tc>
          <w:tcPr>
            <w:tcW w:w="4420" w:type="dxa"/>
            <w:vAlign w:val="bottom"/>
            <w:vMerge w:val="continue"/>
          </w:tcPr>
          <w:p>
            <w:pPr>
              <w:spacing w:after="0"/>
              <w:rPr>
                <w:sz w:val="10"/>
                <w:szCs w:val="10"/>
                <w:color w:val="auto"/>
              </w:rPr>
            </w:pPr>
          </w:p>
        </w:tc>
        <w:tc>
          <w:tcPr>
            <w:tcW w:w="4060" w:type="dxa"/>
            <w:vAlign w:val="bottom"/>
            <w:vMerge w:val="restart"/>
          </w:tcPr>
          <w:p>
            <w:pPr>
              <w:jc w:val="center"/>
              <w:ind w:left="251"/>
              <w:spacing w:after="0"/>
              <w:rPr>
                <w:sz w:val="20"/>
                <w:szCs w:val="20"/>
                <w:color w:val="auto"/>
              </w:rPr>
            </w:pPr>
            <w:r>
              <w:rPr>
                <w:rFonts w:ascii="Times New Roman" w:cs="Times New Roman" w:eastAsia="Times New Roman" w:hAnsi="Times New Roman"/>
                <w:sz w:val="14"/>
                <w:szCs w:val="14"/>
                <w:color w:val="auto"/>
                <w:w w:val="98"/>
              </w:rPr>
              <w:t>_____________</w:t>
            </w:r>
          </w:p>
        </w:tc>
        <w:tc>
          <w:tcPr>
            <w:tcW w:w="0" w:type="dxa"/>
            <w:vAlign w:val="bottom"/>
          </w:tcPr>
          <w:p>
            <w:pPr>
              <w:spacing w:after="0"/>
              <w:rPr>
                <w:sz w:val="1"/>
                <w:szCs w:val="1"/>
                <w:color w:val="auto"/>
              </w:rPr>
            </w:pPr>
          </w:p>
        </w:tc>
      </w:tr>
      <w:tr>
        <w:trPr>
          <w:trHeight w:val="166"/>
        </w:trPr>
        <w:tc>
          <w:tcPr>
            <w:tcW w:w="4420" w:type="dxa"/>
            <w:vAlign w:val="bottom"/>
          </w:tcPr>
          <w:p>
            <w:pPr>
              <w:jc w:val="center"/>
              <w:ind w:right="351"/>
              <w:spacing w:after="0"/>
              <w:rPr>
                <w:sz w:val="20"/>
                <w:szCs w:val="20"/>
                <w:color w:val="auto"/>
              </w:rPr>
            </w:pPr>
            <w:r>
              <w:rPr>
                <w:rFonts w:ascii="Times New Roman" w:cs="Times New Roman" w:eastAsia="Times New Roman" w:hAnsi="Times New Roman"/>
                <w:sz w:val="14"/>
                <w:szCs w:val="14"/>
                <w:color w:val="auto"/>
                <w:w w:val="97"/>
              </w:rPr>
              <w:t>FACSIMILE: 1-212-558-3588</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420" w:type="dxa"/>
            <w:vAlign w:val="bottom"/>
          </w:tcPr>
          <w:p>
            <w:pPr>
              <w:jc w:val="center"/>
              <w:ind w:right="351"/>
              <w:spacing w:after="0"/>
              <w:rPr>
                <w:sz w:val="20"/>
                <w:szCs w:val="20"/>
                <w:color w:val="auto"/>
              </w:rPr>
            </w:pPr>
            <w:r>
              <w:rPr>
                <w:rFonts w:ascii="Times New Roman" w:cs="Times New Roman" w:eastAsia="Times New Roman" w:hAnsi="Times New Roman"/>
                <w:sz w:val="14"/>
                <w:szCs w:val="14"/>
                <w:color w:val="auto"/>
                <w:w w:val="98"/>
              </w:rPr>
              <w:t>WWW.SULLCROM.COM</w:t>
            </w:r>
          </w:p>
        </w:tc>
        <w:tc>
          <w:tcPr>
            <w:tcW w:w="4060" w:type="dxa"/>
            <w:vAlign w:val="bottom"/>
            <w:vMerge w:val="restart"/>
          </w:tcPr>
          <w:p>
            <w:pPr>
              <w:jc w:val="center"/>
              <w:ind w:left="271"/>
              <w:spacing w:after="0"/>
              <w:rPr>
                <w:sz w:val="20"/>
                <w:szCs w:val="20"/>
                <w:color w:val="auto"/>
              </w:rPr>
            </w:pPr>
            <w:r>
              <w:rPr>
                <w:rFonts w:ascii="Times New Roman" w:cs="Times New Roman" w:eastAsia="Times New Roman" w:hAnsi="Times New Roman"/>
                <w:sz w:val="14"/>
                <w:szCs w:val="14"/>
                <w:color w:val="auto"/>
                <w:w w:val="97"/>
              </w:rPr>
              <w:t>LOS ANGELES • PALO ALTO • WASHINGTON, D.C.</w:t>
            </w:r>
          </w:p>
        </w:tc>
        <w:tc>
          <w:tcPr>
            <w:tcW w:w="0" w:type="dxa"/>
            <w:vAlign w:val="bottom"/>
          </w:tcPr>
          <w:p>
            <w:pPr>
              <w:spacing w:after="0"/>
              <w:rPr>
                <w:sz w:val="1"/>
                <w:szCs w:val="1"/>
                <w:color w:val="auto"/>
              </w:rPr>
            </w:pPr>
          </w:p>
        </w:tc>
      </w:tr>
      <w:tr>
        <w:trPr>
          <w:trHeight w:val="37"/>
        </w:trPr>
        <w:tc>
          <w:tcPr>
            <w:tcW w:w="4420" w:type="dxa"/>
            <w:vAlign w:val="bottom"/>
          </w:tcPr>
          <w:p>
            <w:pPr>
              <w:spacing w:after="0"/>
              <w:rPr>
                <w:sz w:val="3"/>
                <w:szCs w:val="3"/>
                <w:color w:val="auto"/>
              </w:rPr>
            </w:pPr>
          </w:p>
        </w:tc>
        <w:tc>
          <w:tcPr>
            <w:tcW w:w="4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4420" w:type="dxa"/>
            <w:vAlign w:val="bottom"/>
          </w:tcPr>
          <w:p>
            <w:pPr>
              <w:spacing w:after="0"/>
              <w:rPr>
                <w:sz w:val="14"/>
                <w:szCs w:val="14"/>
                <w:color w:val="auto"/>
              </w:rPr>
            </w:pPr>
          </w:p>
        </w:tc>
        <w:tc>
          <w:tcPr>
            <w:tcW w:w="406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BRUSSELS • FRANKFURT • LONDON • PARIS</w:t>
            </w:r>
          </w:p>
        </w:tc>
        <w:tc>
          <w:tcPr>
            <w:tcW w:w="0" w:type="dxa"/>
            <w:vAlign w:val="bottom"/>
          </w:tcPr>
          <w:p>
            <w:pPr>
              <w:spacing w:after="0"/>
              <w:rPr>
                <w:sz w:val="1"/>
                <w:szCs w:val="1"/>
                <w:color w:val="auto"/>
              </w:rPr>
            </w:pPr>
          </w:p>
        </w:tc>
      </w:tr>
      <w:tr>
        <w:trPr>
          <w:trHeight w:val="166"/>
        </w:trPr>
        <w:tc>
          <w:tcPr>
            <w:tcW w:w="4420" w:type="dxa"/>
            <w:vAlign w:val="bottom"/>
          </w:tcPr>
          <w:p>
            <w:pPr>
              <w:spacing w:after="0"/>
              <w:rPr>
                <w:sz w:val="14"/>
                <w:szCs w:val="14"/>
                <w:color w:val="auto"/>
              </w:rPr>
            </w:pPr>
          </w:p>
        </w:tc>
        <w:tc>
          <w:tcPr>
            <w:tcW w:w="4060" w:type="dxa"/>
            <w:vAlign w:val="bottom"/>
          </w:tcPr>
          <w:p>
            <w:pPr>
              <w:jc w:val="center"/>
              <w:ind w:left="271"/>
              <w:spacing w:after="0"/>
              <w:rPr>
                <w:sz w:val="20"/>
                <w:szCs w:val="20"/>
                <w:color w:val="auto"/>
              </w:rPr>
            </w:pPr>
            <w:r>
              <w:rPr>
                <w:rFonts w:ascii="Times New Roman" w:cs="Times New Roman" w:eastAsia="Times New Roman" w:hAnsi="Times New Roman"/>
                <w:sz w:val="14"/>
                <w:szCs w:val="14"/>
                <w:color w:val="auto"/>
                <w:w w:val="99"/>
              </w:rPr>
              <w:t>BEIJING • HONG KONG • TOKYO</w:t>
            </w:r>
          </w:p>
        </w:tc>
        <w:tc>
          <w:tcPr>
            <w:tcW w:w="0" w:type="dxa"/>
            <w:vAlign w:val="bottom"/>
          </w:tcPr>
          <w:p>
            <w:pPr>
              <w:spacing w:after="0"/>
              <w:rPr>
                <w:sz w:val="1"/>
                <w:szCs w:val="1"/>
                <w:color w:val="auto"/>
              </w:rPr>
            </w:pPr>
          </w:p>
        </w:tc>
      </w:tr>
      <w:tr>
        <w:trPr>
          <w:trHeight w:val="181"/>
        </w:trPr>
        <w:tc>
          <w:tcPr>
            <w:tcW w:w="4420" w:type="dxa"/>
            <w:vAlign w:val="bottom"/>
          </w:tcPr>
          <w:p>
            <w:pPr>
              <w:spacing w:after="0"/>
              <w:rPr>
                <w:sz w:val="15"/>
                <w:szCs w:val="15"/>
                <w:color w:val="auto"/>
              </w:rPr>
            </w:pPr>
          </w:p>
        </w:tc>
        <w:tc>
          <w:tcPr>
            <w:tcW w:w="406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MELBOURNE • SYDNEY</w:t>
            </w:r>
          </w:p>
        </w:tc>
        <w:tc>
          <w:tcPr>
            <w:tcW w:w="0" w:type="dxa"/>
            <w:vAlign w:val="bottom"/>
          </w:tcPr>
          <w:p>
            <w:pPr>
              <w:spacing w:after="0"/>
              <w:rPr>
                <w:sz w:val="1"/>
                <w:szCs w:val="1"/>
                <w:color w:val="auto"/>
              </w:rPr>
            </w:pPr>
          </w:p>
        </w:tc>
      </w:tr>
      <w:tr>
        <w:trPr>
          <w:trHeight w:val="343"/>
        </w:trPr>
        <w:tc>
          <w:tcPr>
            <w:tcW w:w="4420" w:type="dxa"/>
            <w:vAlign w:val="bottom"/>
          </w:tcPr>
          <w:p>
            <w:pPr>
              <w:spacing w:after="0"/>
              <w:rPr>
                <w:sz w:val="24"/>
                <w:szCs w:val="24"/>
                <w:color w:val="auto"/>
              </w:rPr>
            </w:pPr>
          </w:p>
        </w:tc>
        <w:tc>
          <w:tcPr>
            <w:tcW w:w="4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12, 2026</w:t>
            </w:r>
          </w:p>
        </w:tc>
        <w:tc>
          <w:tcPr>
            <w:tcW w:w="0" w:type="dxa"/>
            <w:vAlign w:val="bottom"/>
          </w:tcPr>
          <w:p>
            <w:pPr>
              <w:spacing w:after="0"/>
              <w:rPr>
                <w:sz w:val="1"/>
                <w:szCs w:val="1"/>
                <w:color w:val="auto"/>
              </w:rPr>
            </w:pPr>
          </w:p>
        </w:tc>
      </w:tr>
      <w:tr>
        <w:trPr>
          <w:trHeight w:val="317"/>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Bakkt, Inc.,</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One Liberty Plaza, One Liberty Street, Floor 3, Suite 305-306,</w:t>
            </w:r>
          </w:p>
        </w:tc>
        <w:tc>
          <w:tcPr>
            <w:tcW w:w="4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4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New York, New York 10006.</w:t>
            </w: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-1497330</wp:posOffset>
            </wp:positionV>
            <wp:extent cx="2051685" cy="132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2051685" cy="132080"/>
                    </a:xfrm>
                    <a:prstGeom prst="rect">
                      <a:avLst/>
                    </a:prstGeom>
                    <a:noFill/>
                  </pic:spPr>
                </pic:pic>
              </a:graphicData>
            </a:graphic>
          </wp:anchor>
        </w:drawing>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8" w:lineRule="exact"/>
        <w:rPr>
          <w:sz w:val="20"/>
          <w:szCs w:val="20"/>
          <w:color w:val="auto"/>
        </w:rPr>
      </w:pPr>
    </w:p>
    <w:p>
      <w:pPr>
        <w:ind w:left="260" w:right="379" w:firstLine="763"/>
        <w:spacing w:after="0" w:line="255" w:lineRule="auto"/>
        <w:rPr>
          <w:sz w:val="20"/>
          <w:szCs w:val="20"/>
          <w:color w:val="auto"/>
        </w:rPr>
      </w:pPr>
      <w:r>
        <w:rPr>
          <w:rFonts w:ascii="Times New Roman" w:cs="Times New Roman" w:eastAsia="Times New Roman" w:hAnsi="Times New Roman"/>
          <w:sz w:val="14"/>
          <w:szCs w:val="14"/>
          <w:color w:val="auto"/>
        </w:rPr>
        <w:t>In connection with the registration under the Securities Act of 1933 (the “Act”) of 21,010,640 shares of Class A common stock, par value $0.0001 per share (“Class A Common Stock”), of Bakkt, Inc., a Delaware corporation (the “Company”), issued by the Company (the “Shares”) or issuable upon exercise of certain warrants (the “Warrants”) issued by the Company (the “Warrant Shares”, and together with the Shares, the “Securities”), we, as your counsel, have examined such corporate records, certificates and other documents, and such questions of law, as we have considered necessary or appropriate for the purposes of this opinion.</w:t>
      </w:r>
    </w:p>
    <w:p>
      <w:pPr>
        <w:spacing w:after="0" w:line="142" w:lineRule="exact"/>
        <w:rPr>
          <w:sz w:val="20"/>
          <w:szCs w:val="20"/>
          <w:color w:val="auto"/>
        </w:rPr>
      </w:pPr>
    </w:p>
    <w:p>
      <w:pPr>
        <w:ind w:left="260" w:right="359" w:firstLine="763"/>
        <w:spacing w:after="0" w:line="257" w:lineRule="auto"/>
        <w:rPr>
          <w:sz w:val="20"/>
          <w:szCs w:val="20"/>
          <w:color w:val="auto"/>
        </w:rPr>
      </w:pPr>
      <w:r>
        <w:rPr>
          <w:rFonts w:ascii="Times New Roman" w:cs="Times New Roman" w:eastAsia="Times New Roman" w:hAnsi="Times New Roman"/>
          <w:sz w:val="14"/>
          <w:szCs w:val="14"/>
          <w:color w:val="auto"/>
        </w:rPr>
        <w:t>Upon the basis of such examination, it is our opinion that when the registration statement relating to the Securities (the “Registration Statement”) has become effective under the Act the Shares will be validly issued, fully paid and nonassessable and, when the Warrant Shares have been duly issued upon the exercise of the Warrants in accordance with the terms thereof, the Warrant Shares will be validly issued, fully paid and nonassessable.</w:t>
      </w:r>
    </w:p>
    <w:p>
      <w:pPr>
        <w:spacing w:after="0" w:line="142" w:lineRule="exact"/>
        <w:rPr>
          <w:sz w:val="20"/>
          <w:szCs w:val="20"/>
          <w:color w:val="auto"/>
        </w:rPr>
      </w:pPr>
    </w:p>
    <w:p>
      <w:pPr>
        <w:ind w:left="260" w:right="339" w:firstLine="763"/>
        <w:spacing w:after="0" w:line="278" w:lineRule="auto"/>
        <w:rPr>
          <w:sz w:val="20"/>
          <w:szCs w:val="20"/>
          <w:color w:val="auto"/>
        </w:rPr>
      </w:pPr>
      <w:r>
        <w:rPr>
          <w:rFonts w:ascii="Times New Roman" w:cs="Times New Roman" w:eastAsia="Times New Roman" w:hAnsi="Times New Roman"/>
          <w:sz w:val="14"/>
          <w:szCs w:val="14"/>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26" w:lineRule="exact"/>
        <w:rPr>
          <w:sz w:val="20"/>
          <w:szCs w:val="20"/>
          <w:color w:val="auto"/>
        </w:rPr>
      </w:pPr>
    </w:p>
    <w:p>
      <w:pPr>
        <w:ind w:left="260" w:right="439" w:firstLine="763"/>
        <w:spacing w:after="0" w:line="278" w:lineRule="auto"/>
        <w:rPr>
          <w:sz w:val="20"/>
          <w:szCs w:val="20"/>
          <w:color w:val="auto"/>
        </w:rPr>
      </w:pPr>
      <w:r>
        <w:rPr>
          <w:rFonts w:ascii="Times New Roman" w:cs="Times New Roman" w:eastAsia="Times New Roman" w:hAnsi="Times New Roman"/>
          <w:sz w:val="14"/>
          <w:szCs w:val="14"/>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26" w:lineRule="exact"/>
        <w:rPr>
          <w:sz w:val="20"/>
          <w:szCs w:val="20"/>
          <w:color w:val="auto"/>
        </w:rPr>
      </w:pPr>
    </w:p>
    <w:p>
      <w:pPr>
        <w:ind w:left="260" w:right="639" w:firstLine="763"/>
        <w:spacing w:after="0" w:line="278" w:lineRule="auto"/>
        <w:rPr>
          <w:sz w:val="20"/>
          <w:szCs w:val="20"/>
          <w:color w:val="auto"/>
        </w:rPr>
      </w:pPr>
      <w:r>
        <w:rPr>
          <w:rFonts w:ascii="Times New Roman" w:cs="Times New Roman" w:eastAsia="Times New Roman" w:hAnsi="Times New Roman"/>
          <w:sz w:val="14"/>
          <w:szCs w:val="14"/>
          <w:color w:val="auto"/>
        </w:rPr>
        <w:t>We have relied as to certain factual matters on information obtained from public officials, officers of the Company and other sources believed by us to be responsible.</w:t>
      </w:r>
    </w:p>
    <w:p>
      <w:pPr>
        <w:sectPr>
          <w:pgSz w:w="11900" w:h="16838" w:orient="portrait"/>
          <w:cols w:equalWidth="0" w:num="1">
            <w:col w:w="9019"/>
          </w:cols>
          <w:pgMar w:left="1440" w:top="123" w:right="1440" w:bottom="1440" w:gutter="0" w:footer="0" w:header="0"/>
        </w:sectPr>
      </w:pPr>
    </w:p>
    <w:bookmarkStart w:id="32" w:name="page33"/>
    <w:bookmarkEnd w:id="32"/>
    <w:tbl>
      <w:tblPr>
        <w:tblLayout w:type="fixed"/>
        <w:tblInd w:w="260"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Bakkt, Inc.</w:t>
            </w:r>
          </w:p>
        </w:tc>
        <w:tc>
          <w:tcPr>
            <w:tcW w:w="4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ind w:left="260" w:right="479" w:firstLine="763"/>
        <w:spacing w:after="0" w:line="262"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 to us under the heading “Validity of the Securities” in the prospectus. In giving such consent, we do not thereby admit that we are in the category of persons whose consent is required under Section 7 of the Act.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SULLIVAN &amp; CROMWELL LLP</w:t>
      </w:r>
    </w:p>
    <w:p>
      <w:pPr>
        <w:sectPr>
          <w:pgSz w:w="11900" w:h="16838" w:orient="portrait"/>
          <w:cols w:equalWidth="0" w:num="1">
            <w:col w:w="9019"/>
          </w:cols>
          <w:pgMar w:left="1440" w:top="239" w:right="1440" w:bottom="1440" w:gutter="0" w:footer="0" w:header="0"/>
        </w:sectPr>
      </w:pPr>
    </w:p>
    <w:bookmarkStart w:id="33" w:name="page34"/>
    <w:bookmarkEnd w:id="33"/>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3" w:lineRule="exact"/>
        <w:rPr>
          <w:sz w:val="20"/>
          <w:szCs w:val="20"/>
          <w:color w:val="auto"/>
        </w:rPr>
      </w:pPr>
    </w:p>
    <w:p>
      <w:pPr>
        <w:ind w:left="260" w:right="319"/>
        <w:spacing w:after="0" w:line="252"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Form S-3 Registration Statement (Form S-3) and related prospectus of Bakkt, Inc. for the offer and resale of up to an aggregate of 21,010,640 shares of Class A Common Stock and to the incorporation by reference therein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and except for the effects of Discontinued Operations as disclosed in Note 2 as to which the date is December 10, 2025, with respect to the consolidated financial statements of Bakkt, Inc. for the fiscal year ended December 31, 2023, filed with the Securities and Exchange Commission.</w:t>
      </w:r>
    </w:p>
    <w:p>
      <w:pPr>
        <w:spacing w:after="0" w:line="1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Birmingham, Alabama</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May 12, 2026</w:t>
      </w:r>
    </w:p>
    <w:p>
      <w:pPr>
        <w:sectPr>
          <w:pgSz w:w="11900" w:h="16838" w:orient="portrait"/>
          <w:cols w:equalWidth="0" w:num="1">
            <w:col w:w="9019"/>
          </w:cols>
          <w:pgMar w:left="1440" w:top="123" w:right="1440" w:bottom="1440" w:gutter="0" w:footer="0" w:header="0"/>
        </w:sectPr>
      </w:pPr>
    </w:p>
    <w:bookmarkStart w:id="34" w:name="page35"/>
    <w:bookmarkEnd w:id="34"/>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3" w:lineRule="exact"/>
        <w:rPr>
          <w:sz w:val="20"/>
          <w:szCs w:val="20"/>
          <w:color w:val="auto"/>
        </w:rPr>
      </w:pPr>
    </w:p>
    <w:p>
      <w:pPr>
        <w:ind w:left="260" w:right="359"/>
        <w:spacing w:after="0" w:line="262" w:lineRule="auto"/>
        <w:rPr>
          <w:sz w:val="20"/>
          <w:szCs w:val="20"/>
          <w:color w:val="auto"/>
        </w:rPr>
      </w:pPr>
      <w:r>
        <w:rPr>
          <w:rFonts w:ascii="Times New Roman" w:cs="Times New Roman" w:eastAsia="Times New Roman" w:hAnsi="Times New Roman"/>
          <w:sz w:val="14"/>
          <w:szCs w:val="14"/>
          <w:color w:val="auto"/>
        </w:rPr>
        <w:t>We consent to the use of our report dated March 19, 2025, except for the effects of the discontinued operations as discussed in Notes 3, 14, 19, 20 and 21, as to which the date is December 10, 2025, with respect to the December 31, 2024 consolidated financial statements of Bakkt, Inc. (formerly, Bakkt Holdings, Inc.), incorporated herein by reference, and to the reference to our firm under the heading “Experts” in the prospectus.</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KPMG LLP</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May 12, 2026</w:t>
      </w:r>
    </w:p>
    <w:p>
      <w:pPr>
        <w:sectPr>
          <w:pgSz w:w="11900" w:h="16838" w:orient="portrait"/>
          <w:cols w:equalWidth="0" w:num="1">
            <w:col w:w="9019"/>
          </w:cols>
          <w:pgMar w:left="1440" w:top="123" w:right="1440" w:bottom="1440" w:gutter="0" w:footer="0" w:header="0"/>
        </w:sectPr>
      </w:pPr>
    </w:p>
    <w:bookmarkStart w:id="35" w:name="page36"/>
    <w:bookmarkEnd w:id="35"/>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3" w:lineRule="exact"/>
        <w:rPr>
          <w:sz w:val="20"/>
          <w:szCs w:val="20"/>
          <w:color w:val="auto"/>
        </w:rPr>
      </w:pPr>
    </w:p>
    <w:p>
      <w:pPr>
        <w:ind w:left="260" w:right="279"/>
        <w:spacing w:after="0" w:line="257" w:lineRule="auto"/>
        <w:rPr>
          <w:sz w:val="20"/>
          <w:szCs w:val="20"/>
          <w:color w:val="auto"/>
        </w:rPr>
      </w:pPr>
      <w:r>
        <w:rPr>
          <w:rFonts w:ascii="Times New Roman" w:cs="Times New Roman" w:eastAsia="Times New Roman" w:hAnsi="Times New Roman"/>
          <w:sz w:val="14"/>
          <w:szCs w:val="14"/>
          <w:color w:val="auto"/>
        </w:rPr>
        <w:t>We have issued our reports dated March 19, 2026 with respect to the consolidated financial statements and internal control over financial reporting of Bakkt, Inc. included in the Annual Report on Form 10-K for the year ended December 31, 2025,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Atlanta, Georgia</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May 12, 2026</w:t>
      </w:r>
    </w:p>
    <w:p>
      <w:pPr>
        <w:sectPr>
          <w:pgSz w:w="11900" w:h="16838" w:orient="portrait"/>
          <w:cols w:equalWidth="0" w:num="1">
            <w:col w:w="9019"/>
          </w:cols>
          <w:pgMar w:left="1440" w:top="123" w:right="1440" w:bottom="1440" w:gutter="0" w:footer="0" w:header="0"/>
        </w:sectPr>
      </w:pPr>
    </w:p>
    <w:bookmarkStart w:id="36" w:name="page37"/>
    <w:bookmarkEnd w:id="36"/>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Bakkt, Inc.</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504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ind w:left="42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8"/>
                <w:szCs w:val="8"/>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8"/>
                <w:szCs w:val="8"/>
                <w:color w:val="auto"/>
              </w:rPr>
            </w:pPr>
          </w:p>
        </w:tc>
        <w:tc>
          <w:tcPr>
            <w:tcW w:w="96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20"/>
              <w:spacing w:after="0" w:line="16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right"/>
              <w:ind w:right="37"/>
              <w:spacing w:after="0" w:line="16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2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5"/>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5"/>
          </w:tcPr>
          <w:p>
            <w:pPr>
              <w:ind w:left="34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12,418,069</w:t>
            </w:r>
          </w:p>
        </w:tc>
        <w:tc>
          <w:tcPr>
            <w:tcW w:w="20" w:type="dxa"/>
            <w:vAlign w:val="bottom"/>
          </w:tcPr>
          <w:p>
            <w:pPr>
              <w:spacing w:after="0"/>
              <w:rPr>
                <w:sz w:val="16"/>
                <w:szCs w:val="16"/>
                <w:color w:val="auto"/>
              </w:rPr>
            </w:pPr>
          </w:p>
        </w:tc>
        <w:tc>
          <w:tcPr>
            <w:tcW w:w="800" w:type="dxa"/>
            <w:vAlign w:val="bottom"/>
            <w:vMerge w:val="restart"/>
            <w:shd w:val="clear" w:color="auto" w:fill="E7E7E2"/>
          </w:tcPr>
          <w:p>
            <w:pPr>
              <w:ind w:left="320"/>
              <w:spacing w:after="0"/>
              <w:rPr>
                <w:sz w:val="20"/>
                <w:szCs w:val="20"/>
                <w:color w:val="auto"/>
              </w:rPr>
            </w:pPr>
            <w:r>
              <w:rPr>
                <w:rFonts w:ascii="Arial" w:cs="Arial" w:eastAsia="Arial" w:hAnsi="Arial"/>
                <w:sz w:val="17"/>
                <w:szCs w:val="17"/>
                <w:color w:val="auto"/>
                <w:w w:val="97"/>
              </w:rPr>
              <w:t>$ 8.70</w:t>
            </w: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$ 14,919.94</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6"/>
              </w:rPr>
              <w:t>108,037,200.30</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5"/>
          </w:tcPr>
          <w:p>
            <w:pPr>
              <w:ind w:left="46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right"/>
              <w:ind w:right="97"/>
              <w:spacing w:after="0" w:line="187" w:lineRule="exact"/>
              <w:rPr>
                <w:sz w:val="20"/>
                <w:szCs w:val="20"/>
                <w:color w:val="auto"/>
              </w:rPr>
            </w:pPr>
            <w:r>
              <w:rPr>
                <w:rFonts w:ascii="Arial" w:cs="Arial" w:eastAsia="Arial" w:hAnsi="Arial"/>
                <w:sz w:val="17"/>
                <w:szCs w:val="17"/>
                <w:color w:val="auto"/>
              </w:rPr>
              <w:t>333-</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415(a)(6)</w:t>
            </w: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8,592,571</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07/23/2025</w:t>
            </w: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$ 16,943.93</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rPr>
              <w:t>288362</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$ 14,919.94</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8"/>
              </w:rPr>
              <w:t>108,037,200.30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$ 14,919.94</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6" w:lineRule="exact"/>
        <w:rPr>
          <w:sz w:val="20"/>
          <w:szCs w:val="20"/>
          <w:color w:val="auto"/>
        </w:rPr>
      </w:pPr>
    </w:p>
    <w:p>
      <w:pPr>
        <w:ind w:left="220" w:right="180" w:hanging="186"/>
        <w:spacing w:after="0"/>
        <w:tabs>
          <w:tab w:leader="none" w:pos="220" w:val="left"/>
        </w:tabs>
        <w:numPr>
          <w:ilvl w:val="0"/>
          <w:numId w:val="21"/>
        </w:numPr>
        <w:rPr>
          <w:rFonts w:ascii="Arial" w:cs="Arial" w:eastAsia="Arial" w:hAnsi="Arial"/>
          <w:sz w:val="20"/>
          <w:szCs w:val="20"/>
          <w:color w:val="auto"/>
          <w:vertAlign w:val="superscript"/>
        </w:rPr>
      </w:pPr>
      <w:r>
        <w:rPr>
          <w:rFonts w:ascii="Arial" w:cs="Arial" w:eastAsia="Arial" w:hAnsi="Arial"/>
          <w:sz w:val="16"/>
          <w:szCs w:val="16"/>
          <w:color w:val="auto"/>
        </w:rPr>
        <w:t>Represents up to 12,418,069 shares of Class A common stock, par value $0.0001 per share ("Common Stock"), of Bakkt, Inc. (the "Company") being offered for resale by the Selling Stockholders on the terms and conditions described in the prospectus that forms a part of the Company's registration statement on Form S-3 to which this exhibit relates. Estimated solely for the purpose of calculating the amount of registration fee pursuant to Rule 457(c) under the Securities Act. The proposed maximum offering price per unit and proposed maximum aggregate offering price are based on the average of the high and low sales price of the Common Stock as reported on the New York Stock Exchange on May 7, 2026 of $8.70.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71494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19" w:lineRule="exact"/>
        <w:rPr>
          <w:sz w:val="20"/>
          <w:szCs w:val="20"/>
          <w:color w:val="auto"/>
        </w:rPr>
      </w:pPr>
    </w:p>
    <w:p>
      <w:pPr>
        <w:ind w:left="220" w:right="160" w:hanging="186"/>
        <w:spacing w:after="0" w:line="227" w:lineRule="auto"/>
        <w:tabs>
          <w:tab w:leader="none" w:pos="220" w:val="left"/>
        </w:tabs>
        <w:numPr>
          <w:ilvl w:val="0"/>
          <w:numId w:val="22"/>
        </w:numPr>
        <w:rPr>
          <w:rFonts w:ascii="Arial" w:cs="Arial" w:eastAsia="Arial" w:hAnsi="Arial"/>
          <w:sz w:val="21"/>
          <w:szCs w:val="21"/>
          <w:color w:val="auto"/>
          <w:vertAlign w:val="superscript"/>
        </w:rPr>
      </w:pPr>
      <w:r>
        <w:rPr>
          <w:rFonts w:ascii="Arial" w:cs="Arial" w:eastAsia="Arial" w:hAnsi="Arial"/>
          <w:sz w:val="17"/>
          <w:szCs w:val="17"/>
          <w:color w:val="auto"/>
        </w:rPr>
        <w:t>Pursuant to Rule 415(a)(6) under the Securities Act, 8,592,571 shares of Common Stock registered hereunder are unsold securities (the "Unsold Securities") previously covered by the registrant's registration statement on Form S-3 (File No. 333-288362), which was initially filed with the Securities and Exchange Commission on June 27, 2025 and became effective on July 23, 2025 (the "Prior Registration Statement"), and are included in this registration statement. The registrant paid a filing fee relating to the Unsold Securities under the Prior Registration Statement, and no additional filing fee is due with respect to the Unsold Securities in connection with the filing of this registration statement. Pursuant to Rule 415(a)(6) under the Securities Act, the offering of Unsold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494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4"/>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-985520</wp:posOffset>
            </wp:positionV>
            <wp:extent cx="7169785" cy="2354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69785" cy="235458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ectPr>
          <w:pgSz w:w="11900" w:h="16838" w:orient="portrait"/>
          <w:cols w:equalWidth="0" w:num="1">
            <w:col w:w="11360"/>
          </w:cols>
          <w:pgMar w:left="300" w:top="141" w:right="239" w:bottom="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72"/>
        </w:trPr>
        <w:tc>
          <w:tcPr>
            <w:tcW w:w="26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w w:val="97"/>
              </w:rPr>
              <w:t>Table 3: Combined Prospectuses</w:t>
            </w:r>
          </w:p>
        </w:tc>
        <w:tc>
          <w:tcPr>
            <w:tcW w:w="2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ind w:left="380"/>
              <w:spacing w:after="0" w:line="193"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400"/>
              <w:spacing w:after="0" w:line="187"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20"/>
              <w:spacing w:after="0" w:line="187"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restart"/>
            <w:shd w:val="clear" w:color="auto" w:fill="9ADAF6"/>
          </w:tcPr>
          <w:p>
            <w:pPr>
              <w:ind w:left="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4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9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lowerRoman"/>
      <w:start w:val="2"/>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2"/>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
      <w:numFmt w:val="bullet"/>
      <w:start w:val="1"/>
    </w:lvl>
  </w:abstractNum>
  <w:abstractNum w:abstractNumId="13">
    <w:nsid w:val="431BD7B7"/>
    <w:multiLevelType w:val="hybridMultilevel"/>
    <w:lvl w:ilvl="0">
      <w:lvlJc w:val="left"/>
      <w:lvlText w:val=" "/>
      <w:numFmt w:val="bullet"/>
      <w:start w:val="1"/>
    </w:lvl>
  </w:abstractNum>
  <w:abstractNum w:abstractNumId="14">
    <w:nsid w:val="3F2DBA31"/>
    <w:multiLevelType w:val="hybridMultilevel"/>
    <w:lvl w:ilvl="0">
      <w:lvlJc w:val="left"/>
      <w:lvlText w:val="%1"/>
      <w:numFmt w:val="decimal"/>
      <w:start w:val="107"/>
    </w:lvl>
  </w:abstractNum>
  <w:abstractNum w:abstractNumId="15">
    <w:nsid w:val="7C83E4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257130A3"/>
    <w:multiLevelType w:val="hybridMultilevel"/>
    <w:lvl w:ilvl="0">
      <w:lvlJc w:val="left"/>
      <w:lvlText w:val="(%1)"/>
      <w:numFmt w:val="decimal"/>
      <w:start w:val="2"/>
    </w:lvl>
    <w:lvl w:ilvl="1">
      <w:lvlJc w:val="left"/>
      <w:lvlText w:val="(%2)"/>
      <w:numFmt w:val="lowerRoman"/>
      <w:start w:val="1"/>
    </w:lvl>
  </w:abstractNum>
  <w:abstractNum w:abstractNumId="17">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18">
    <w:nsid w:val="436C6125"/>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19">
    <w:nsid w:val="628C895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0">
    <w:nsid w:val="333AB105"/>
    <w:multiLevelType w:val="hybridMultilevel"/>
    <w:lvl w:ilvl="0">
      <w:lvlJc w:val="left"/>
      <w:lvlText w:val="1"/>
      <w:numFmt w:val="bullet"/>
      <w:start w:val="1"/>
    </w:lvl>
  </w:abstractNum>
  <w:abstractNum w:abstractNumId="21">
    <w:nsid w:val="721DA31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70"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jpe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49" Type="http://schemas.openxmlformats.org/officeDocument/2006/relationships/hyperlink" Target="http://www.sec.gov/ix?doc=/Archives/edgar/data/1820302/000162828026019870/bakkt-20251231.htm" TargetMode="External"/><Relationship Id="rId50" Type="http://schemas.openxmlformats.org/officeDocument/2006/relationships/hyperlink" Target="http://www.sec.gov/ix?doc=/Archives/edgar/data/1820302/000162828026029018/bakkt-20260430.htm" TargetMode="External"/><Relationship Id="rId51" Type="http://schemas.openxmlformats.org/officeDocument/2006/relationships/hyperlink" Target="http://www.sec.gov/ix?doc=/Archives/edgar/data/1820302/000162828026033576/bakkt-20260331.htm" TargetMode="External"/><Relationship Id="rId52" Type="http://schemas.openxmlformats.org/officeDocument/2006/relationships/hyperlink" Target="http://www.sec.gov/ix?doc=/Archives/edgar/data/1820302/000119312526016077/d43240d8k.htm" TargetMode="External"/><Relationship Id="rId53" Type="http://schemas.openxmlformats.org/officeDocument/2006/relationships/hyperlink" Target="http://www.sec.gov/ix?doc=/Archives/edgar/data/1820302/000119312526015873/d51133d8k.htm" TargetMode="External"/><Relationship Id="rId54" Type="http://schemas.openxmlformats.org/officeDocument/2006/relationships/hyperlink" Target="http://www.sec.gov/ix?doc=/Archives/edgar/data/1820302/000119312526009830/d88960d8k.htm" TargetMode="External"/><Relationship Id="rId55" Type="http://schemas.openxmlformats.org/officeDocument/2006/relationships/hyperlink" Target="http://www.sec.gov/Archives/edgar/data/1820302/000119312521299620/d211377d8a12b.htm" TargetMode="External"/><Relationship Id="rId60" Type="http://schemas.openxmlformats.org/officeDocument/2006/relationships/hyperlink" Target="http://www.sec.gov/Archives/edgar/data/1820302/000119312525262732/d83327dex31.htm" TargetMode="External"/><Relationship Id="rId61" Type="http://schemas.openxmlformats.org/officeDocument/2006/relationships/hyperlink" Target="http://www.sec.gov/Archives/edgar/data/1820302/000119312526009830/d88960dex32.htm" TargetMode="External"/><Relationship Id="rId62" Type="http://schemas.openxmlformats.org/officeDocument/2006/relationships/hyperlink" Target="http://www.sec.gov/Archives/edgar/data/1820302/000119312526009830/d88960dex33.htm" TargetMode="External"/><Relationship Id="rId63" Type="http://schemas.openxmlformats.org/officeDocument/2006/relationships/hyperlink" Target="http://www.sec.gov/Archives/edgar/data/1820302/000119312521303985/d219325dex41.htm" TargetMode="External"/><Relationship Id="rId64" Type="http://schemas.openxmlformats.org/officeDocument/2006/relationships/hyperlink" Target="http://www.sec.gov/Archives/edgar/data/1820302/000119312526009830/d88960dex101.htm" TargetMode="External"/><Relationship Id="rId65" Type="http://schemas.openxmlformats.org/officeDocument/2006/relationships/hyperlink" Target="http://www.sec.gov/Archives/edgar/data/1820302/000119312526009830/d88960dex102.htm" TargetMode="External"/><Relationship Id="rId66" Type="http://schemas.openxmlformats.org/officeDocument/2006/relationships/hyperlink" Target="http://www.sec.gov/Archives/edgar/data/1820302/000119312526009830/d88960dex103.htm" TargetMode="External"/><Relationship Id="rId67" Type="http://schemas.openxmlformats.org/officeDocument/2006/relationships/hyperlink" Target="http://www.sec.gov/Archives/edgar/data/1820302/000119312526009830/d88960dex104.htm" TargetMode="External"/><Relationship Id="rId68" Type="http://schemas.openxmlformats.org/officeDocument/2006/relationships/hyperlink" Target="http://www.sec.gov/Archives/edgar/data/1820302/000119312521303985/d219325dex105.htm" TargetMode="External"/><Relationship Id="rId69" Type="http://schemas.openxmlformats.org/officeDocument/2006/relationships/hyperlink" Target="http://www.sec.gov/Archives/edgar/data/1820302/000119312525242750/d74254dex101.htm" TargetMode="External"/><Relationship Id="rId71" Type="http://schemas.openxmlformats.org/officeDocument/2006/relationships/hyperlink" Target="http://www.sec.gov/Archives/edgar/data/1820302/000119312525242750/d74254dex102.htm" TargetMode="External"/><Relationship Id="rId72" Type="http://schemas.openxmlformats.org/officeDocument/2006/relationships/hyperlink" Target="http://www.sec.gov/Archives/edgar/data/1820302/000119312525262732/d8332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2026-05-13T05:19:32Z</dcterms:created>
  <dcterms:modified xsi:type="dcterms:W3CDTF">2026-05-13T05:19:32Z</dcterms:modified>
</cp:coreProperties>
</file>