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G9441E100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March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G9441E100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98-0557567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3,421,837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3,612,829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3,612,829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17.4%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00" w:hanging="587"/>
        <w:spacing w:after="0"/>
        <w:tabs>
          <w:tab w:leader="none" w:pos="1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500"/>
        <w:spacing w:after="0"/>
        <w:rPr>
          <w:rFonts w:ascii="Arial" w:cs="Arial" w:eastAsia="Arial" w:hAnsi="Arial"/>
          <w:sz w:val="22"/>
          <w:szCs w:val="22"/>
          <w:b w:val="1"/>
          <w:bCs w:val="1"/>
          <w:color w:val="auto"/>
        </w:rPr>
      </w:pPr>
      <w:r>
        <w:rPr>
          <w:rFonts w:ascii="Arial" w:cs="Arial" w:eastAsia="Arial" w:hAnsi="Arial"/>
          <w:sz w:val="22"/>
          <w:szCs w:val="22"/>
          <w:color w:val="auto"/>
        </w:rPr>
        <w:t>VPC Impact Acquisition Holdings</w:t>
      </w:r>
    </w:p>
    <w:p>
      <w:pPr>
        <w:spacing w:after="0" w:line="101" w:lineRule="exact"/>
        <w:rPr>
          <w:rFonts w:ascii="Arial" w:cs="Arial" w:eastAsia="Arial" w:hAnsi="Arial"/>
          <w:sz w:val="22"/>
          <w:szCs w:val="22"/>
          <w:b w:val="1"/>
          <w:bCs w:val="1"/>
          <w:color w:val="auto"/>
        </w:rPr>
      </w:pPr>
    </w:p>
    <w:p>
      <w:pPr>
        <w:ind w:left="1500" w:hanging="587"/>
        <w:spacing w:after="0"/>
        <w:tabs>
          <w:tab w:leader="none" w:pos="1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00"/>
        <w:spacing w:after="0"/>
        <w:rPr>
          <w:rFonts w:ascii="Arial" w:cs="Arial" w:eastAsia="Arial" w:hAnsi="Arial"/>
          <w:sz w:val="22"/>
          <w:szCs w:val="22"/>
          <w:b w:val="1"/>
          <w:bCs w:val="1"/>
          <w:color w:val="auto"/>
        </w:rPr>
      </w:pPr>
      <w:r>
        <w:rPr>
          <w:rFonts w:ascii="Arial" w:cs="Arial" w:eastAsia="Arial" w:hAnsi="Arial"/>
          <w:sz w:val="22"/>
          <w:szCs w:val="22"/>
          <w:color w:val="auto"/>
        </w:rPr>
        <w:t>150 North Riverside Plaza, Suite 520, Chicago, IL 60606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00" w:right="700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2" w:lineRule="exact"/>
        <w:rPr>
          <w:rFonts w:ascii="Arial" w:cs="Arial" w:eastAsia="Arial" w:hAnsi="Arial"/>
          <w:sz w:val="19"/>
          <w:szCs w:val="19"/>
          <w:b w:val="1"/>
          <w:bCs w:val="1"/>
          <w:color w:val="auto"/>
        </w:rPr>
      </w:pPr>
    </w:p>
    <w:p>
      <w:pPr>
        <w:ind w:left="1500" w:right="412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2" w:lineRule="exact"/>
        <w:rPr>
          <w:rFonts w:ascii="Arial" w:cs="Arial" w:eastAsia="Arial" w:hAnsi="Arial"/>
          <w:sz w:val="19"/>
          <w:szCs w:val="19"/>
          <w:b w:val="1"/>
          <w:bCs w:val="1"/>
          <w:color w:val="auto"/>
        </w:rPr>
      </w:pPr>
    </w:p>
    <w:p>
      <w:pPr>
        <w:ind w:left="1500" w:right="848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2" w:lineRule="exact"/>
        <w:rPr>
          <w:rFonts w:ascii="Arial" w:cs="Arial" w:eastAsia="Arial" w:hAnsi="Arial"/>
          <w:sz w:val="19"/>
          <w:szCs w:val="19"/>
          <w:b w:val="1"/>
          <w:bCs w:val="1"/>
          <w:color w:val="auto"/>
        </w:rPr>
      </w:pPr>
    </w:p>
    <w:p>
      <w:pPr>
        <w:ind w:left="1500" w:right="714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00" w:right="806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G9441E100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20"/>
            <w:col w:w="872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00" w:hanging="587"/>
        <w:spacing w:after="0"/>
        <w:tabs>
          <w:tab w:leader="none" w:pos="1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00" w:right="62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3,612,829 shares of the Issuer which are held of record by clients of Invesco Ltd. ..</w:t>
      </w:r>
    </w:p>
    <w:p>
      <w:pPr>
        <w:sectPr>
          <w:pgSz w:w="11900" w:h="16838" w:orient="portrait"/>
          <w:cols w:equalWidth="0" w:num="1">
            <w:col w:w="11020"/>
          </w:cols>
          <w:pgMar w:left="400" w:top="423" w:right="479" w:bottom="0" w:gutter="0" w:footer="0" w:header="0"/>
          <w:type w:val="continuous"/>
        </w:sectPr>
      </w:pPr>
    </w:p>
    <w:p>
      <w:pPr>
        <w:spacing w:after="0" w:line="24" w:lineRule="exact"/>
        <w:rPr>
          <w:sz w:val="20"/>
          <w:szCs w:val="20"/>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17.4%</w:t>
      </w:r>
    </w:p>
    <w:p>
      <w:pPr>
        <w:spacing w:after="0" w:line="125" w:lineRule="exact"/>
        <w:rPr>
          <w:rFonts w:ascii="Arial" w:cs="Arial" w:eastAsia="Arial" w:hAnsi="Arial"/>
          <w:sz w:val="22"/>
          <w:szCs w:val="22"/>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00" w:right="8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3,421,837</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3,612,829</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00" w:space="260"/>
            <w:col w:w="42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line="282" w:lineRule="auto"/>
        <w:rPr>
          <w:sz w:val="20"/>
          <w:szCs w:val="20"/>
          <w:color w:val="auto"/>
        </w:rPr>
      </w:pPr>
      <w:r>
        <w:rPr>
          <w:rFonts w:ascii="Arial" w:cs="Arial" w:eastAsia="Arial" w:hAnsi="Arial"/>
          <w:sz w:val="19"/>
          <w:szCs w:val="19"/>
          <w:color w:val="auto"/>
        </w:rPr>
        <w:t>Invesco Advisers, Inc. is a subsidiary of Invesco Ltd. and it advises the Invesco Small Cap Growth Fund which owns 8.03% of the security reported herein. Invesco Advisers, Inc. is a subsidiary of Invesco Ltd. and it advises the JNL Invesco Small Cap Growth Fund which owns 5.15%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60"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Date: April 12, 2021</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Title: Global Assurance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2021-04-12T12:44:44Z</dcterms:created>
  <dcterms:modified xsi:type="dcterms:W3CDTF">2021-04-12T12:44:44Z</dcterms:modified>
</cp:coreProperties>
</file>