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97"/>
              <w:spacing w:after="0" w:line="320" w:lineRule="exact"/>
              <w:rPr>
                <w:sz w:val="20"/>
                <w:szCs w:val="20"/>
                <w:color w:val="auto"/>
              </w:rPr>
            </w:pPr>
            <w:r>
              <w:rPr>
                <w:rFonts w:ascii="Times New Roman" w:cs="Times New Roman" w:eastAsia="Times New Roman" w:hAnsi="Times New Roman"/>
                <w:sz w:val="34"/>
                <w:szCs w:val="34"/>
                <w:color w:val="0000FF"/>
                <w:vertAlign w:val="subscript"/>
              </w:rPr>
              <w:t>209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14.84</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w w:val="90"/>
              </w:rPr>
              <w:t>41,418</w:t>
            </w:r>
            <w:r>
              <w:rPr>
                <w:rFonts w:ascii="Times New Roman" w:cs="Times New Roman" w:eastAsia="Times New Roman" w:hAnsi="Times New Roman"/>
                <w:sz w:val="22"/>
                <w:szCs w:val="22"/>
                <w:color w:val="008000"/>
                <w:w w:val="9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7"/>
                <w:szCs w:val="17"/>
                <w:color w:val="0000FF"/>
              </w:rPr>
              <w:t>1,015</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w w:val="90"/>
              </w:rPr>
              <w:t>40,403</w:t>
            </w:r>
            <w:r>
              <w:rPr>
                <w:rFonts w:ascii="Times New Roman" w:cs="Times New Roman" w:eastAsia="Times New Roman" w:hAnsi="Times New Roman"/>
                <w:sz w:val="22"/>
                <w:szCs w:val="22"/>
                <w:color w:val="008000"/>
                <w:w w:val="9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performance stock units ("PSUs") on February 13, 2025,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33,758 shares of Class A Common Stock subject to restricted stock units ("RSUs") and PSUs that remain subject to vesting.</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RSUs on February 13, 2025,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30,897 shares of Class A Common Stock subject to RSUs and PSUs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2025-02-21T16:43:53Z</dcterms:created>
  <dcterms:modified xsi:type="dcterms:W3CDTF">2025-02-21T16:43:53Z</dcterms:modified>
</cp:coreProperties>
</file>