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Arial" w:cs="Arial" w:eastAsia="Arial" w:hAnsi="Arial"/>
          <w:sz w:val="18"/>
          <w:szCs w:val="18"/>
          <w:b w:val="1"/>
          <w:bCs w:val="1"/>
          <w:color w:val="auto"/>
        </w:rPr>
        <w:t>As filed with the United States Securities and Exchange Commission on November 12,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333-254935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286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right="62"/>
              <w:spacing w:after="0"/>
              <w:rPr>
                <w:sz w:val="20"/>
                <w:szCs w:val="20"/>
                <w:color w:val="auto"/>
              </w:rPr>
            </w:pPr>
            <w:r>
              <w:rPr>
                <w:rFonts w:ascii="Arial" w:cs="Arial" w:eastAsia="Arial" w:hAnsi="Arial"/>
                <w:sz w:val="18"/>
                <w:szCs w:val="18"/>
                <w:b w:val="1"/>
                <w:bCs w:val="1"/>
                <w:color w:val="auto"/>
                <w:w w:val="89"/>
              </w:rPr>
              <w:t>7389</w:t>
            </w:r>
          </w:p>
        </w:tc>
        <w:tc>
          <w:tcPr>
            <w:tcW w:w="220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2860" w:type="dxa"/>
            <w:vAlign w:val="bottom"/>
          </w:tcPr>
          <w:p>
            <w:pPr>
              <w:jc w:val="center"/>
              <w:ind w:right="8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2"/>
              <w:spacing w:after="0"/>
              <w:rPr>
                <w:sz w:val="20"/>
                <w:szCs w:val="20"/>
                <w:color w:val="auto"/>
              </w:rPr>
            </w:pPr>
            <w:r>
              <w:rPr>
                <w:rFonts w:ascii="Arial" w:cs="Arial" w:eastAsia="Arial" w:hAnsi="Arial"/>
                <w:sz w:val="14"/>
                <w:szCs w:val="14"/>
                <w:b w:val="1"/>
                <w:bCs w:val="1"/>
                <w:color w:val="auto"/>
                <w:w w:val="95"/>
              </w:rPr>
              <w:t>Incorporation or Organization)</w:t>
            </w:r>
          </w:p>
        </w:tc>
        <w:tc>
          <w:tcPr>
            <w:tcW w:w="38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10000 Avalon Boulevard, Suite 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Georgia 30009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(678) 534-5849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Gavin Michael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10000 Avalon Boulevard, Suite 1000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Georgia 30009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(678) 534-5849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28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506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3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J. Matthew Lyons</w:t>
            </w:r>
          </w:p>
        </w:tc>
        <w:tc>
          <w:tcPr>
            <w:tcW w:w="5060" w:type="dxa"/>
            <w:vAlign w:val="bottom"/>
          </w:tcPr>
          <w:p>
            <w:pPr>
              <w:jc w:val="center"/>
              <w:ind w:left="2210"/>
              <w:spacing w:after="0"/>
              <w:rPr>
                <w:sz w:val="20"/>
                <w:szCs w:val="20"/>
                <w:color w:val="auto"/>
              </w:rPr>
            </w:pPr>
            <w:r>
              <w:rPr>
                <w:rFonts w:ascii="Arial" w:cs="Arial" w:eastAsia="Arial" w:hAnsi="Arial"/>
                <w:sz w:val="18"/>
                <w:szCs w:val="18"/>
                <w:b w:val="1"/>
                <w:bCs w:val="1"/>
                <w:color w:val="auto"/>
                <w:w w:val="95"/>
              </w:rPr>
              <w:t>Marc D’Annunzio</w:t>
            </w:r>
          </w:p>
        </w:tc>
      </w:tr>
      <w:tr>
        <w:trPr>
          <w:trHeight w:val="216"/>
        </w:trPr>
        <w:tc>
          <w:tcPr>
            <w:tcW w:w="3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506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3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900 South Capital of Texas Highway</w:t>
            </w:r>
          </w:p>
        </w:tc>
        <w:tc>
          <w:tcPr>
            <w:tcW w:w="5060" w:type="dxa"/>
            <w:vAlign w:val="bottom"/>
          </w:tcPr>
          <w:p>
            <w:pPr>
              <w:jc w:val="center"/>
              <w:ind w:left="2230"/>
              <w:spacing w:after="0"/>
              <w:rPr>
                <w:sz w:val="20"/>
                <w:szCs w:val="20"/>
                <w:color w:val="auto"/>
              </w:rPr>
            </w:pPr>
            <w:r>
              <w:rPr>
                <w:rFonts w:ascii="Arial" w:cs="Arial" w:eastAsia="Arial" w:hAnsi="Arial"/>
                <w:sz w:val="18"/>
                <w:szCs w:val="18"/>
                <w:b w:val="1"/>
                <w:bCs w:val="1"/>
                <w:color w:val="auto"/>
                <w:w w:val="89"/>
              </w:rPr>
              <w:t>10000 Avalon Boulevard, Suite 1000</w:t>
            </w:r>
          </w:p>
        </w:tc>
      </w:tr>
      <w:tr>
        <w:trPr>
          <w:trHeight w:val="216"/>
        </w:trPr>
        <w:tc>
          <w:tcPr>
            <w:tcW w:w="3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Las Cimas IV, Fifth Floor</w:t>
            </w:r>
          </w:p>
        </w:tc>
        <w:tc>
          <w:tcPr>
            <w:tcW w:w="5060" w:type="dxa"/>
            <w:vAlign w:val="bottom"/>
          </w:tcPr>
          <w:p>
            <w:pPr>
              <w:jc w:val="center"/>
              <w:ind w:left="2210"/>
              <w:spacing w:after="0"/>
              <w:rPr>
                <w:sz w:val="20"/>
                <w:szCs w:val="20"/>
                <w:color w:val="auto"/>
              </w:rPr>
            </w:pPr>
            <w:r>
              <w:rPr>
                <w:rFonts w:ascii="Arial" w:cs="Arial" w:eastAsia="Arial" w:hAnsi="Arial"/>
                <w:sz w:val="18"/>
                <w:szCs w:val="18"/>
                <w:b w:val="1"/>
                <w:bCs w:val="1"/>
                <w:color w:val="auto"/>
                <w:w w:val="91"/>
              </w:rPr>
              <w:t>Alpharetta, Georgia 30009</w:t>
            </w:r>
          </w:p>
        </w:tc>
      </w:tr>
      <w:tr>
        <w:trPr>
          <w:trHeight w:val="216"/>
        </w:trPr>
        <w:tc>
          <w:tcPr>
            <w:tcW w:w="3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Austin, TX 78746</w:t>
            </w:r>
          </w:p>
        </w:tc>
        <w:tc>
          <w:tcPr>
            <w:tcW w:w="506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(678) 534-5849</w:t>
            </w:r>
          </w:p>
        </w:tc>
      </w:tr>
      <w:tr>
        <w:trPr>
          <w:trHeight w:val="234"/>
        </w:trPr>
        <w:tc>
          <w:tcPr>
            <w:tcW w:w="3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(512) 338-5400</w:t>
            </w:r>
          </w:p>
        </w:tc>
        <w:tc>
          <w:tcPr>
            <w:tcW w:w="50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Not applicable.</w:t>
      </w:r>
    </w:p>
    <w:p>
      <w:pPr>
        <w:spacing w:after="0" w:line="229" w:lineRule="exact"/>
        <w:rPr>
          <w:sz w:val="24"/>
          <w:szCs w:val="24"/>
          <w:color w:val="auto"/>
        </w:rPr>
      </w:pPr>
    </w:p>
    <w:p>
      <w:pPr>
        <w:ind w:right="340"/>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1440" w:gutter="0" w:footer="0" w:header="0"/>
        </w:sectPr>
      </w:pPr>
    </w:p>
    <w:bookmarkStart w:id="1" w:name="page2"/>
    <w:bookmarkEnd w:id="1"/>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4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92"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258445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5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right w:val="single" w:sz="8" w:color="auto"/>
            </w:tcBorders>
          </w:tcPr>
          <w:p>
            <w:pPr>
              <w:jc w:val="center"/>
              <w:ind w:left="1"/>
              <w:spacing w:after="0" w:line="120" w:lineRule="exact"/>
              <w:rPr>
                <w:sz w:val="20"/>
                <w:szCs w:val="20"/>
                <w:color w:val="auto"/>
              </w:rPr>
            </w:pPr>
            <w:r>
              <w:rPr>
                <w:rFonts w:ascii="Arial" w:cs="Arial" w:eastAsia="Arial" w:hAnsi="Arial"/>
                <w:sz w:val="13"/>
                <w:szCs w:val="13"/>
                <w:b w:val="1"/>
                <w:bCs w:val="1"/>
                <w:color w:val="auto"/>
                <w:w w:val="96"/>
              </w:rPr>
              <w:t>Proposed</w:t>
            </w:r>
          </w:p>
        </w:tc>
        <w:tc>
          <w:tcPr>
            <w:tcW w:w="18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3"/>
                <w:szCs w:val="13"/>
                <w:b w:val="1"/>
                <w:bCs w:val="1"/>
                <w:color w:val="auto"/>
                <w:w w:val="96"/>
              </w:rPr>
              <w:t>Proposed</w:t>
            </w:r>
          </w:p>
        </w:tc>
        <w:tc>
          <w:tcPr>
            <w:tcW w:w="1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restart"/>
          </w:tcPr>
          <w:p>
            <w:pPr>
              <w:ind w:left="1140"/>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20"/>
              <w:spacing w:after="0" w:line="149" w:lineRule="exact"/>
              <w:rPr>
                <w:sz w:val="20"/>
                <w:szCs w:val="20"/>
                <w:color w:val="auto"/>
              </w:rPr>
            </w:pPr>
            <w:r>
              <w:rPr>
                <w:rFonts w:ascii="Arial" w:cs="Arial" w:eastAsia="Arial" w:hAnsi="Arial"/>
                <w:sz w:val="14"/>
                <w:szCs w:val="14"/>
                <w:b w:val="1"/>
                <w:bCs w:val="1"/>
                <w:color w:val="auto"/>
                <w:w w:val="99"/>
              </w:rPr>
              <w:t>Maximum</w:t>
            </w:r>
          </w:p>
        </w:tc>
        <w:tc>
          <w:tcPr>
            <w:tcW w:w="1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ind w:left="1"/>
              <w:spacing w:after="0" w:line="145" w:lineRule="exact"/>
              <w:rPr>
                <w:sz w:val="20"/>
                <w:szCs w:val="20"/>
                <w:color w:val="auto"/>
              </w:rPr>
            </w:pPr>
            <w:r>
              <w:rPr>
                <w:rFonts w:ascii="Arial" w:cs="Arial" w:eastAsia="Arial" w:hAnsi="Arial"/>
                <w:sz w:val="14"/>
                <w:szCs w:val="14"/>
                <w:b w:val="1"/>
                <w:bCs w:val="1"/>
                <w:color w:val="auto"/>
                <w:w w:val="97"/>
              </w:rPr>
              <w:t>Offering Price</w:t>
            </w:r>
          </w:p>
        </w:tc>
        <w:tc>
          <w:tcPr>
            <w:tcW w:w="18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Aggregate</w:t>
            </w: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tcBorders>
              <w:right w:val="single" w:sz="8" w:color="auto"/>
            </w:tcBorders>
          </w:tcPr>
          <w:p>
            <w:pPr>
              <w:ind w:left="980"/>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860" w:type="dxa"/>
            <w:vAlign w:val="bottom"/>
            <w:tcBorders>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4"/>
              </w:rPr>
              <w:t>Per Share</w:t>
            </w:r>
          </w:p>
        </w:tc>
        <w:tc>
          <w:tcPr>
            <w:tcW w:w="1860" w:type="dxa"/>
            <w:vAlign w:val="bottom"/>
            <w:tcBorders>
              <w:right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4"/>
              </w:rPr>
              <w:t>Offering Price</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35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stock(1)(2)(3)</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25,921,502</w:t>
            </w:r>
          </w:p>
        </w:tc>
        <w:tc>
          <w:tcPr>
            <w:tcW w:w="1860" w:type="dxa"/>
            <w:vAlign w:val="bottom"/>
            <w:tcBorders>
              <w:top w:val="single" w:sz="8" w:color="auto"/>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0"/>
              </w:rPr>
              <w:t>$12.36(4)</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$320,389,765</w:t>
            </w:r>
          </w:p>
        </w:tc>
        <w:tc>
          <w:tcPr>
            <w:tcW w:w="18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$34,954.52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Redeemable warrants(1)(2)(5)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16,516,041</w:t>
            </w:r>
          </w:p>
        </w:tc>
        <w:tc>
          <w:tcPr>
            <w:tcW w:w="186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89"/>
              </w:rPr>
              <w:t>Class A common stock issuable upon exercise of</w:t>
            </w:r>
          </w:p>
        </w:tc>
        <w:tc>
          <w:tcPr>
            <w:tcW w:w="188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the redeemable warrants(1)(2)(7)</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16,516,041</w:t>
            </w:r>
          </w:p>
        </w:tc>
        <w:tc>
          <w:tcPr>
            <w:tcW w:w="186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0"/>
              </w:rPr>
              <w:t>$11.50(8)</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$189,934,471.50</w:t>
            </w:r>
          </w:p>
        </w:tc>
        <w:tc>
          <w:tcPr>
            <w:tcW w:w="18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$20,721.85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$510,324,236.50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$55,676.37(9)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40" w:hanging="424"/>
        <w:spacing w:after="0" w:line="286"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Simultaneously with the completion of the Proposed Transaction described herein, the registrant, a Cayman Islands exempted company, intends to effect a deregistration under Section 206 of the Companies Act (As Revised) and a domestication under Section 388 of the Delaware General Corporation Law (the “</w:t>
      </w:r>
      <w:r>
        <w:rPr>
          <w:rFonts w:ascii="Arial" w:cs="Arial" w:eastAsia="Arial" w:hAnsi="Arial"/>
          <w:sz w:val="16"/>
          <w:szCs w:val="16"/>
          <w:b w:val="1"/>
          <w:bCs w:val="1"/>
          <w:color w:val="auto"/>
        </w:rPr>
        <w:t>Domestication</w:t>
      </w:r>
      <w:r>
        <w:rPr>
          <w:rFonts w:ascii="Arial" w:cs="Arial" w:eastAsia="Arial" w:hAnsi="Arial"/>
          <w:sz w:val="16"/>
          <w:szCs w:val="16"/>
          <w:color w:val="auto"/>
        </w:rPr>
        <w:t>”), pursuant to which the registrant’s jurisdiction of incorporation will be transferred by way of continuation from the Cayman Islands to the State of Delaware and the name of the registrant will be changed to “</w:t>
      </w:r>
      <w:r>
        <w:rPr>
          <w:rFonts w:ascii="Arial" w:cs="Arial" w:eastAsia="Arial" w:hAnsi="Arial"/>
          <w:sz w:val="16"/>
          <w:szCs w:val="16"/>
          <w:b w:val="1"/>
          <w:bCs w:val="1"/>
          <w:color w:val="auto"/>
        </w:rPr>
        <w:t>Bakkt Holdings, Inc.</w:t>
      </w:r>
      <w:r>
        <w:rPr>
          <w:rFonts w:ascii="Arial" w:cs="Arial" w:eastAsia="Arial" w:hAnsi="Arial"/>
          <w:sz w:val="16"/>
          <w:szCs w:val="16"/>
          <w:color w:val="auto"/>
        </w:rPr>
        <w:t>”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ind w:left="424" w:right="58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there are also being registered an indeterminable number of additional securities as may be issued to prevent dilution resulting from share splits, share dividends or similar transactions.</w:t>
      </w:r>
    </w:p>
    <w:p>
      <w:pPr>
        <w:spacing w:after="0" w:line="1" w:lineRule="exact"/>
        <w:rPr>
          <w:rFonts w:ascii="Arial" w:cs="Arial" w:eastAsia="Arial" w:hAnsi="Arial"/>
          <w:sz w:val="16"/>
          <w:szCs w:val="16"/>
          <w:color w:val="auto"/>
        </w:rPr>
      </w:pPr>
    </w:p>
    <w:p>
      <w:pPr>
        <w:ind w:left="424" w:right="24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(i) 20,737,202 of Class A Ordinary Shares (including Class A Ordinary Shares included in units) issued by the registrant in its initial public offering registered on Form S-1 (SEC File No. 333-248619) and (ii) of 5,184,300 Class B Ordinary Shares, which Class A and Class B Ordinary Shares, as a result of the Domestication, will automatically be converted by operation of law into shares of Class A common stock.</w:t>
      </w:r>
    </w:p>
    <w:p>
      <w:pPr>
        <w:spacing w:after="0" w:line="1" w:lineRule="exact"/>
        <w:rPr>
          <w:rFonts w:ascii="Arial" w:cs="Arial" w:eastAsia="Arial" w:hAnsi="Arial"/>
          <w:sz w:val="16"/>
          <w:szCs w:val="16"/>
          <w:color w:val="auto"/>
        </w:rPr>
      </w:pPr>
    </w:p>
    <w:p>
      <w:pPr>
        <w:ind w:left="424" w:right="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based on the average of the high and low prices of the Class A Ordinary Shares on The Nasdaq Capital Market on March 29, 2021 in accordance with Rule 457(f)(1) under the Securities Act.</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(i) 10,368,601 redeemable warrants issued by the registrant in its initial public offering registered on Form S-1 (SEC</w:t>
      </w:r>
    </w:p>
    <w:p>
      <w:pPr>
        <w:spacing w:after="0" w:line="9" w:lineRule="exact"/>
        <w:rPr>
          <w:rFonts w:ascii="Arial" w:cs="Arial" w:eastAsia="Arial" w:hAnsi="Arial"/>
          <w:sz w:val="18"/>
          <w:szCs w:val="18"/>
          <w:color w:val="auto"/>
        </w:rPr>
      </w:pPr>
    </w:p>
    <w:p>
      <w:pPr>
        <w:ind w:left="424"/>
        <w:spacing w:after="0" w:line="281" w:lineRule="auto"/>
        <w:rPr>
          <w:rFonts w:ascii="Arial" w:cs="Arial" w:eastAsia="Arial" w:hAnsi="Arial"/>
          <w:sz w:val="18"/>
          <w:szCs w:val="18"/>
          <w:color w:val="auto"/>
        </w:rPr>
      </w:pPr>
      <w:r>
        <w:rPr>
          <w:rFonts w:ascii="Arial" w:cs="Arial" w:eastAsia="Arial" w:hAnsi="Arial"/>
          <w:sz w:val="16"/>
          <w:szCs w:val="16"/>
          <w:color w:val="auto"/>
        </w:rPr>
        <w:t>File No. 333- 248619) (including redeemable warrants included in units) and (ii) 6,147,440 warrants issued by the registrant in a private placement concurrently with the initial public offering, which warrants altogether, as a result of the Domestication, will become warrants to acquire the same number of shares of Class A common stock of the Company at the same price and on the same terms set forth in the respective warrant agreement.</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registration fee is required pursuant to Rule 457(g) under the Securities Act.</w:t>
      </w:r>
    </w:p>
    <w:p>
      <w:pPr>
        <w:spacing w:after="0" w:line="9" w:lineRule="exact"/>
        <w:rPr>
          <w:rFonts w:ascii="Arial" w:cs="Arial" w:eastAsia="Arial" w:hAnsi="Arial"/>
          <w:sz w:val="18"/>
          <w:szCs w:val="18"/>
          <w:color w:val="auto"/>
        </w:rPr>
      </w:pPr>
    </w:p>
    <w:p>
      <w:pPr>
        <w:ind w:left="424" w:right="32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number of shares of Class A common stock issuable upon exercise of warrants pursuant to their terms. Each whole warrant will entitle the warrant holder to purchase one share of Class A common stock of the Company at a price of $11.50 per share.</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exercise price of the warrants.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This Post-Effective Amendment No. 1 to Form S-4 (the “Post-Effective Amendment”) amends the Registration Statement on Form S-4 of Bakkt Holdings, Inc. (f/k/a VPC Impact Acquisition Holdings) (the “Registrant”) (Registration No. 333-254935), as amended prior to the date hereto (the “Registration Statement”), which was declared effective by the Securities and Exchange Commission (the “Commission”) on September 17, 2021. This Post-Effective Amendment No. 1 is being filed to correct a typographical error in footnote (7) to Calculation of Registration Fee table set forth in the Registration Statement. In the Registration Statement, the word “quarter” was inadvertently included in the sentence “Each whole warrant will entitle the warrant holder to purchase one share of Class A common stock of the Company at a price of $11.50 per </w:t>
      </w:r>
      <w:r>
        <w:rPr>
          <w:rFonts w:ascii="Arial" w:cs="Arial" w:eastAsia="Arial" w:hAnsi="Arial"/>
          <w:sz w:val="17"/>
          <w:szCs w:val="17"/>
          <w:color w:val="auto"/>
          <w:strike w:val="1"/>
        </w:rPr>
        <w:t>quarter</w:t>
      </w:r>
      <w:r>
        <w:rPr>
          <w:rFonts w:ascii="Arial" w:cs="Arial" w:eastAsia="Arial" w:hAnsi="Arial"/>
          <w:sz w:val="17"/>
          <w:szCs w:val="17"/>
          <w:color w:val="auto"/>
        </w:rPr>
        <w:t xml:space="preserve"> share.” (strikethrough added for emphasis) Nothing in this Post-Effective Amendment shall be deemed to modify any other provision of the Registration Statement, including, but not limited to, the description of warrants or the Warrant Agreement (as defined in the Registration Statement).</w:t>
      </w:r>
    </w:p>
    <w:p>
      <w:pPr>
        <w:sectPr>
          <w:pgSz w:w="11900" w:h="16838" w:orient="portrait"/>
          <w:cols w:equalWidth="0" w:num="1">
            <w:col w:w="10920"/>
          </w:cols>
          <w:pgMar w:left="440" w:top="270"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Alpharetta, State of Georgia, on November 12,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Gavin Michael</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Gavin Michael</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Act, this Registration Statement has been signed by the following persons in the capacities indicated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12, 2021:</w:t>
      </w:r>
    </w:p>
    <w:p>
      <w:pPr>
        <w:sectPr>
          <w:pgSz w:w="11900" w:h="16838" w:orient="portrait"/>
          <w:cols w:equalWidth="0" w:num="1">
            <w:col w:w="11020"/>
          </w:cols>
          <w:pgMar w:left="440" w:top="270" w:right="439" w:bottom="1440" w:gutter="0" w:footer="0" w:header="0"/>
        </w:sectPr>
      </w:pP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Gavin Michael</w:t>
      </w: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Andrew LaBenne</w:t>
      </w: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Karen Alexander</w:t>
      </w: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Michelle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Michelle Goldberg</w:t>
      </w: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David C.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David C. Clifton</w:t>
      </w: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Kristyn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Kristyn Cook</w:t>
      </w: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Gordon Watson</w:t>
      </w: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Sean Collins</w:t>
      </w: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Richard Lumb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Richard Lumb</w:t>
      </w:r>
    </w:p>
    <w:p>
      <w:pPr>
        <w:spacing w:after="0" w:line="23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Andrew A. Main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ind w:right="27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651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sectPr>
      <w:pgSz w:w="11900" w:h="16838" w:orient="portrait"/>
      <w:cols w:equalWidth="0" w:num="2">
        <w:col w:w="4540" w:space="720"/>
        <w:col w:w="576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2021-11-12T20:42:31Z</dcterms:created>
  <dcterms:modified xsi:type="dcterms:W3CDTF">2021-11-12T20:42:31Z</dcterms:modified>
</cp:coreProperties>
</file>