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171d424b3.htm"/>
        <w:bookmarkStart w:id="1" w:name="ksd84171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333-288362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477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240" w:after="0"/>
        <w:jc w:val="center"/>
        <w:rPr>
          <w:rFonts w:ascii="Times New Roman" w:hAnsi="Times New Roman"/>
          <w:b/>
          <w:sz w:val="32"/>
        </w:rPr>
      </w:pPr>
      <w:r>
        <w:rPr>
          <w:rFonts w:ascii="Times New Roman" w:hAnsi="Times New Roman"/>
          <w:b/>
          <w:sz w:val="32"/>
        </w:rPr>
        <w:t xml:space="preserve">Up to 10,339,123 Shares of 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relates to the offer and sale by YA II PN, Ltd. (the Selling Stockholder) of up to 10,339,123 shares of Class A common stock, par value $0.0001 per share (the Class A Common Stock) of Bakkt Holdings, Inc. (the Company, we, us, or our). </w:t>
      </w:r>
    </w:p>
    <w:p>
      <w:pPr>
        <w:pStyle w:val="TextBody"/>
        <w:bidi w:val="0"/>
        <w:spacing w:before="120" w:after="0"/>
        <w:jc w:val="left"/>
        <w:rPr>
          <w:rFonts w:ascii="Times New Roman" w:hAnsi="Times New Roman"/>
          <w:sz w:val="18"/>
        </w:rPr>
      </w:pPr>
      <w:r>
        <w:rPr>
          <w:rFonts w:ascii="Times New Roman" w:hAnsi="Times New Roman"/>
          <w:sz w:val="18"/>
        </w:rPr>
        <w:t xml:space="preserve">We entered into that certain securities purchase agreement (the Purchase Agreement) with the Selling Stockholder, dated as of June 17, 2025, pursuant to which the Selling Stockholder purchased a $25 million convertible debenture (the Convertible Debenture) from us for a price of $23.75 million in a private placement on June 18, 2025 (the Closing Date). The Convertible Debenture matures on the first anniversary of the Closing Date, as may be extended at the option of the Selling Stockholder and is convertible, at the option of the Selling Stockholder, into shares of our Class A Common Stock. The price of the Class A Common Stock to the Selling Stockholder to be issued on conversion of the Convertible Debenture will be the lower of (i) $14.51 per share of Class A Common Stock (the Fixed Price) or (ii) 97% of the lowest daily volume weighted average price of the Class A Common Stock during the five consecutive trading days immediately preceding the conversion date (the Conversion Date), but which price shall not be lower than $2.418 per share of Class A Common Stock (the Floor Price). </w:t>
      </w:r>
    </w:p>
    <w:p>
      <w:pPr>
        <w:pStyle w:val="TextBody"/>
        <w:bidi w:val="0"/>
        <w:spacing w:before="120" w:after="0"/>
        <w:jc w:val="left"/>
        <w:rPr>
          <w:rFonts w:ascii="Times New Roman" w:hAnsi="Times New Roman"/>
          <w:sz w:val="18"/>
        </w:rPr>
      </w:pPr>
      <w:r>
        <w:rPr>
          <w:rFonts w:ascii="Times New Roman" w:hAnsi="Times New Roman"/>
          <w:sz w:val="18"/>
        </w:rPr>
        <w:t>We are registering these shares of Class A Common Stock for resale by the Selling Stockholder pursuant to the registration rights granted to the Selling Stockholder under that certain registration rights agreement we entered into with the Selling Stockholder, dated as of June 17, 2025 (the Registration Rights Agreement). Our registration of the Class A Common Stock covered by this prospectus does not mean that the Selling Stockholder will offer or sell any of the Class A Common Stock. The Selling Stockholder may offer all or part of the securities for resale from time to time through public or private transactions, at either prevailing market prices or at privately negotiated prices. The Selling Stockholder may sell these securities through ordinary brokerage transactions, directly to market makers of our shares or through any other means described in the section entitled </w:t>
      </w:r>
      <w:r>
        <w:rPr>
          <w:rFonts w:ascii="Times New Roman" w:hAnsi="Times New Roman"/>
          <w:i/>
          <w:sz w:val="18"/>
        </w:rPr>
        <w:t>Plan of Distribution</w:t>
      </w:r>
      <w:r>
        <w:rPr>
          <w:rFonts w:ascii="Times New Roman" w:hAnsi="Times New Roman"/>
          <w:sz w:val="18"/>
        </w:rPr>
        <w:t xml:space="preserve"> herein. In connection with any sales of Class A Common Stock offered hereunder, the Selling Stockholder, any underwriters, agents, brokers or dealers participating in such sales may be deemed to be underwriters within the meaning of the Securities Act of 1933, as amended (the Securities Act). </w:t>
      </w:r>
    </w:p>
    <w:p>
      <w:pPr>
        <w:pStyle w:val="TextBody"/>
        <w:bidi w:val="0"/>
        <w:spacing w:before="120" w:after="0"/>
        <w:jc w:val="left"/>
        <w:rPr>
          <w:rFonts w:ascii="Times New Roman" w:hAnsi="Times New Roman"/>
          <w:sz w:val="18"/>
        </w:rPr>
      </w:pPr>
      <w:r>
        <w:rPr>
          <w:rFonts w:ascii="Times New Roman" w:hAnsi="Times New Roman"/>
          <w:sz w:val="18"/>
        </w:rPr>
        <w:t xml:space="preserve">Our Class A Common Stock is currently traded on the New York Stock Exchange (NYSE) under the symbol BKKT. On June 25, 2025, the last reported sale price for our Class A Common Stock was $12.93 per share. </w:t>
      </w:r>
    </w:p>
    <w:p>
      <w:pPr>
        <w:pStyle w:val="TextBody"/>
        <w:bidi w:val="0"/>
        <w:spacing w:before="120" w:after="0"/>
        <w:jc w:val="left"/>
        <w:rPr>
          <w:rFonts w:ascii="Times New Roman" w:hAnsi="Times New Roman"/>
          <w:sz w:val="18"/>
        </w:rPr>
      </w:pPr>
      <w:r>
        <w:rPr>
          <w:rFonts w:ascii="Times New Roman" w:hAnsi="Times New Roman"/>
          <w:sz w:val="18"/>
        </w:rPr>
        <w:t xml:space="preserve">We will not receive any proceeds from the sale of the Class A Common Stock by the Selling Stockholder in the offering described in this prospectus. We have agreed to bear all of the expenses incurred in connection with the registration of the Class A Common Stock. The Selling Stockholder will pay or assume discounts, commissions, fees of underwriters, selling brokers or dealer managers and similar expenses, if any, incurred for the sale of the Class A Common Stock. </w:t>
      </w:r>
    </w:p>
    <w:p>
      <w:pPr>
        <w:pStyle w:val="TextBody"/>
        <w:bidi w:val="0"/>
        <w:spacing w:before="120" w:after="0"/>
        <w:jc w:val="left"/>
        <w:rPr>
          <w:rFonts w:ascii="Times New Roman" w:hAnsi="Times New Roman"/>
          <w:sz w:val="18"/>
        </w:rPr>
      </w:pPr>
      <w:r>
        <w:rPr>
          <w:rFonts w:ascii="Times New Roman" w:hAnsi="Times New Roman"/>
          <w:sz w:val="18"/>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these securities involves risks. Please carefully read the information under the headings </w:t>
      </w:r>
      <w:hyperlink w:anchor="rom84171_3">
        <w:r>
          <w:rPr>
            <w:rStyle w:val="InternetLink"/>
            <w:rFonts w:ascii="Times New Roman" w:hAnsi="Times New Roman"/>
            <w:b/>
            <w:i/>
            <w:sz w:val="24"/>
          </w:rPr>
          <w:t>Risk Factors</w:t>
        </w:r>
      </w:hyperlink>
      <w:r>
        <w:rPr>
          <w:rFonts w:ascii="Times New Roman" w:hAnsi="Times New Roman"/>
          <w:b/>
          <w:sz w:val="24"/>
        </w:rPr>
        <w:t> beginning on page 6 of this prospectus and </w:t>
      </w:r>
      <w:r>
        <w:rPr>
          <w:rFonts w:ascii="Times New Roman" w:hAnsi="Times New Roman"/>
          <w:b/>
          <w:i/>
          <w:sz w:val="24"/>
        </w:rPr>
        <w:t>Item</w:t>
      </w:r>
      <w:r>
        <w:rPr>
          <w:rFonts w:ascii="Times New Roman" w:hAnsi="Times New Roman"/>
          <w:sz w:val="24"/>
        </w:rPr>
        <w:t> </w:t>
      </w:r>
      <w:r>
        <w:rPr>
          <w:rFonts w:ascii="Times New Roman" w:hAnsi="Times New Roman"/>
          <w:b/>
          <w:i/>
          <w:sz w:val="24"/>
        </w:rPr>
        <w:t>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is July 24,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4">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7">
              <w:r>
                <w:rPr>
                  <w:rStyle w:val="InternetLink"/>
                  <w:rFonts w:ascii="Times New Roman" w:hAnsi="Times New Roman"/>
                  <w:sz w:val="20"/>
                </w:rPr>
                <w:t>The Securities Purchase Agreement, the Convertible Debenture, the Guarantee Agreement and the Registration Rights Agreement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8">
              <w:r>
                <w:rPr>
                  <w:rStyle w:val="InternetLink"/>
                  <w:rFonts w:ascii="Times New Roman" w:hAnsi="Times New Roman"/>
                  <w:sz w:val="20"/>
                </w:rPr>
                <w:t>Determination of Offering Price</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9">
              <w:r>
                <w:rPr>
                  <w:rStyle w:val="InternetLink"/>
                  <w:rFonts w:ascii="Times New Roman" w:hAnsi="Times New Roman"/>
                  <w:sz w:val="20"/>
                </w:rPr>
                <w:t>Selling Stockholder</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0">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1">
              <w:r>
                <w:rPr>
                  <w:rStyle w:val="InternetLink"/>
                  <w:rFonts w:ascii="Times New Roman" w:hAnsi="Times New Roman"/>
                  <w:sz w:val="20"/>
                </w:rPr>
                <w:t>Validity of the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2">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rom84171_14">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8417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to register the securities described in this prospectus for resale by the Selling Stockholder who may, from time to time, sell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A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has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84171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Cooperation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Updated Investment Policy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2025 we updated our investment policy (Investment Policy) to enable us to allocate capital into Bitcoin and other digital assets as part of our broader treasury and corporate strategy, subject to market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the anticipated liquidity needs of the business. We may acquire Bitcoin or other digital assets 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 The timing and magnitude of any such transactions will depend on market conditions, capital market receptivity, business performance and other strategic considerations.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hAnsi="Times New Roman"/>
          <w:i/>
          <w:sz w:val="20"/>
          <w:bdr w:val="single" w:sz="8" w:space="1" w:color="000000"/>
        </w:rPr>
        <w:t>Risk Factors Related to the Update of our Investment Policy,</w:t>
      </w:r>
      <w:r>
        <w:rPr>
          <w:rFonts w:ascii="Times New Roman" w:hAnsi="Times New Roman"/>
          <w:sz w:val="20"/>
          <w:bdr w:val="single" w:sz="8" w:space="1" w:color="000000"/>
        </w:rPr>
        <w:t xml:space="preserve"> which is attached as Exhibit 99.1 to our Current Report on Form 8-K filed with the SEC on June 10, 2025 which is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Finances and Operations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model is newly developed and may encounter additional risks and challenges as it grows.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platform has been designed to meet the needs of our clients and customers, and as such we must continually invest in our platform to meet their evolving needs as we look to grow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operating history and a history of operating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attract, retain or grow our relationships with our existing clients, our business, financial condition,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anticipated benefits of past or future investments, strategic transactions, or acquisitions and integration of these acquisitions may disrupt our business and management.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Crypto and Our Investment Policy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subject us to additional risks, including the risk that banks may not provide banking services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a perception among regulators and others that crypto is used to facilitate illegal activity such as fraud, money laundering, tax evasion and ransomware scams.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safeguard and manage our and our customers crypto could adversely impact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does not have extensive historical precedent and distributed ledger technology continues to rapidly evolve.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encounter technical issues in connection with the integration of supported crypto assets and changes and upgrades to their underlying networks, which could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results and the market price of our securities are expected to be affected by fluctuations in the price of digital assets we may acquire in accordance with our Investment Policy, including Bitcoin, which are highly volatile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financial results may fluctuate significantly, including because we account for digital assets we hold at fair value, which may subject us to the corporate alternative minimum tax under the Inflation Reduction Act of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 the price of any purchases of Bitcoin and other digital assets we may acquire in accordance with our Investment Policy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decrease in the market value of any digital assets we may acquire in accordance with our Investment Policy could adversely affect our ability to satisfy financial obligations, including any debt financings.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implementation of our Investment Policy, competition by other digital asset companies and the availability of spot exchange-traded products for Bitcoin and other digital assets may adversely affect our business, financial condition, results of operations and future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digital assets we may acquire as in accordance with our Investment Policy may not be able to serve as a source of liquidity for us to the same extent as cash and cash equivalents.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Regulation, Taxation and Laws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extensive government regulation, oversight, licensure and appraisals and our failure to comply could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litigation risk and risk of regulatory liability and penalties. Any current or future litigation against us could be costly and time-consuming to defend.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Information Technology and Data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cyberattacks, security incidents, or breaches could result in serious harm to our reputation, business and financial condition.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Risk Management and Financial Reporting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effective internal controls over financial reporting, we may be unable to produce timely and accurate financial statements, which could have a material effect on our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Issuance of the Convertible Debenture to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the Selling Stockholder purchased a $25 million convertible debenture (the Convertible Debenture) from the Company for a price of $23.75 million (the Purchase Amount) in a private placement (the Private Placement). The Private Placement closed on June 18,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as may be extended at the option of the Selling Stockholder (the Maturity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so long as there is a balance outstanding under the Convertible Debenture, the Selling Stockholder, in its sole discretion, may deliver to the Company a conversion notice (the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Class A Common Stock will be issued and sold to the Selling Stockholder at a per share price (the Conversion Price) equal to the lower of (i) $14.51 per share or (ii) 97% of the lowest daily volume weighted average price during the five consecutive trading days immediately preceding the Conversion Date (the Variable Price),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any balance remains outstanding under the Convertible Debenture on the Maturity Date, the Company will pay to the Selling Stockholder such outstanding balance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The Securities Purchase Agreement, The Convertible Debenture, The Guarantee Agreement And The Registration Rights Agreement</w:t>
      </w:r>
      <w:r>
        <w:rPr>
          <w:rFonts w:ascii="Times New Roman" w:hAnsi="Times New Roman"/>
          <w:sz w:val="20"/>
          <w:bdr w:val="single" w:sz="8" w:space="1" w:color="000000"/>
        </w:rPr>
        <w:t xml:space="preserve"> on page 10 of this prospectus for additional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 may offer up to 10,339,123 shares of our Class A Common Stock. As at June 17, 2025, there are 6,969,532 shares of Class A Common Stock outstanding. After giving effect to the issuance of the maximum number of shares of Class A Common Stock offered hereunder, 17,308,655 shares of Class A Common Stock would be outstanding. If it becomes necessary for us to issue and sell to the Selling Stockholder over 2,827,906 shares of Class A Common Stock (the Exchange Cap) in connection with the Convertible Debenture, we must first obtain stockholder approval prior to issuing shares of the Class A Common Stock in excess of the Exchange Cap in accordance with the listing rules of the New York Stock Exchange (the NYSE Rules). It is possible we may not receive such stockholder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of this prospectus captioned Plan of Distribution.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Class A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84171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Class A Common Stock involves a high degree of risk. Before you decide whether to purchase our Class A Common Stock in this offering, you should consider the risks described below,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Class A Common Stock we will issue to the Selling Stockholder on conversion of the Convertible Debenture.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generally has the right to control the timing and amount of conversions of any amounts outstanding under the Convertible Debenture into our shares of Class A Common Stock. Generally, issuances of our Class A Common Stock to the Selling Stockholder on conversion of the Convertible Debenture will depend upon market conditions and other factors to be determined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Because the Conversion Price per share under the Convertible Debenture will fluctuate based on the market prices of our Class A Common Stock, it is not possible for us to predict, as of the date of this prospectus and prior to any such conversions, the number of shares of Class A Common Stock that we will issue to the Selling Stockholder under the Convertible Debenture or what the Conversion Price for such shares will be.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the Selling Stockholder over the Exchange Cap of 2,827,906 shares in connection with the Convertible Debenture, we must first obtain stockholder approval prior to issuing shares of the Class A Common Stock in excess of the Exchange Cap in accordance with applicable NYSE Rules. It is possible we may not receive such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Convertible Debenture, the Selling Stockholder will generally have discretion to vary the timing, prices, and numbers of shares issued on conversion of the Convertible Debenture. After the Selling Stockholder has acquired such shares, the Selling Stockholder may resell all, some, or none of such shares at any time or from time to time in its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issue a substantial number of shares to the Selling Stockholder on conversion of the Convertible Debenture, or if investors expect that we will do so, the actual sales of shares or the mere existence of our arrangement with the Selling Stockholder may make it more difficult for us to sell equity or equity-related securities in the future at a time and at a price that we might otherwise wish to effect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a substantial number of our securities in the public market could cause the price of our shares of Class A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can resell, under this prospectus, up to 10,339,123 shares of Class A Common Stock. If all of the 10,339,123 shares offered for resale by the Selling Stockholder under this prospectus were issued and outstanding as of June 17, 2025 (without taking into account the 19.9% Exchange Cap limitation), such shares would represent approximately 42% of the total number of outstanding shares of voting securities of our Company. If it becomes necessary for us to issue and sell to the Selling Stockholder shares of Class A Common Stock in excess of the Exchange Cap in connection with the Convertible Debenture, we must first obtain stockholder approval prior to issuing shares of the Class A Common Stock in excess of the Exchange Cap in accordance with applicable NYSE Rules.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Class A Common Stock in the public market by the Selling Stockholder and/or by our other existing stockholders, or the perception that those sales might occur, could depress the market price of our shares of Class A Common Stock and could impair our ability to raise capital through the sale of additional 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Class A Common Stock could lower our stock price and dilute existing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sell additional shares of Class A Common Stock in subsequent public or private offerings. We cannot predict the size or terms of future issuances of our Class A Common Stock or the effect, if any, that future sales and issuances of shares of our Class A Common Stock will have on the market price of our Class A Common Stock. Sales of substantial amounts of our Class A Common Stock, or the perception that such sales could occur, may adversely affect prevailing market prices for our Class A Common Stock. In addition, these sales may be dilutive to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meet our publicly announced guidance or other expectations about our business, which would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We may provide guidance regarding our expected financial and business performance, such as projections regarding sales and production, as well as anticipated future revenue, gross margins, profitability, and cash flows. Correctly identifying key factors affecting business conditions and predicting future events is inherently an uncertain process and our guidance may not ultimately be accurate. Our guidance is based on certain assumptions such as those relating to anticipated production and sales volumes and average sales prices, supplier and commodity costs, and planned cost reductions. If our guidance is not accurate or varies from actual results due to our inability to meet our assumptions or the impact on our financial performance that could occur as a result of various risks and uncertainties, the market value of our Class A Common Stock could decline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which may never occur, as the only way to realize any future gains on their investment. </w:t>
      </w:r>
    </w:p>
    <w:p>
      <w:pPr>
        <w:pStyle w:val="TextBody"/>
        <w:bidi w:val="0"/>
        <w:spacing w:before="480" w:after="0"/>
        <w:jc w:val="center"/>
        <w:rPr>
          <w:rFonts w:ascii="Times New Roman" w:hAnsi="Times New Roman"/>
          <w:b/>
          <w:sz w:val="20"/>
        </w:rPr>
      </w:pPr>
      <w:bookmarkStart w:id="6" w:name="rom84171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for our products and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impacts from the adoption of our updated Investment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unable to obtain the applicable regulatory approvals to execute on the cooperation agreement with DTR;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environment for crypto currencies and digital stablecoin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strategy, including our adoption of the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digital assets, including Bitcoin;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fluctuation of our operating results, including because we may be required to account for our digital assets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time the price of our purchase of digital assets pursuant to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market value of digital assets on our ability to satisfy our financial obligations, including any debt financings;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unrealized fair value gains on our digital asset holdings subjecting us to the corporate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other Bitcoin treasury companies and the availability of spot-traded products for Bitcoin;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regulatory oversight as a result of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concentration of our expected digital asset holdings relative to non-digital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use our digital asset holdings as a source of liquidity to the same extent as cash and cash equivalents, due to, for example, risks associated with digital assets and other risks inherent to its entirely electronic, virtual-form and decentralized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or a third-party service provider experiencing a security breach or cyber-attack where unauthorized parties obtain access to digital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access to or theft or data loss of our digital assets, which could be unrecoverable due to the immutable nature of blockchain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not being subject to the legal and regulatory protections applicable to investment companies such as mutual funds and exchange-traded funds, or to obligations applicable to investment advisers;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non-performance, breach of contract or other violations by counterparties assisting us in effecting our updated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capital requirements and sources and uses of cash, including funds to satisfy our liquidity needs and continued access to the line of credit provided by Intercontinental Exchange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and disruptions in the crypto, digital payments and stablecoin markets that subject us to additional risks, including the risk that banks may not provide banking services to us and market sentiments regarding crypto currencies, digital payments and stablecoins;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macroeconomic, geopolitical,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launch new services and products, including with our expected commercial partners, or to profitably expand into new markets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growth strategies, including identifying and executing acquisitions and divestitures and our initiatives to add new clients;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reach definitive agreements with our expected commercial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a strategic transaction of the Loyalty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extensive government regulations, oversight, licensure and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 and evolving regulatory regime governing blockchain technologies, stablecoins, digital payments and crypto;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effective internal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securities on the New York Stock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bidi w:val="0"/>
        <w:spacing w:before="480" w:after="0"/>
        <w:jc w:val="center"/>
        <w:rPr>
          <w:rFonts w:ascii="Times New Roman" w:hAnsi="Times New Roman"/>
          <w:b/>
          <w:sz w:val="20"/>
        </w:rPr>
      </w:pPr>
      <w:bookmarkStart w:id="7" w:name="rom8417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resale of shares of Class A Common Stock included in this prospectus by the Selling Stockholder. However, we have received net proceeds of $23,725,000 for the issuance of the Convertible Debenture, which we expect to use for working capital and other general corporate purposes. </w:t>
      </w:r>
    </w:p>
    <w:p>
      <w:pPr>
        <w:pStyle w:val="TextBody"/>
        <w:bidi w:val="0"/>
        <w:spacing w:before="480" w:after="0"/>
        <w:jc w:val="center"/>
        <w:rPr>
          <w:rFonts w:ascii="Times New Roman" w:hAnsi="Times New Roman"/>
          <w:b/>
          <w:sz w:val="20"/>
        </w:rPr>
      </w:pPr>
      <w:bookmarkStart w:id="8" w:name="rom84171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4.9 to our Annual Report on Form 10-K for the fiscal year ended December 31, 2024, filed with the SEC on March 20, 2025. </w:t>
      </w:r>
    </w:p>
    <w:p>
      <w:pPr>
        <w:pStyle w:val="TextBody"/>
        <w:bidi w:val="0"/>
        <w:spacing w:before="480" w:after="0"/>
        <w:jc w:val="center"/>
        <w:rPr>
          <w:rFonts w:ascii="Times New Roman" w:hAnsi="Times New Roman"/>
          <w:b/>
          <w:sz w:val="20"/>
        </w:rPr>
      </w:pPr>
      <w:bookmarkStart w:id="9" w:name="rom84171_7"/>
      <w:bookmarkEnd w:id="9"/>
      <w:r>
        <w:rPr>
          <w:rFonts w:ascii="Times New Roman" w:hAnsi="Times New Roman"/>
          <w:b/>
          <w:sz w:val="20"/>
        </w:rPr>
        <w:t xml:space="preserve">THE SECURITIES PURCHASE AGREEMENT, THE CONVERTIBLE DEBENTURE, THE GUARANTEE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17, 2025, the Company entered into the Purchase Agreement with the Selling Stockholder. Pursuant to the terms of the Purchase Agreement, the Selling Stockholder purchased the $25 million Convertible Debenture from the Company for a Purchase Amount of $23.75 million in the Private Placement. The Private Placement closed on June 18, 2025. The Company intends to use the net proceeds from the Private Placement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Maturity Date, which is the first anniversary of the Closing Date, as may be extended at the option of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there is a balance outstanding under the Convertible Debenture, the Selling Stockholder, in its sole discretion, may deliver to the Company a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Class A Common Stock will be issued and sold to the Selling Stockholder at a Conversion Price per share equal to the lower of (i) $14.51 per share or (ii) a Variable Price of 97% of the lowest daily volume weighted average price during the five consecutive trading days immediately preceding the Conversion Date,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balance remains outstanding under the Convertible Debenture on the Maturity Date, the Company will pay to the Selling Stockholder such outstanding balance in cash.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paid the Selling Stockholder a one-time due diligence and structuring fee of $25,000. </w:t>
      </w:r>
    </w:p>
    <w:p>
      <w:pPr>
        <w:pStyle w:val="TextBody"/>
        <w:bidi w:val="0"/>
        <w:spacing w:before="240" w:after="0"/>
        <w:jc w:val="left"/>
        <w:rPr>
          <w:rFonts w:ascii="Times New Roman" w:hAnsi="Times New Roman"/>
          <w:sz w:val="20"/>
        </w:rPr>
      </w:pPr>
      <w:r>
        <w:rPr>
          <w:rFonts w:ascii="Times New Roman" w:hAnsi="Times New Roman"/>
          <w:sz w:val="20"/>
        </w:rPr>
        <w:t xml:space="preserve">Under NYSE Rules and pursuant to the Purchase Agreement, in no event may the Company issue to the Selling Stockholder shares of Class A Common Stock in excess of an Exchange Cap of 2,827,906 shares, which is 19.9% of our voting securities outstanding on the date of the Purchase Agreement, unless the Company obtains stockholder approval to issue shares of Class A Common Stock in excess of the Exchange Cap. The Company may issue any shares of Class A Common Stock under the Purchase Agreement only in compliance with applicable NYSE Rules.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not issue any shares of Class A Common Stock to the Selling Stockholder under the Purchase Agreement or under the Convertible Debenture, if, when aggregated with all other shares of Class A Common Stock then beneficially owned by the Selling Stockholder, the Selling Stockholders beneficial ownership would exceed 4.99% of the then-outstanding shares of Class A Common Stock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cannot assign the Purchase Agreement or any rights or obligations thereunder without the prior written consent of the Selling Stockholder. The Selling Stockholder may assign all, or a portion, of its rights and obligations under the Purchase Agreement without the consent of the Company, in which event such assignee shall be deemed to be the Selling Stockholder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covenants, warranties, conditions, and indemnification obligations of the parties, including limitations on the Companys incurrence of additional indebtedness, subject to certain exceptions. The representations, warranties, and covenants contained in the Purchase Agreement were made only for purposes of such agreement and as of specific dates, were solely for the benefit of the parties to such agreement and are subject to limitations agreed upon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with respect to the Purchase Agreement and under the Convertible Debenture are guaranteed by Bakkt Opco Holdings, LLC, a Delaware limited liability company (Bakkt Opco), pursuant to a global guaranty agreement (the Guarantee Agreement) entered into by Bakkt Opco in favor of the Selling Stockholder on June 17, 2025.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Purchase Agreement, the Company entered into the Registration Rights Agreement with the Selling Stockholder, pursuant to which the Company agreed to use commercially reasonable efforts to file and have declared effective a registration statement to register the resale of the Class A Common Stock issued upon conversion of the Convertible Debenture. </w:t>
      </w:r>
    </w:p>
    <w:p>
      <w:pPr>
        <w:pStyle w:val="TextBody"/>
        <w:bidi w:val="0"/>
        <w:spacing w:before="240" w:after="0"/>
        <w:jc w:val="left"/>
        <w:rPr>
          <w:rFonts w:ascii="Times New Roman" w:hAnsi="Times New Roman"/>
          <w:sz w:val="20"/>
        </w:rPr>
      </w:pPr>
      <w:r>
        <w:rPr>
          <w:rFonts w:ascii="Times New Roman" w:hAnsi="Times New Roman"/>
          <w:sz w:val="20"/>
        </w:rPr>
        <w:t xml:space="preserve">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Purchase Agreement, the Convertible Debenture, the Guarantee Agreement and the Registration Rights Agreement does not purport to be complete and is qualified in its entirety by reference to the full text of the Purchase Agreement, which is attached hereto as Exhibit 10.1, the Convertible Debenture, which is filed as Exhibit 4.2, the Guarantee Agreement, which is attached hereto as Exhibit 4.3, and the Registration Rights Agreement, which is attached hereto as Exhibit 4.4, respectively, and each is incorporated herein by reference. </w:t>
      </w:r>
    </w:p>
    <w:p>
      <w:pPr>
        <w:pStyle w:val="TextBody"/>
        <w:bidi w:val="0"/>
        <w:spacing w:before="480" w:after="0"/>
        <w:jc w:val="center"/>
        <w:rPr>
          <w:rFonts w:ascii="Times New Roman" w:hAnsi="Times New Roman"/>
          <w:b/>
          <w:sz w:val="20"/>
        </w:rPr>
      </w:pPr>
      <w:bookmarkStart w:id="10" w:name="rom84171_8"/>
      <w:bookmarkEnd w:id="10"/>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Class A Common Stock may be sold by the Selling Stockholder under this prospectus. </w:t>
      </w:r>
    </w:p>
    <w:p>
      <w:pPr>
        <w:pStyle w:val="TextBody"/>
        <w:bidi w:val="0"/>
        <w:spacing w:before="480" w:after="0"/>
        <w:jc w:val="center"/>
        <w:rPr>
          <w:rFonts w:ascii="Times New Roman" w:hAnsi="Times New Roman"/>
          <w:b/>
          <w:sz w:val="20"/>
        </w:rPr>
      </w:pPr>
      <w:bookmarkStart w:id="11" w:name="rom84171_9"/>
      <w:bookmarkEnd w:id="11"/>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by the Selling Stockholder from time to time of up to 10,339,123 shares of Class A Common Stock that may be issued by us to the Selling Stockholder upon conversion of the Convertible Debenture. For additional information regarding the issuance of the Convertible Debenture, see The </w:t>
      </w:r>
      <w:r>
        <w:rPr>
          <w:rFonts w:ascii="Times New Roman" w:hAnsi="Times New Roman"/>
          <w:i/>
          <w:sz w:val="20"/>
        </w:rPr>
        <w:t>Securities Purchase Agreement, The Convertible Debenture, The Guarantee Agreement and the Registration Rights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these 10,339,123 shares of Class A Common Stock for sale by the Selling Stockholder pursuant to the Registration Rights Agreement in order to permit the Selling Stockholder to offer the shares included in this prospectus for resale from time to time. Except for the transactions contemplated by the Purchase Agreement and ownership of the Convertible Debenture pursuant to the Purchase Agreement, and as set forth in the section titled Plan of Distribution in this prospectus, the Selling Stockholder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percent of beneficial ownership in the table below is based on (i) 6,969,532 shares of Class A Common Stock issued and outstanding as of June 17, 2025 and (ii) the issuance to the Selling Stockholder of 366,045 Conversion Shares which as at the date of this prospectus has not occurred. Beneficial ownership is determined in accordance with the rules of the SEC. These rules generally attribute beneficial ownership of securities to persons who possess sole or shared voting power or investment power with respect to such securities. Based on the information provided to us by the Selling Stockholder, the Selling Stockholder has sole voting and investment power with respect to our shares of Class A Common Stock beneficially owned by it.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in the column titled Maximum Number of Securities Being Offered represents all of the shares of Class A Common Stock being offered for resale by the Selling Stockholder under this prospectus. The Selling Stockholder may sell some, all, or none of the shares being offered for resale in this offering. If the Selling Stockholder exercises its right to convert the Convertible Debenture into Class A Common Stock, we do not know how long the Selling Stockholder will hold the shares before selling them, and we are not aware of any existing arrangements between the Selling Stockholder and any other stockholder, broker, dealer, underwriter, or agent relating to the sale or distribution of the Class A Common Stock being offered for resale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column titled Securities Owned After the Offering in the table below assumes the resale by the Selling Stockholder of all of the shares of Class A Common Stock being offered for resale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The number of ordinary shares that may actually be issued upon conversion of the Convertible Debenture pursuant to the terms thereof may be more than the number of shares being offered by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6"/>
        <w:gridCol w:w="120"/>
        <w:gridCol w:w="109"/>
        <w:gridCol w:w="1459"/>
        <w:gridCol w:w="109"/>
        <w:gridCol w:w="218"/>
        <w:gridCol w:w="109"/>
        <w:gridCol w:w="806"/>
        <w:gridCol w:w="275"/>
        <w:gridCol w:w="60"/>
        <w:gridCol w:w="82"/>
        <w:gridCol w:w="1513"/>
        <w:gridCol w:w="59"/>
        <w:gridCol w:w="120"/>
        <w:gridCol w:w="290"/>
        <w:gridCol w:w="678"/>
        <w:gridCol w:w="290"/>
        <w:gridCol w:w="581"/>
        <w:gridCol w:w="290"/>
        <w:gridCol w:w="681"/>
        <w:gridCol w:w="280"/>
      </w:tblGrid>
      <w:tr>
        <w:trPr/>
        <w:tc>
          <w:tcPr>
            <w:tcW w:w="20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7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Class A Common</w:t>
              <w:br/>
              <w:t>Stock Beneficially Owned</w:t>
              <w:br/>
              <w:t>Before the 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of</w:t>
              <w:br/>
              <w:t>Class A</w:t>
              <w:br/>
              <w:t>Common Stock</w:t>
              <w:br/>
              <w:t>Being Offered(2)</w:t>
            </w:r>
          </w:p>
        </w:tc>
        <w:tc>
          <w:tcPr>
            <w:tcW w:w="59"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Class A Common</w:t>
              <w:br/>
              <w:t>Stock Beneficially Owned</w:t>
              <w:br/>
              <w:t>After the Offering</w:t>
            </w:r>
          </w:p>
        </w:tc>
        <w:tc>
          <w:tcPr>
            <w:tcW w:w="280" w:type="dxa"/>
            <w:tcBorders/>
            <w:vAlign w:val="bottom"/>
          </w:tcPr>
          <w:p>
            <w:pPr>
              <w:pStyle w:val="TableContents"/>
              <w:bidi w:val="0"/>
              <w:spacing w:before="0" w:after="283"/>
              <w:jc w:val="left"/>
              <w:rPr/>
            </w:pPr>
            <w:r>
              <w:rPr/>
              <w:t> </w:t>
            </w:r>
          </w:p>
        </w:tc>
      </w:tr>
      <w:tr>
        <w:trPr/>
        <w:tc>
          <w:tcPr>
            <w:tcW w:w="20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Number(1)</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595"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Number(3)</w:t>
            </w:r>
          </w:p>
        </w:tc>
        <w:tc>
          <w:tcPr>
            <w:tcW w:w="29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Percent(3)</w:t>
            </w:r>
          </w:p>
        </w:tc>
        <w:tc>
          <w:tcPr>
            <w:tcW w:w="280" w:type="dxa"/>
            <w:tcBorders/>
            <w:vAlign w:val="bottom"/>
          </w:tcPr>
          <w:p>
            <w:pPr>
              <w:pStyle w:val="TableContents"/>
              <w:bidi w:val="0"/>
              <w:spacing w:before="0" w:after="283"/>
              <w:jc w:val="left"/>
              <w:rPr/>
            </w:pPr>
            <w:r>
              <w:rPr/>
              <w:t> </w:t>
            </w:r>
          </w:p>
        </w:tc>
      </w:tr>
      <w:tr>
        <w:trPr/>
        <w:tc>
          <w:tcPr>
            <w:tcW w:w="2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YA II PN, LTD.(4)</w:t>
            </w:r>
          </w:p>
        </w:tc>
        <w:tc>
          <w:tcPr>
            <w:tcW w:w="12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366,045</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10,339,123</w:t>
            </w:r>
          </w:p>
        </w:tc>
        <w:tc>
          <w:tcPr>
            <w:tcW w:w="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0</w:t>
            </w:r>
          </w:p>
        </w:tc>
        <w:tc>
          <w:tcPr>
            <w:tcW w:w="29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Conversion Shares issuable to the Selling Stockholder pursuant to the terms of the Convertible Debenture giving effect to the Beneficial Ownership Limitation. As at the date of this prospectus, the Selling Stockholder is not the holder of record of any shares of Common Stock, and the actual number of Conversion Shares that may be acquired by the Selling Stockholder is not currently known. The Conversion Shares issuable pursuant to the Convertible Debenture are subject to the Beneficial Ownership Limitation and the Exchange Cap, which restrict the Selling Stockholder from converting any portion of the outstanding balance under the Convertible Debenture that would result in the Selling Stockholder and its affiliates owning, upon such conversion, a number of shares of our Class A Common Stock in excess of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Class A Common Stock offered by this prospectus, consisting of the number of Conversion Shares issuable to the Selling Stockholder pursuant to the terms of the Convertible Debenture without giving effect to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shares of Class A Common Stock being offered pursuant to this prospectus without giving effect to the Beneficial Ownership Limitation or the Exchange Cap.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decisions for YA II PN, Ltd. are made by Mr. Mark Angelo. The business address for YA II PN, Ltd. is 1012 Springfield Avenue, Mountainside, NJ 07092. </w:t>
            </w:r>
          </w:p>
        </w:tc>
      </w:tr>
    </w:tbl>
    <w:p>
      <w:pPr>
        <w:pStyle w:val="TextBody"/>
        <w:bidi w:val="0"/>
        <w:spacing w:before="480" w:after="0"/>
        <w:jc w:val="center"/>
        <w:rPr>
          <w:rFonts w:ascii="Times New Roman" w:hAnsi="Times New Roman"/>
          <w:b/>
          <w:sz w:val="20"/>
        </w:rPr>
      </w:pPr>
      <w:bookmarkStart w:id="12" w:name="rom8417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offered by this prospectus are being offered by the Selling Stockholder. The shares of Class A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shares of Class A Common Stock by the Selling Stockholder pursuant to this prospectus. The aggregate proceeds to the Selling Stockholder will be the purchase price of our Class A Common Stock less any discounts and commissions borne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shares of Class A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including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their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into an existing market for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transfer the shares of Class A Common Stock in other circumstances, in which case the transferees, pledgees or other successors in interest will be the selling beneficial owners for purposes of this prospectus. In addition, the Selling Stockholder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of Class A Common Stock may be sold only through registered or licensed brokers or dealers. In addition, in certain states, the shares of Class A Common Stock may not be sold unless they have been registered or qualified for sale in the state or an exemption from the states registration or qualification requirement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one or more registered broker-dealers to effectuate all sales of our shares of Class A Common Stock issuable upon conversion of the Convertible Debenture. Such sales will be made at prices and at terms then prevailing or at prices related to the then current market price. Such registered broker-dealer may, in some circumstances (or instance if such registered broker-dealers involvement is not limited to receiving commission not in excess of the usual and customary distributors or sellers commissions), be considered to be an underwriter within the meaning of Section 2(a)(11) of the Securities Act. The Selling Stockholder has informed us that each such broker-dealer will receive commissions from the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the shares of Class A Common Stock offered by this prospectus may receive compensation in the form of commissions, discounts, or concessions from the purchasers, for whom the broker-dealers may act as agent, of the shares of Class A Common Stock sold by the Selling Stockholder through this prospectus. The compensation paid to any such particular broker-dealer by any such purchasers of shares of Class A Common Stock sold by the Selling Stockholder may be less than or in excess of customary commissions. Neither we nor the Selling Stockholder can presently estimate the amount of compensation that any agent will receive from any purchasers of ordinary shares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the Selling Stockholder or any other shareholder, broker, dealer, underwriter, or agent relating to the sale or distribution of our ordinary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 and certain other persons against certain liabilities in connection with the offering of our ordinary shares issuable upon conversion of the Convertible Debenture, or, if such indemnity is unenforceable, to make the maximum contribution to the payment and satisfaction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represented to us that it has not directly or indirectly, nor has any person acting on behalf of or pursuant to any understanding with the Selling Stockholder, engaged in any transactions in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(including, without limitation, any short sale (as such term is defined in Rule 200 of Regulation SHO of the Exchange Act) involving the Companys securities) during the period commencing as of the time that the Selling Stockholder first contacted the Company or the Companys agents regarding the specific investment in the Company contemplated by the Purchase Agreement and ending immediately prior to the execution of the Purchase Agreement by the Selling Stockholder. In addition, the Selling Stockholder has agreed that, from and after the date of the Purchase Agreement and ending when the Convertible Debenture no longer remains outstanding, none of the Selling Stockholder or any of its officers, or any entity managed or controlled by the Selling Stockholder (collectively, the Restricted Persons) directly or indirectly, engage in any short sale of the Class A Common Stock, either for its own principal account or for the principal account of any other Restricted Person. </w:t>
      </w:r>
    </w:p>
    <w:p>
      <w:pPr>
        <w:pStyle w:val="TextBody"/>
        <w:bidi w:val="0"/>
        <w:spacing w:before="240" w:after="0"/>
        <w:jc w:val="left"/>
        <w:rPr>
          <w:rFonts w:ascii="Times New Roman" w:hAnsi="Times New Roman"/>
          <w:sz w:val="20"/>
        </w:rPr>
      </w:pPr>
      <w:r>
        <w:rPr>
          <w:rFonts w:ascii="Times New Roman" w:hAnsi="Times New Roman"/>
          <w:sz w:val="20"/>
        </w:rPr>
        <w:t xml:space="preserve">This offering by the Selling Stockholder will terminate on the date that all shares of Class A Common Stock offered by this prospectus have been sold or the date on which all of such ordinary shares may be sold without any restrictions pursuant to Rule 144. </w:t>
      </w:r>
    </w:p>
    <w:p>
      <w:pPr>
        <w:pStyle w:val="TextBody"/>
        <w:bidi w:val="0"/>
        <w:spacing w:before="480" w:after="0"/>
        <w:jc w:val="center"/>
        <w:rPr>
          <w:rFonts w:ascii="Times New Roman" w:hAnsi="Times New Roman"/>
          <w:b/>
          <w:sz w:val="20"/>
        </w:rPr>
      </w:pPr>
      <w:bookmarkStart w:id="13" w:name="rom84171_11"/>
      <w:bookmarkEnd w:id="13"/>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Sullivan &amp; Cromwell LLP, New York, New York.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14" w:name="rom8417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5" w:name="rom8417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84171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20, 2025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May 12,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28, 2025, that are incorporated by reference into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March  17, 2025</w:t>
              </w:r>
            </w:hyperlink>
            <w:r>
              <w:rPr>
                <w:rFonts w:ascii="Times New Roman" w:hAnsi="Times New Roman"/>
                <w:sz w:val="20"/>
              </w:rPr>
              <w:t xml:space="preserve">, </w:t>
            </w:r>
            <w:hyperlink r:id="rId7">
              <w:r>
                <w:rPr>
                  <w:rStyle w:val="InternetLink"/>
                  <w:rFonts w:ascii="Times New Roman" w:hAnsi="Times New Roman"/>
                  <w:sz w:val="20"/>
                </w:rPr>
                <w:t>March  20, 2025</w:t>
              </w:r>
            </w:hyperlink>
            <w:r>
              <w:rPr>
                <w:rFonts w:ascii="Times New Roman" w:hAnsi="Times New Roman"/>
                <w:sz w:val="20"/>
              </w:rPr>
              <w:t xml:space="preserve">, </w:t>
            </w:r>
            <w:hyperlink r:id="rId8">
              <w:r>
                <w:rPr>
                  <w:rStyle w:val="InternetLink"/>
                  <w:rFonts w:ascii="Times New Roman" w:hAnsi="Times New Roman"/>
                  <w:sz w:val="20"/>
                </w:rPr>
                <w:t>March  31, 2025</w:t>
              </w:r>
            </w:hyperlink>
            <w:r>
              <w:rPr>
                <w:rFonts w:ascii="Times New Roman" w:hAnsi="Times New Roman"/>
                <w:sz w:val="20"/>
              </w:rPr>
              <w:t xml:space="preserve">, </w:t>
            </w:r>
            <w:hyperlink r:id="rId9">
              <w:r>
                <w:rPr>
                  <w:rStyle w:val="InternetLink"/>
                  <w:rFonts w:ascii="Times New Roman" w:hAnsi="Times New Roman"/>
                  <w:sz w:val="20"/>
                </w:rPr>
                <w:t>April  22, 2025</w:t>
              </w:r>
            </w:hyperlink>
            <w:r>
              <w:rPr>
                <w:rFonts w:ascii="Times New Roman" w:hAnsi="Times New Roman"/>
                <w:sz w:val="20"/>
              </w:rPr>
              <w:t xml:space="preserve">, </w:t>
            </w:r>
            <w:hyperlink r:id="rId10">
              <w:r>
                <w:rPr>
                  <w:rStyle w:val="InternetLink"/>
                  <w:rFonts w:ascii="Times New Roman" w:hAnsi="Times New Roman"/>
                  <w:sz w:val="20"/>
                </w:rPr>
                <w:t>June  10, 2025</w:t>
              </w:r>
            </w:hyperlink>
            <w:r>
              <w:rPr>
                <w:rFonts w:ascii="Times New Roman" w:hAnsi="Times New Roman"/>
                <w:sz w:val="20"/>
              </w:rPr>
              <w:t xml:space="preserve">, </w:t>
            </w:r>
            <w:hyperlink r:id="rId11">
              <w:r>
                <w:rPr>
                  <w:rStyle w:val="InternetLink"/>
                  <w:rFonts w:ascii="Times New Roman" w:hAnsi="Times New Roman"/>
                  <w:sz w:val="20"/>
                </w:rPr>
                <w:t>June  10, 2025</w:t>
              </w:r>
            </w:hyperlink>
            <w:r>
              <w:rPr>
                <w:rFonts w:ascii="Times New Roman" w:hAnsi="Times New Roman"/>
                <w:sz w:val="20"/>
              </w:rPr>
              <w:t xml:space="preserve">, </w:t>
            </w:r>
            <w:hyperlink r:id="rId12">
              <w:r>
                <w:rPr>
                  <w:rStyle w:val="InternetLink"/>
                  <w:rFonts w:ascii="Times New Roman" w:hAnsi="Times New Roman"/>
                  <w:sz w:val="20"/>
                </w:rPr>
                <w:t>June  13, 2025</w:t>
              </w:r>
            </w:hyperlink>
            <w:r>
              <w:rPr>
                <w:rFonts w:ascii="Times New Roman" w:hAnsi="Times New Roman"/>
                <w:sz w:val="20"/>
              </w:rPr>
              <w:t xml:space="preserve"> and </w:t>
            </w:r>
            <w:hyperlink r:id="rId13">
              <w:r>
                <w:rPr>
                  <w:rStyle w:val="InternetLink"/>
                  <w:rFonts w:ascii="Times New Roman" w:hAnsi="Times New Roman"/>
                  <w:sz w:val="20"/>
                </w:rPr>
                <w:t>June 20, 2025</w:t>
              </w:r>
            </w:hyperlink>
            <w:r>
              <w:rPr>
                <w:rFonts w:ascii="Times New Roman" w:hAnsi="Times New Roman"/>
                <w:sz w:val="20"/>
              </w:rPr>
              <w:t xml:space="preserve"> and our Current Report on Form  8-K/A filed with the Commission on </w:t>
            </w:r>
            <w:hyperlink r:id="rId14">
              <w:r>
                <w:rPr>
                  <w:rStyle w:val="InternetLink"/>
                  <w:rFonts w:ascii="Times New Roman" w:hAnsi="Times New Roman"/>
                  <w:sz w:val="20"/>
                </w:rPr>
                <w:t>March 20,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the Registration Statement on </w:t>
            </w:r>
            <w:hyperlink r:id="rId15">
              <w:r>
                <w:rPr>
                  <w:rStyle w:val="InternetLink"/>
                  <w:rFonts w:ascii="Times New Roman" w:hAnsi="Times New Roman"/>
                  <w:sz w:val="20"/>
                </w:rPr>
                <w:t>Form 8-A</w:t>
              </w:r>
            </w:hyperlink>
            <w:r>
              <w:rPr>
                <w:rFonts w:ascii="Times New Roman" w:hAnsi="Times New Roman"/>
                <w:sz w:val="20"/>
              </w:rPr>
              <w:t xml:space="preserve"> relating thereto, filed on October 15,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62828025013959/bakkt-20241231.htm" TargetMode="External"/><Relationship Id="rId4" Type="http://schemas.openxmlformats.org/officeDocument/2006/relationships/hyperlink" Target="http://www.sec.gov/Archives/edgar/data/../../../ix?doc=/Archives/edgar/data/1820302/000162828025024743/bakkt-20250331.htm" TargetMode="External"/><Relationship Id="rId5" Type="http://schemas.openxmlformats.org/officeDocument/2006/relationships/hyperlink" Target="http://www.sec.gov/Archives/edgar/data/../../../ix?doc=/Archives/edgar/data/1820302/000162828025020274/bakkt-20250428.htm" TargetMode="External"/><Relationship Id="rId6" Type="http://schemas.openxmlformats.org/officeDocument/2006/relationships/hyperlink" Target="http://www.sec.gov/Archives/edgar/data/../../../ix?doc=/Archives/edgar/data/1820302/000162828025013121/bakkt-20250317.htm" TargetMode="External"/><Relationship Id="rId7" Type="http://schemas.openxmlformats.org/officeDocument/2006/relationships/hyperlink" Target="http://www.sec.gov/Archives/edgar/data/../../../ix?doc=/Archives/edgar/data/1820302/000162828025013900/bakkt-20250319.htm" TargetMode="External"/><Relationship Id="rId8" Type="http://schemas.openxmlformats.org/officeDocument/2006/relationships/hyperlink" Target="http://www.sec.gov/Archives/edgar/data/../../../ix?doc=/Archives/edgar/data/1820302/000162828025015682/bakkt-20250327.htm" TargetMode="External"/><Relationship Id="rId9" Type="http://schemas.openxmlformats.org/officeDocument/2006/relationships/hyperlink" Target="http://www.sec.gov/Archives/edgar/data/../../../ix?doc=/Archives/edgar/data/1820302/000162828025018854/bakkt-20250421.htm" TargetMode="External"/><Relationship Id="rId10" Type="http://schemas.openxmlformats.org/officeDocument/2006/relationships/hyperlink" Target="http://www.sec.gov/Archives/edgar/data/../../../ix?doc=/Archives/edgar/data/1820302/000119312525138191/d76438d8k.htm" TargetMode="External"/><Relationship Id="rId11" Type="http://schemas.openxmlformats.org/officeDocument/2006/relationships/hyperlink" Target="http://www.sec.gov/Archives/edgar/data/../../../ix?doc=/Archives/edgar/data/1820302/000162828025030475/bakkt-20250610.htm" TargetMode="External"/><Relationship Id="rId12" Type="http://schemas.openxmlformats.org/officeDocument/2006/relationships/hyperlink" Target="http://www.sec.gov/Archives/edgar/data/../../../ix?doc=/Archives/edgar/data/1820302/000162828025031314/bakkt-20250609.htm" TargetMode="External"/><Relationship Id="rId13" Type="http://schemas.openxmlformats.org/officeDocument/2006/relationships/hyperlink" Target="http://www.sec.gov/Archives/edgar/data/../../../ix?doc=/Archives/edgar/data/1820302/000119312525142918/d80998d8k.htm" TargetMode="External"/><Relationship Id="rId14" Type="http://schemas.openxmlformats.org/officeDocument/2006/relationships/hyperlink" Target="http://www.sec.gov/Archives/edgar/data/../../../ix?doc=/Archives/edgar/data/1820302/000162828025013995/bakkt-20250319.htm" TargetMode="External"/><Relationship Id="rId15" Type="http://schemas.openxmlformats.org/officeDocument/2006/relationships/hyperlink" Target="http://www.sec.gov/Archives/edgar/data/1820302/000119312521299620/d211377d8a12b.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10594</Words>
  <Characters>55223</Characters>
  <CharactersWithSpaces>65801</CharactersWithSpaces>
  <Paragraphs>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