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8039d1512g.htm"/>
      <w:bookmarkStart w:id="1" w:name="ksd38039d1512g"/>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CERTIFICATION AND NOTICE OF TERMINATION OF REGISTRATION </w:t>
      </w:r>
    </w:p>
    <w:p>
      <w:pPr>
        <w:pStyle w:val="TextBody"/>
        <w:bidi w:val="0"/>
        <w:spacing w:before="0" w:after="0"/>
        <w:jc w:val="center"/>
        <w:rPr>
          <w:rFonts w:ascii="Times New Roman" w:hAnsi="Times New Roman"/>
          <w:b/>
          <w:sz w:val="24"/>
        </w:rPr>
      </w:pPr>
      <w:r>
        <w:rPr>
          <w:rFonts w:ascii="Times New Roman" w:hAnsi="Times New Roman"/>
          <w:b/>
          <w:sz w:val="24"/>
        </w:rPr>
        <w:t xml:space="preserve">UNDER SECTION 12(g) 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OR SUSPENSION OF DUTY TO FILE REPORTS UNDER SECTIONS 13 AND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001-39544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Bakkt Intermediate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One Liberty Plaza, One Liberty St., Ste. 305-306,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10006 </w:t>
      </w:r>
    </w:p>
    <w:p>
      <w:pPr>
        <w:pStyle w:val="TextBody"/>
        <w:bidi w:val="0"/>
        <w:spacing w:before="0" w:after="0"/>
        <w:jc w:val="center"/>
        <w:rPr>
          <w:rFonts w:ascii="Times New Roman" w:hAnsi="Times New Roman"/>
          <w:b/>
          <w:sz w:val="20"/>
        </w:rPr>
      </w:pPr>
      <w:r>
        <w:rPr>
          <w:rFonts w:ascii="Times New Roman" w:hAnsi="Times New Roman"/>
          <w:b/>
          <w:sz w:val="20"/>
        </w:rPr>
        <w:t xml:space="preserve">(678) 534-5849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registrant’s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Class A Common Stock, par value $0.0001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Class A Common Stock*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each class of securities covered by this Form) </w:t>
      </w:r>
    </w:p>
    <w:p>
      <w:pPr>
        <w:pStyle w:val="TextBody"/>
        <w:bidi w:val="0"/>
        <w:spacing w:before="24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(Titles of all other classes of securities for which a duty to file reports under section 13(a) or 15(d) remains)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Please place an X in the box(es) to designate the appropriate rule provision(s) relied upon to terminate or suspend the duty to file reports: </w:t>
      </w:r>
    </w:p>
    <w:p>
      <w:pPr>
        <w:pStyle w:val="TextBody"/>
        <w:bidi w:val="0"/>
        <w:spacing w:before="0" w:after="0"/>
        <w:jc w:val="left"/>
        <w:rPr/>
      </w:pPr>
      <w:r>
        <w:rPr/>
        <w:t> </w:t>
      </w:r>
    </w:p>
    <w:tbl>
      <w:tblPr>
        <w:tblW w:w="1000" w:type="pct"/>
        <w:jc w:val="center"/>
        <w:tblInd w:w="0" w:type="dxa"/>
        <w:tblLayout w:type="fixed"/>
        <w:tblCellMar>
          <w:top w:w="0" w:type="dxa"/>
          <w:left w:w="0" w:type="dxa"/>
          <w:bottom w:w="0" w:type="dxa"/>
          <w:right w:w="0" w:type="dxa"/>
        </w:tblCellMar>
      </w:tblPr>
      <w:tblGrid>
        <w:gridCol w:w="1713"/>
        <w:gridCol w:w="60"/>
        <w:gridCol w:w="268"/>
      </w:tblGrid>
      <w:tr>
        <w:trPr/>
        <w:tc>
          <w:tcPr>
            <w:tcW w:w="17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Rule 12g-4(a)(1)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w:t>
            </w:r>
          </w:p>
        </w:tc>
      </w:tr>
      <w:tr>
        <w:trPr/>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Rule 12g-4(a)(2)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w:t>
            </w:r>
          </w:p>
        </w:tc>
      </w:tr>
      <w:tr>
        <w:trPr/>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Rule 12h-3(b)(1)(i)</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w:t>
            </w:r>
          </w:p>
        </w:tc>
      </w:tr>
      <w:tr>
        <w:trPr/>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Rule 12h-3(b)(1)(ii)</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w:t>
            </w:r>
          </w:p>
        </w:tc>
      </w:tr>
      <w:tr>
        <w:trPr/>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Rule 15d-6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w:t>
            </w:r>
          </w:p>
        </w:tc>
      </w:tr>
      <w:tr>
        <w:trPr/>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Rule 15d-22(b)</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Approximate number of holders of record as of the certification or notice date: </w:t>
      </w:r>
    </w:p>
    <w:p>
      <w:pPr>
        <w:pStyle w:val="TextBody"/>
        <w:bidi w:val="0"/>
        <w:spacing w:before="240" w:after="0"/>
        <w:jc w:val="left"/>
        <w:rPr>
          <w:rFonts w:ascii="Times New Roman" w:hAnsi="Times New Roman"/>
          <w:sz w:val="20"/>
        </w:rPr>
      </w:pPr>
      <w:r>
        <w:rPr>
          <w:rFonts w:ascii="Times New Roman" w:hAnsi="Times New Roman"/>
          <w:sz w:val="20"/>
        </w:rPr>
        <w:t xml:space="preserve">Class A Common Stock, par value $0.0001 per share: One* </w:t>
      </w:r>
    </w:p>
    <w:p>
      <w:pPr>
        <w:pStyle w:val="TextBody"/>
        <w:bidi w:val="0"/>
        <w:spacing w:before="0" w:after="0"/>
        <w:jc w:val="left"/>
        <w:rPr>
          <w:rFonts w:ascii="Times New Roman" w:hAnsi="Times New Roman"/>
          <w:sz w:val="20"/>
        </w:rPr>
      </w:pPr>
      <w:r>
        <w:rPr>
          <w:rFonts w:ascii="Times New Roman" w:hAnsi="Times New Roman"/>
          <w:sz w:val="20"/>
        </w:rPr>
        <w:t xml:space="preserve">Warrants to purchase Class A Common Stock: Zero*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3, 2025, Bakkt Intermediate Holdings, Inc. (formerly Bakkt Holdings, Inc.), a Delaware corporation (“Old Bakkt”), completed a holding company reorganization (the “Reorganization”) in accordance with Section 251(g) of the General Corporation Law of Delaware and the Agreement and Plan of Merger (the “Merger Agreement”), dated as of November 3, 2025, by and among Old Bakkt, Bakkt Holdings, Inc. (formerly Bakkt NewCo Holdings, Inc.), a Delaware corporation (“New Bakkt”), and Bakkt Merger Sub 1 Inc., a Delaware corporation and a wholly owned subsidiary of New Bakkt (“Merger Sub 1”), pursuant to which Merger Sub 1 merged with and into Old Bakkt (the “Merger”), with Old Bakkt surviving as a wholly owned subsidiary of New Bakkt. New Bakkt changed its name to “Bakkt Holdings, Inc.” and Old Bakkt changed its name to “Bakkt Intermediate Holdings, Inc.” In connection with the Reorganization, all of the outstanding capital stock of Old Bakkt (including any stock options, warrants, or other rights to acquire the same) was converted automatically, on a share-for-share basis, into equivalent corresponding capital stock of New Bakkt (and rights to acquire the same), having the same designations, rights, powers and preferences and the qualifications, limitations and restrictions as the corresponding capital stock being converted. The Merger constitutes a succession for purposes of Rule 12g-3(a) of the Securities Exchange Act of 1934, as amended (the “Exchange Act”). This Form 15 relates solely to the reporting obligations of Old Bakkt and does not affect the reporting obligations of New Bakkt, which is the successor registrant to Old Bakkt under the Exchange Act.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Bakkt Holdings, Inc. (formerly Bakkt NewCo Holdings, Inc.), as successor registrant to Bakkt Intermediate Holdings, Inc. (formerly Bakkt Holdings, Inc.), has caused this certification/notice to be signed on its behalf by the undersigned duly authorized person. </w:t>
      </w:r>
    </w:p>
    <w:p>
      <w:pPr>
        <w:pStyle w:val="TextBody"/>
        <w:bidi w:val="0"/>
        <w:spacing w:before="240" w:after="0"/>
        <w:jc w:val="left"/>
        <w:rPr>
          <w:rFonts w:ascii="Times New Roman" w:hAnsi="Times New Roman"/>
          <w:sz w:val="20"/>
        </w:rPr>
      </w:pPr>
      <w:r>
        <w:rPr>
          <w:rFonts w:ascii="Times New Roman" w:hAnsi="Times New Roman"/>
          <w:sz w:val="20"/>
        </w:rPr>
        <w:t xml:space="preserve">Dated: November 17,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Bakkt Holdings, Inc. (in its capacity as successor registrant to Bakkt Intermediate Holdings,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4082" w:type="dxa"/>
            <w:gridSpan w:val="3"/>
            <w:tcBorders/>
          </w:tcPr>
          <w:p>
            <w:pPr>
              <w:pStyle w:val="TableContents"/>
              <w:bidi w:val="0"/>
              <w:spacing w:before="0" w:after="283"/>
              <w:jc w:val="left"/>
              <w:rPr/>
            </w:pPr>
            <w:r>
              <w:rPr/>
              <w:t>Name: Marc D’Annunzio</w:t>
            </w:r>
          </w:p>
        </w:tc>
      </w:tr>
      <w:tr>
        <w:trPr/>
        <w:tc>
          <w:tcPr>
            <w:tcW w:w="4082" w:type="dxa"/>
            <w:gridSpan w:val="3"/>
            <w:tcBorders/>
          </w:tcPr>
          <w:p>
            <w:pPr>
              <w:pStyle w:val="TableContents"/>
              <w:bidi w:val="0"/>
              <w:spacing w:before="0" w:after="283"/>
              <w:jc w:val="left"/>
              <w:rPr/>
            </w:pPr>
            <w:r>
              <w:rPr/>
              <w:t>Title: General Counsel and 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556</Words>
  <Characters>3041</Characters>
  <CharactersWithSpaces>3606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15-12G</dc:title>
</cp:coreProperties>
</file>