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February 7, 2024</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333-271362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1" w:lineRule="exact"/>
        <w:rPr>
          <w:sz w:val="24"/>
          <w:szCs w:val="24"/>
          <w:color w:val="auto"/>
        </w:rPr>
      </w:pPr>
    </w:p>
    <w:tbl>
      <w:tblPr>
        <w:tblLayout w:type="fixed"/>
        <w:tblInd w:w="2080" w:type="dxa"/>
        <w:tblCellMar>
          <w:top w:w="0" w:type="dxa"/>
          <w:left w:w="0" w:type="dxa"/>
          <w:bottom w:w="0" w:type="dxa"/>
          <w:right w:w="0" w:type="dxa"/>
        </w:tblCellMar>
      </w:tblPr>
      <w:tr>
        <w:trPr>
          <w:trHeight w:val="297"/>
        </w:trPr>
        <w:tc>
          <w:tcPr>
            <w:tcW w:w="1700" w:type="dxa"/>
            <w:vAlign w:val="bottom"/>
          </w:tcPr>
          <w:p>
            <w:pPr>
              <w:spacing w:after="0"/>
              <w:rPr>
                <w:sz w:val="24"/>
                <w:szCs w:val="24"/>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25"/>
                <w:szCs w:val="25"/>
                <w:b w:val="1"/>
                <w:bCs w:val="1"/>
                <w:color w:val="auto"/>
              </w:rPr>
              <w:t>AMENDMENT NO. 1 TO</w:t>
            </w:r>
          </w:p>
        </w:tc>
      </w:tr>
      <w:tr>
        <w:trPr>
          <w:trHeight w:val="297"/>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center"/>
              <w:ind w:right="2217"/>
              <w:spacing w:after="0"/>
              <w:rPr>
                <w:sz w:val="20"/>
                <w:szCs w:val="20"/>
                <w:color w:val="auto"/>
              </w:rPr>
            </w:pPr>
            <w:r>
              <w:rPr>
                <w:rFonts w:ascii="Times New Roman" w:cs="Times New Roman" w:eastAsia="Times New Roman" w:hAnsi="Times New Roman"/>
                <w:sz w:val="25"/>
                <w:szCs w:val="25"/>
                <w:b w:val="1"/>
                <w:bCs w:val="1"/>
                <w:color w:val="auto"/>
              </w:rPr>
              <w:t>FORM S-3</w:t>
            </w:r>
          </w:p>
        </w:tc>
      </w:tr>
      <w:tr>
        <w:trPr>
          <w:trHeight w:val="304"/>
        </w:trPr>
        <w:tc>
          <w:tcPr>
            <w:tcW w:w="1700" w:type="dxa"/>
            <w:vAlign w:val="bottom"/>
          </w:tcPr>
          <w:p>
            <w:pPr>
              <w:spacing w:after="0"/>
              <w:rPr>
                <w:sz w:val="24"/>
                <w:szCs w:val="24"/>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25"/>
                <w:szCs w:val="25"/>
                <w:b w:val="1"/>
                <w:bCs w:val="1"/>
                <w:color w:val="auto"/>
                <w:w w:val="98"/>
              </w:rPr>
              <w:t>REGISTRATION STATEMENT</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20" w:type="dxa"/>
            <w:vAlign w:val="bottom"/>
            <w:gridSpan w:val="2"/>
          </w:tcPr>
          <w:p>
            <w:pPr>
              <w:jc w:val="center"/>
              <w:ind w:right="2237"/>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r>
      <w:tr>
        <w:trPr>
          <w:trHeight w:val="238"/>
        </w:trPr>
        <w:tc>
          <w:tcPr>
            <w:tcW w:w="1700" w:type="dxa"/>
            <w:vAlign w:val="bottom"/>
          </w:tcPr>
          <w:p>
            <w:pPr>
              <w:spacing w:after="0"/>
              <w:rPr>
                <w:sz w:val="20"/>
                <w:szCs w:val="20"/>
                <w:color w:val="auto"/>
              </w:rPr>
            </w:pPr>
          </w:p>
        </w:tc>
        <w:tc>
          <w:tcPr>
            <w:tcW w:w="5300" w:type="dxa"/>
            <w:vAlign w:val="bottom"/>
            <w:gridSpan w:val="3"/>
          </w:tcPr>
          <w:p>
            <w:pPr>
              <w:jc w:val="center"/>
              <w:ind w:right="1557"/>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r>
      <w:tr>
        <w:trPr>
          <w:trHeight w:val="148"/>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431"/>
        </w:trPr>
        <w:tc>
          <w:tcPr>
            <w:tcW w:w="1700" w:type="dxa"/>
            <w:vAlign w:val="bottom"/>
          </w:tcPr>
          <w:p>
            <w:pPr>
              <w:spacing w:after="0"/>
              <w:rPr>
                <w:sz w:val="24"/>
                <w:szCs w:val="24"/>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36"/>
                <w:szCs w:val="36"/>
                <w:b w:val="1"/>
                <w:bCs w:val="1"/>
                <w:color w:val="auto"/>
                <w:w w:val="99"/>
              </w:rPr>
              <w:t>Bakkt Holdings, Inc.</w:t>
            </w:r>
          </w:p>
        </w:tc>
      </w:tr>
      <w:tr>
        <w:trPr>
          <w:trHeight w:val="202"/>
        </w:trPr>
        <w:tc>
          <w:tcPr>
            <w:tcW w:w="1700" w:type="dxa"/>
            <w:vAlign w:val="bottom"/>
          </w:tcPr>
          <w:p>
            <w:pPr>
              <w:spacing w:after="0"/>
              <w:rPr>
                <w:sz w:val="17"/>
                <w:szCs w:val="17"/>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130"/>
        </w:trPr>
        <w:tc>
          <w:tcPr>
            <w:tcW w:w="1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r>
      <w:tr>
        <w:trPr>
          <w:trHeight w:val="216"/>
        </w:trPr>
        <w:tc>
          <w:tcPr>
            <w:tcW w:w="1700" w:type="dxa"/>
            <w:vAlign w:val="bottom"/>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5300" w:type="dxa"/>
            <w:vAlign w:val="bottom"/>
            <w:gridSpan w:val="3"/>
          </w:tcPr>
          <w:p>
            <w:pPr>
              <w:jc w:val="center"/>
              <w:ind w:left="3928"/>
              <w:spacing w:after="0"/>
              <w:rPr>
                <w:sz w:val="20"/>
                <w:szCs w:val="20"/>
                <w:color w:val="auto"/>
              </w:rPr>
            </w:pPr>
            <w:r>
              <w:rPr>
                <w:rFonts w:ascii="Times New Roman" w:cs="Times New Roman" w:eastAsia="Times New Roman" w:hAnsi="Times New Roman"/>
                <w:sz w:val="15"/>
                <w:szCs w:val="15"/>
                <w:b w:val="1"/>
                <w:bCs w:val="1"/>
                <w:color w:val="auto"/>
              </w:rPr>
              <w:t>98-1550750</w:t>
            </w:r>
          </w:p>
        </w:tc>
      </w:tr>
      <w:tr>
        <w:trPr>
          <w:trHeight w:val="135"/>
        </w:trPr>
        <w:tc>
          <w:tcPr>
            <w:tcW w:w="170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97"/>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21" w:lineRule="auto"/>
        <w:rPr>
          <w:sz w:val="20"/>
          <w:szCs w:val="20"/>
          <w:color w:val="auto"/>
        </w:rPr>
      </w:pPr>
      <w:r>
        <w:rPr>
          <w:rFonts w:ascii="Times New Roman" w:cs="Times New Roman" w:eastAsia="Times New Roman" w:hAnsi="Times New Roman"/>
          <w:sz w:val="15"/>
          <w:szCs w:val="15"/>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Gavin Michael</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22" w:lineRule="auto"/>
        <w:rPr>
          <w:sz w:val="20"/>
          <w:szCs w:val="20"/>
          <w:color w:val="auto"/>
        </w:rPr>
      </w:pPr>
      <w:r>
        <w:rPr>
          <w:rFonts w:ascii="Times New Roman" w:cs="Times New Roman" w:eastAsia="Times New Roman" w:hAnsi="Times New Roman"/>
          <w:sz w:val="15"/>
          <w:szCs w:val="15"/>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1" w:lineRule="exact"/>
        <w:rPr>
          <w:sz w:val="24"/>
          <w:szCs w:val="24"/>
          <w:color w:val="auto"/>
        </w:rPr>
      </w:pPr>
    </w:p>
    <w:tbl>
      <w:tblPr>
        <w:tblLayout w:type="fixed"/>
        <w:tblInd w:w="176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4940" w:type="dxa"/>
            <w:vAlign w:val="bottom"/>
          </w:tcPr>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J. Matthew Lyons</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Marc D’Annunzio</w:t>
            </w: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D. March</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General Counsel</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Wilson Sonsini Goodrich &amp; Rosati,</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10000 Avalon Boulevard, Suite 1000</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Professional Corporation</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Alpharetta, Georgia 30009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900 S. Capital of Texas Highway</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(678) 534-5849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Las Cimas IV, 5th Floor</w:t>
            </w:r>
          </w:p>
        </w:tc>
        <w:tc>
          <w:tcPr>
            <w:tcW w:w="4940" w:type="dxa"/>
            <w:vAlign w:val="bottom"/>
          </w:tcPr>
          <w:p>
            <w:pPr>
              <w:spacing w:after="0"/>
              <w:rPr>
                <w:sz w:val="14"/>
                <w:szCs w:val="14"/>
                <w:color w:val="auto"/>
              </w:rPr>
            </w:pP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TX 78746</w:t>
            </w:r>
          </w:p>
        </w:tc>
        <w:tc>
          <w:tcPr>
            <w:tcW w:w="4940" w:type="dxa"/>
            <w:vAlign w:val="bottom"/>
          </w:tcPr>
          <w:p>
            <w:pPr>
              <w:spacing w:after="0"/>
              <w:rPr>
                <w:sz w:val="14"/>
                <w:szCs w:val="14"/>
                <w:color w:val="auto"/>
              </w:rPr>
            </w:pPr>
          </w:p>
        </w:tc>
      </w:tr>
      <w:tr>
        <w:trPr>
          <w:trHeight w:val="202"/>
        </w:trPr>
        <w:tc>
          <w:tcPr>
            <w:tcW w:w="292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(512) 338-5400</w:t>
            </w:r>
          </w:p>
        </w:tc>
        <w:tc>
          <w:tcPr>
            <w:tcW w:w="49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From time to time after the effective date of this registration statement.</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4"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82" w:lineRule="exact"/>
        <w:rPr>
          <w:sz w:val="24"/>
          <w:szCs w:val="24"/>
          <w:color w:val="auto"/>
        </w:rPr>
      </w:pPr>
    </w:p>
    <w:p>
      <w:pPr>
        <w:ind w:left="120" w:right="100"/>
        <w:spacing w:after="0" w:line="191"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40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160"/>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36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58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0" w:type="dxa"/>
        <w:tblCellMar>
          <w:top w:w="0" w:type="dxa"/>
          <w:left w:w="0" w:type="dxa"/>
          <w:bottom w:w="0" w:type="dxa"/>
          <w:right w:w="0" w:type="dxa"/>
        </w:tblCellMar>
      </w:tblPr>
      <w:tr>
        <w:trPr>
          <w:trHeight w:val="198"/>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4"/>
        </w:trPr>
        <w:tc>
          <w:tcPr>
            <w:tcW w:w="1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2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Emerging growth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bl>
    <w:p>
      <w:pPr>
        <w:ind w:left="120" w:right="400"/>
        <w:spacing w:after="0" w:line="19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84455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3" w:lineRule="exact"/>
        <w:rPr>
          <w:sz w:val="24"/>
          <w:szCs w:val="24"/>
          <w:color w:val="auto"/>
        </w:rPr>
      </w:pPr>
    </w:p>
    <w:p>
      <w:pPr>
        <w:jc w:val="both"/>
        <w:ind w:left="120" w:right="34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7,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173990</wp:posOffset>
            </wp:positionV>
            <wp:extent cx="89979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97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7,140,808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by us of up to 7,140,808 shares of Class A common stock, par value $0.0001 per share (“Class A Common Stock”), of Bakkt Holdings, Inc. (“we,” “us,” “our,” the “Company” or “Bakkt”) issuable upon the exercise of an aggregate of 7,140,808 warrants (the “Warrants”), each of which is exercisable at a price of $11.50 per share, issued as part of units in our initial public offering.</w:t>
      </w:r>
    </w:p>
    <w:p>
      <w:pPr>
        <w:spacing w:after="0" w:line="176"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We will receive proceeds from the exercise of the Warrants if the Warrants are exercised for cash. However, the exercise price of the Warrants is $11.50 per share, which exceeds $1.29, the closing price of our Class A Common Stock on the New York Stock Exchange (the “NYSE”) on February 5, 2024. The likelihood that warrant holders will exercise the Associated Warrants and any cash proceeds that we would receive is dependent upon the market price of our Class A Common Stock. If the market price for our Class A Common Stock is less than $11.50 per share, we believe warrant holders will be unlikely to exercise their Warrants. For more information, see the section titled “Use of Proceeds” appearing elsewhere in this prospectus.</w:t>
      </w:r>
    </w:p>
    <w:p>
      <w:pPr>
        <w:spacing w:after="0" w:line="16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and our public warrants to purchase Class A Common Stock are listed on NYSE under the symbols “BKKT” and “BKKT WS,” respectively. On February 5, 2024, the last reported sale price for our Class A Common Stock was $1.29 per share.</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6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5"/>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580" w:type="dxa"/>
            <w:vAlign w:val="bottom"/>
            <w:tcBorders>
              <w:top w:val="single" w:sz="8" w:color="0000EE"/>
            </w:tcBorders>
            <w:gridSpan w:val="4"/>
          </w:tcPr>
          <w:p>
            <w:pPr>
              <w:spacing w:after="0"/>
              <w:rPr>
                <w:sz w:val="17"/>
                <w:szCs w:val="17"/>
                <w:color w:val="auto"/>
              </w:rPr>
            </w:pPr>
          </w:p>
        </w:tc>
        <w:tc>
          <w:tcPr>
            <w:tcW w:w="218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This prospectus relates to the issuance by us of shares of Class A Common Stock issuable upon the exercise of the Warrants.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or incorporated by reference, in this prospectus, any applicable prospectus supplement or in any related free writing prospectus. We do not take any responsibility for, 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w:t>
      </w:r>
    </w:p>
    <w:p>
      <w:pPr>
        <w:spacing w:after="0" w:line="194"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1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27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76"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7,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5"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320" w:top="455" w:right="7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072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07276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3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1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5"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outstanding prior to</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95,418,117 shares of Class A Common Stock as of February 1, 2024.</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exercise of the Warrants</w:t>
            </w:r>
          </w:p>
        </w:tc>
        <w:tc>
          <w:tcPr>
            <w:tcW w:w="6860" w:type="dxa"/>
            <w:vAlign w:val="bottom"/>
            <w:tcBorders>
              <w:right w:val="single" w:sz="8" w:color="auto"/>
            </w:tcBorders>
          </w:tcPr>
          <w:p>
            <w:pPr>
              <w:spacing w:after="0"/>
              <w:rPr>
                <w:sz w:val="20"/>
                <w:szCs w:val="20"/>
                <w:color w:val="auto"/>
              </w:rPr>
            </w:pPr>
          </w:p>
        </w:tc>
      </w:tr>
      <w:tr>
        <w:trPr>
          <w:trHeight w:val="333"/>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our Class A Common Stock that may be</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7,140,808 shares</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issued upon exercise of the Warrants</w:t>
            </w:r>
          </w:p>
        </w:tc>
        <w:tc>
          <w:tcPr>
            <w:tcW w:w="6860" w:type="dxa"/>
            <w:vAlign w:val="bottom"/>
            <w:tcBorders>
              <w:right w:val="single" w:sz="8" w:color="auto"/>
            </w:tcBorders>
          </w:tcPr>
          <w:p>
            <w:pPr>
              <w:spacing w:after="0"/>
              <w:rPr>
                <w:sz w:val="20"/>
                <w:szCs w:val="20"/>
                <w:color w:val="auto"/>
              </w:rPr>
            </w:pPr>
          </w:p>
        </w:tc>
      </w:tr>
      <w:tr>
        <w:trPr>
          <w:trHeight w:val="333"/>
        </w:trPr>
        <w:tc>
          <w:tcPr>
            <w:tcW w:w="1102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 of our Class A Common Stock outstanding after 102,558,925 shares</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exercise of the Warrants</w:t>
            </w:r>
          </w:p>
        </w:tc>
        <w:tc>
          <w:tcPr>
            <w:tcW w:w="6860" w:type="dxa"/>
            <w:vAlign w:val="bottom"/>
            <w:tcBorders>
              <w:right w:val="single" w:sz="8" w:color="auto"/>
            </w:tcBorders>
          </w:tcPr>
          <w:p>
            <w:pPr>
              <w:spacing w:after="0"/>
              <w:rPr>
                <w:sz w:val="20"/>
                <w:szCs w:val="20"/>
                <w:color w:val="auto"/>
              </w:rPr>
            </w:pPr>
          </w:p>
        </w:tc>
      </w:tr>
      <w:tr>
        <w:trPr>
          <w:trHeight w:val="333"/>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will receive up to an aggregate of approximately $82.1 million, assuming the exercise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full of all of the Warrants for cash. However, the exercise price of the Warrants is $11.50</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 share, which exceeds $1.29, the closing price of our Class A common stock on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NYSE on February 5, 2024. The likelihood that warrant holders will exercise the Warrants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any cash proceeds that we would receive is dependent upon the market price of our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A Common Stock. If the market price for our Class A Common Stock is less than</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$11.50 per share, we believe warrant holders will be unlikely to exercise their Warrants.</w:t>
            </w:r>
          </w:p>
        </w:tc>
      </w:tr>
      <w:tr>
        <w:trPr>
          <w:trHeight w:val="214"/>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expect to use any net proceeds from the exercise of the Warrants for general corporate</w:t>
            </w:r>
          </w:p>
        </w:tc>
      </w:tr>
      <w:tr>
        <w:trPr>
          <w:trHeight w:val="236"/>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purposes.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tc>
      </w:tr>
      <w:tr>
        <w:trPr>
          <w:trHeight w:val="31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or incorporated by reference in this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prospectus for a discussion of factors that you should consider carefully before deciding to</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 in our Class A Common Stock.</w:t>
            </w:r>
          </w:p>
        </w:tc>
      </w:tr>
      <w:tr>
        <w:trPr>
          <w:trHeight w:val="338"/>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NYSE Symbol</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“BKKT” for our Class A Common Stock.</w:t>
            </w:r>
          </w:p>
        </w:tc>
      </w:tr>
      <w:tr>
        <w:trPr>
          <w:trHeight w:val="172"/>
        </w:trPr>
        <w:tc>
          <w:tcPr>
            <w:tcW w:w="4160" w:type="dxa"/>
            <w:vAlign w:val="bottom"/>
            <w:tcBorders>
              <w:left w:val="single" w:sz="8" w:color="auto"/>
              <w:bottom w:val="single" w:sz="8" w:color="auto"/>
            </w:tcBorders>
          </w:tcPr>
          <w:p>
            <w:pPr>
              <w:spacing w:after="0"/>
              <w:rPr>
                <w:sz w:val="14"/>
                <w:szCs w:val="14"/>
                <w:color w:val="auto"/>
              </w:rPr>
            </w:pPr>
          </w:p>
        </w:tc>
        <w:tc>
          <w:tcPr>
            <w:tcW w:w="6860" w:type="dxa"/>
            <w:vAlign w:val="bottom"/>
            <w:tcBorders>
              <w:bottom w:val="single" w:sz="8" w:color="auto"/>
              <w:right w:val="single" w:sz="8" w:color="auto"/>
            </w:tcBorders>
          </w:tcPr>
          <w:p>
            <w:pPr>
              <w:spacing w:after="0"/>
              <w:rPr>
                <w:sz w:val="14"/>
                <w:szCs w:val="14"/>
                <w:color w:val="auto"/>
              </w:rPr>
            </w:pPr>
          </w:p>
        </w:tc>
      </w:tr>
      <w:tr>
        <w:trPr>
          <w:trHeight w:val="361"/>
        </w:trPr>
        <w:tc>
          <w:tcPr>
            <w:tcW w:w="4160" w:type="dxa"/>
            <w:vAlign w:val="bottom"/>
          </w:tcPr>
          <w:p>
            <w:pPr>
              <w:spacing w:after="0"/>
              <w:rPr>
                <w:sz w:val="24"/>
                <w:szCs w:val="24"/>
                <w:color w:val="auto"/>
              </w:rPr>
            </w:pPr>
          </w:p>
        </w:tc>
        <w:tc>
          <w:tcPr>
            <w:tcW w:w="68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consider carefully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r>
        <w:rPr>
          <w:rFonts w:ascii="Times New Roman" w:cs="Times New Roman" w:eastAsia="Times New Roman" w:hAnsi="Times New Roman"/>
          <w:sz w:val="18"/>
          <w:szCs w:val="18"/>
          <w:color w:val="auto"/>
        </w:rPr>
        <w:t>” in our Quarterly Reports on Form 10-Q filed subsequently to such Form 10-K that are incorporated herein by reference,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superseded from time to time by other reports we file with the SEC in the future, and all other information contained or incorporated by reference into this prospectus, as updated by our subsequent filings under the Securities and Exchange Act of 1934, as amended (the “Exchange Act”), and the risk factors and other information contained in any applicable prospectus supplement and any applicable free writing prospectus. The risks described in these documents are not the only ones we face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320" w:top="455"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receive up to approximately $82.1 million, assuming the exercise in full of all of the Warrants for cash. However, the exercise price of the Warrants is $11.50 per share, which exceeds $1.29, the closing price of our Class A Common Stock on the NYSE on February 5, 2024.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Associated Warrants. We expect to use any net proceeds from the exercise of the Warrants for general corporate purposes.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not pay any brokers’ or underwriters’ discounts and commissions in connection with the registration and sale of the Class A Common Stock covered by this prospectus. We will bear all other costs, fees and expenses incurred in effecting the registration of such securities covered by this prospectus, including, without limitation, all registration and filing fees, NYSE listing fees, and fees of our counsel and our independent registered public accountants.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4.7 to our Annual Report on Form 10-K for the fiscal year ended December 31, 2022, filed with the SEC on March 24, 2023.</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40"/>
          </w:cols>
          <w:pgMar w:left="320" w:top="455" w:right="9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by us of up to 7,140,808 shares of Class A Common Stock issuable upon the exercise of an aggregate of 7,140,808 Warrants, each of which is exercisable at a price of $11.50 per share.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$82.1 million assuming the exercise in full of all of the Warrants for cash.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Warrants. We will not pay any brokers’ or underwriters’ discounts and commissions in connection with the registration and sale of the Class A Common Stock covered by this prospectus.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keep the registration statement of which this prospectus forms a part effective until the earlier of the issuance of all shares of Class A Common Stock pursuant to this prospectus and the expiration of the Warrants.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fees and expenses incurred in effecting the registration of such securities covered by this prospectus, including, without limitation, all registration and filing fees, NYSE listing fees, and fees of our counsel and our independent registered public accountants.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currently listed on the NYSE under the symbols “BKKT.”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38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that are furnished rather than filed), until the offering of the securities under the registration statement of which this prospectus forms a part is terminated or completed:</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42">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41">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000000"/>
        </w:rPr>
      </w:pPr>
      <w:hyperlink r:id="rId43">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August 10, 2023</w:t>
        </w:r>
      </w:hyperlink>
      <w:hyperlink r:id="rId43">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45">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 on </w:t>
      </w:r>
      <w:hyperlink r:id="rId46">
        <w:r>
          <w:rPr>
            <w:rFonts w:ascii="Times New Roman" w:cs="Times New Roman" w:eastAsia="Times New Roman" w:hAnsi="Times New Roman"/>
            <w:sz w:val="18"/>
            <w:szCs w:val="18"/>
            <w:u w:val="single" w:color="auto"/>
            <w:color w:val="0000EE"/>
          </w:rPr>
          <w:t>Form 10-Q/A</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filed with the SEC on February 7, 2024;</w:t>
      </w:r>
    </w:p>
    <w:p>
      <w:pPr>
        <w:spacing w:after="0" w:line="81" w:lineRule="exact"/>
        <w:rPr>
          <w:rFonts w:ascii="Times New Roman" w:cs="Times New Roman" w:eastAsia="Times New Roman" w:hAnsi="Times New Roman"/>
          <w:sz w:val="18"/>
          <w:szCs w:val="18"/>
          <w:color w:val="000000"/>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0">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51">
        <w:r>
          <w:rPr>
            <w:rFonts w:ascii="Times New Roman" w:cs="Times New Roman" w:eastAsia="Times New Roman" w:hAnsi="Times New Roman"/>
            <w:sz w:val="18"/>
            <w:szCs w:val="18"/>
            <w:u w:val="single" w:color="auto"/>
            <w:color w:val="0000EE"/>
          </w:rPr>
          <w:t>April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April 18, 2023</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53">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9"/>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9,049.55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7"/>
              </w:rPr>
              <w:t>50,000.00</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97"/>
              </w:rPr>
              <w:t>10,000.00</w:t>
            </w:r>
          </w:p>
        </w:tc>
      </w:tr>
      <w:tr>
        <w:trPr>
          <w:trHeight w:val="27"/>
        </w:trPr>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7"/>
              </w:rPr>
              <w:t>71,049.55</w:t>
            </w:r>
          </w:p>
        </w:tc>
      </w:tr>
      <w:tr>
        <w:trPr>
          <w:trHeight w:val="459"/>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(1)Previously paid.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7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20" w:right="240" w:hanging="1104"/>
        <w:spacing w:after="0" w:line="282" w:lineRule="auto"/>
        <w:tabs>
          <w:tab w:leader="none" w:pos="203" w:val="left"/>
        </w:tabs>
        <w:numPr>
          <w:ilvl w:val="0"/>
          <w:numId w:val="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2.1†</w:t>
      </w:r>
      <w:hyperlink r:id="rId56">
        <w:r>
          <w:rPr>
            <w:rFonts w:ascii="Times New Roman" w:cs="Times New Roman" w:eastAsia="Times New Roman" w:hAnsi="Times New Roman"/>
            <w:sz w:val="18"/>
            <w:szCs w:val="18"/>
            <w:u w:val="single" w:color="auto"/>
            <w:color w:val="0000EE"/>
          </w:rPr>
          <w:t>Agreement and Plan of Merger, dated January 11, 2021, by and among the Company, Merger Sub, and the Company (incorporated by</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reference to Exhibit 2.1 to the Company’s Form 8-K filed with the SEC on January 11, 2021).</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to Agreement and Plan of Merger, dated March 30, 2021 by and among the Company, Merger Sub, and the Company</w:t>
              </w:r>
            </w:hyperlink>
          </w:p>
        </w:tc>
      </w:tr>
      <w:tr>
        <w:trPr>
          <w:trHeight w:val="196"/>
        </w:trPr>
        <w:tc>
          <w:tcPr>
            <w:tcW w:w="110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 to Exhibit 2.1 to the Company’s Form 8-K filed with the SEC on March 31, 2021).</w:t>
              </w:r>
            </w:hyperlink>
          </w:p>
        </w:tc>
        <w:tc>
          <w:tcPr>
            <w:tcW w:w="1500" w:type="dxa"/>
            <w:vAlign w:val="bottom"/>
            <w:tcBorders>
              <w:top w:val="single" w:sz="8" w:color="0000EE"/>
            </w:tcBorders>
            <w:gridSpan w:val="3"/>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r>
      <w:tr>
        <w:trPr>
          <w:trHeight w:val="196"/>
        </w:trPr>
        <w:tc>
          <w:tcPr>
            <w:tcW w:w="11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50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r>
      <w:tr>
        <w:trPr>
          <w:trHeight w:val="196"/>
        </w:trPr>
        <w:tc>
          <w:tcPr>
            <w:tcW w:w="1100" w:type="dxa"/>
            <w:vAlign w:val="bottom"/>
          </w:tcPr>
          <w:p>
            <w:pPr>
              <w:spacing w:after="0"/>
              <w:rPr>
                <w:sz w:val="17"/>
                <w:szCs w:val="17"/>
                <w:color w:val="auto"/>
              </w:rPr>
            </w:pPr>
          </w:p>
        </w:tc>
        <w:tc>
          <w:tcPr>
            <w:tcW w:w="98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with the SEC on October 21, 2021).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8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By-Laws of the Company, as currently in effect (incorporated by reference to Exhibit 3.2 to the Company’s Form 8-K filed with the SEC</w:t>
              </w:r>
            </w:hyperlink>
          </w:p>
        </w:tc>
      </w:tr>
      <w:tr>
        <w:trPr>
          <w:trHeight w:val="196"/>
        </w:trPr>
        <w:tc>
          <w:tcPr>
            <w:tcW w:w="110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on October 21, 2021).</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Specimen Class A Common Stock Certificate of the Company (incorporated by reference to Exhibit 3.2 to the Company’s Form 8-K</w:t>
              </w:r>
            </w:hyperlink>
          </w:p>
        </w:tc>
      </w:tr>
      <w:tr>
        <w:trPr>
          <w:trHeight w:val="196"/>
        </w:trPr>
        <w:tc>
          <w:tcPr>
            <w:tcW w:w="1100" w:type="dxa"/>
            <w:vAlign w:val="bottom"/>
          </w:tcPr>
          <w:p>
            <w:pPr>
              <w:spacing w:after="0"/>
              <w:rPr>
                <w:sz w:val="17"/>
                <w:szCs w:val="17"/>
                <w:color w:val="auto"/>
              </w:rPr>
            </w:pPr>
          </w:p>
        </w:tc>
        <w:tc>
          <w:tcPr>
            <w:tcW w:w="96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filed with the SEC on October 21, 2021).</w:t>
              </w:r>
            </w:hyperlink>
          </w:p>
        </w:tc>
        <w:tc>
          <w:tcPr>
            <w:tcW w:w="2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Specimen Warrant Certificate of the Company (incorporated by reference to Exhibit 4.2 to the Company’s Form 8-K filed with the SEC</w:t>
              </w:r>
            </w:hyperlink>
          </w:p>
        </w:tc>
        <w:tc>
          <w:tcPr>
            <w:tcW w:w="8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on October 21, 2021).</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Warrant Agreement, dated September 22, 2020, by and between the Company and Continental Stock Transfer &amp; Trust Company, as</w:t>
              </w:r>
            </w:hyperlink>
          </w:p>
        </w:tc>
        <w:tc>
          <w:tcPr>
            <w:tcW w:w="32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warrant agent (incorporated by reference to Exhibit 4.1 of the Company’s Form 8-K filed with the SEC on September 28, 2020).</w:t>
              </w:r>
            </w:hyperlink>
          </w:p>
        </w:tc>
        <w:tc>
          <w:tcPr>
            <w:tcW w:w="600" w:type="dxa"/>
            <w:vAlign w:val="bottom"/>
            <w:gridSpan w:val="7"/>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8660" w:type="dxa"/>
            <w:vAlign w:val="bottom"/>
            <w:gridSpan w:val="12"/>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6"/>
                <w:szCs w:val="16"/>
                <w:color w:val="auto"/>
              </w:rPr>
            </w:pPr>
          </w:p>
        </w:tc>
        <w:tc>
          <w:tcPr>
            <w:tcW w:w="86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Third Amended and Restated Limited Liability Company Agreement, dated October 15, 2021, by and among Opco and the Opco Equity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Holders (incorporated by reference to Exhibit 4.3 to the Company’s Form 8-K filed with the SEC on October 21, 2021).</w:t>
              </w:r>
            </w:hyperlink>
          </w:p>
        </w:tc>
        <w:tc>
          <w:tcPr>
            <w:tcW w:w="1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9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Registration Rights Agreement, dated as of April 1, 2023, by and between Bakkt Holdings, Inc. and Apex Fintech Solutions Inc.</w:t>
              </w:r>
            </w:hyperlink>
          </w:p>
        </w:tc>
        <w:tc>
          <w:tcPr>
            <w:tcW w:w="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(incorporated by reference to Exhibit 4.1 to the Company’s Form 8-K filed with the SEC on April 3, 2023).</w:t>
              </w:r>
            </w:hyperlink>
          </w:p>
        </w:tc>
        <w:tc>
          <w:tcPr>
            <w:tcW w:w="2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Agreement, dated as of August 9, 2023, by and among Bakkt Holdings, Inc., Apex Fintech Solutions Inc. and PEAK6</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Investments LLC (incorporated by reference to Exhibit 4.2 to the Company’s Form 10-Q filed with the SEC on August 10, 2023).</w:t>
              </w:r>
            </w:hyperlink>
          </w:p>
        </w:tc>
        <w:tc>
          <w:tcPr>
            <w:tcW w:w="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the Company.</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VPC Impact Acquisition Holdings.</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77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RSM US LLP, independent auditors of Bakkt Crypto Solutions, LLC (f/k/a Apex Crypto LLC).</w:t>
            </w:r>
          </w:p>
        </w:tc>
        <w:tc>
          <w:tcPr>
            <w:tcW w:w="1220" w:type="dxa"/>
            <w:vAlign w:val="bottom"/>
            <w:tcBorders>
              <w:top w:val="single" w:sz="8" w:color="0000EE"/>
            </w:tcBorders>
            <w:gridSpan w:val="3"/>
          </w:tcPr>
          <w:p>
            <w:pPr>
              <w:spacing w:after="0"/>
              <w:rPr>
                <w:sz w:val="24"/>
                <w:szCs w:val="24"/>
                <w:color w:val="auto"/>
              </w:rPr>
            </w:pPr>
          </w:p>
        </w:tc>
        <w:tc>
          <w:tcPr>
            <w:tcW w:w="9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Consent of Wilson Sonsini Goodrich &amp; Rosati, Professional Corporation (included in Exhibit 5.1 hereto).</w:t>
              </w:r>
            </w:hyperlink>
          </w:p>
        </w:tc>
        <w:tc>
          <w:tcPr>
            <w:tcW w:w="2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Powers of Attorney (included on the signature page to this registration statement).</w:t>
              </w:r>
            </w:hyperlink>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9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Filing Fee Table.</w:t>
              </w:r>
            </w:hyperlink>
          </w:p>
        </w:tc>
        <w:tc>
          <w:tcPr>
            <w:tcW w:w="3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right="60" w:hanging="424"/>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20" w:firstLine="1428"/>
        <w:spacing w:after="0" w:line="255" w:lineRule="auto"/>
        <w:tabs>
          <w:tab w:leader="none" w:pos="181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86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8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76" w:lineRule="exact"/>
        <w:rPr>
          <w:sz w:val="20"/>
          <w:szCs w:val="20"/>
          <w:color w:val="auto"/>
        </w:rPr>
      </w:pPr>
    </w:p>
    <w:p>
      <w:pPr>
        <w:jc w:val="both"/>
        <w:ind w:left="120" w:right="80" w:firstLine="987"/>
        <w:spacing w:after="0" w:line="266"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3" w:lineRule="auto"/>
        <w:tabs>
          <w:tab w:leader="none" w:pos="181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98" w:lineRule="exact"/>
        <w:rPr>
          <w:rFonts w:ascii="Times New Roman" w:cs="Times New Roman" w:eastAsia="Times New Roman" w:hAnsi="Times New Roman"/>
          <w:sz w:val="18"/>
          <w:szCs w:val="18"/>
          <w:color w:val="auto"/>
        </w:rPr>
      </w:pPr>
    </w:p>
    <w:p>
      <w:pPr>
        <w:ind w:left="560" w:firstLine="948"/>
        <w:spacing w:after="0" w:line="282" w:lineRule="auto"/>
        <w:tabs>
          <w:tab w:leader="none" w:pos="17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260" w:firstLine="948"/>
        <w:spacing w:after="0" w:line="282" w:lineRule="auto"/>
        <w:tabs>
          <w:tab w:leader="none" w:pos="182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w:t>
      </w:r>
    </w:p>
    <w:p>
      <w:pPr>
        <w:spacing w:after="0" w:line="27"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color w:val="auto"/>
        </w:rPr>
        <w:t>Section 13(a) or Section 15(d) of the Exchange Act (and, where applicable, each filing of an employee benefit plan’s annual report pursuant to Section 15(d) of the Exchange Act) that is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left="120" w:firstLine="987"/>
        <w:spacing w:after="0" w:line="254" w:lineRule="auto"/>
        <w:tabs>
          <w:tab w:leader="none" w:pos="13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February 7,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7,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Gavin Michael</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Gavin Michael</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Goodroe</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 Clifton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De’Ana Dow</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Lumb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A. Main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Jill Simeone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Gordon Watson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pacing w:after="0" w:line="2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Gavin Michael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2657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Amendment No. 1 to the Form S-3 Registration Statement and related Prospectus of Bakkt Holdings, Inc. for the registration of 7,140,808 shares of Class A common stock issuable upon the exercise of 7,140,808 warrants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Amendment No. 1 to the Registration Statement to Form S-3 (File No. 333-271362)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the Registration Statement (No.333-271362)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678"/>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436C6125"/>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20">
    <w:nsid w:val="628C895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64"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41" Type="http://schemas.openxmlformats.org/officeDocument/2006/relationships/hyperlink" Target="http://www.sec.gov/ix?doc=/Archives/edgar/data/1820302/000182030223000016/bakkt-20221231.htm" TargetMode="External"/><Relationship Id="rId42" Type="http://schemas.openxmlformats.org/officeDocument/2006/relationships/hyperlink" Target="http://www.sec.gov/Archives/edgar/data/1820302/000182030223000043/bakkt-2023proxy41923.htm" TargetMode="External"/><Relationship Id="rId43" Type="http://schemas.openxmlformats.org/officeDocument/2006/relationships/hyperlink" Target="http://www.sec.gov/ix?doc=/Archives/edgar/data/1820302/000182030223000062/bakkt-20230331.htm" TargetMode="External"/><Relationship Id="rId44" Type="http://schemas.openxmlformats.org/officeDocument/2006/relationships/hyperlink" Target="http://www.sec.gov/ix?doc=/Archives/edgar/data/1820302/000182030223000080/bakkt-20230630.htm" TargetMode="External"/><Relationship Id="rId45" Type="http://schemas.openxmlformats.org/officeDocument/2006/relationships/hyperlink" Target="http://www.sec.gov/ix?doc=/Archives/edgar/data/1820302/000182030223000091/bakkt-20230930.htm" TargetMode="External"/><Relationship Id="rId46" Type="http://schemas.openxmlformats.org/officeDocument/2006/relationships/hyperlink" Target="http://www.sec.gov/ix?doc=/Archives/edgar/data/1820302/000182030224000011/bakkt-20230930.htm" TargetMode="External"/><Relationship Id="rId47" Type="http://schemas.openxmlformats.org/officeDocument/2006/relationships/hyperlink" Target="http://www.sec.gov/ix?doc=/Archives/edgar/data/1820302/000182030223000006/bakkt-20230309.htm" TargetMode="External"/><Relationship Id="rId48" Type="http://schemas.openxmlformats.org/officeDocument/2006/relationships/hyperlink" Target="http://www.sec.gov/ix?doc=/Archives/edgar/data/1820302/000119312523089016/d482123d8k.htm" TargetMode="External"/><Relationship Id="rId49" Type="http://schemas.openxmlformats.org/officeDocument/2006/relationships/hyperlink" Target="http://www.sec.gov/ix?doc=/Archives/edgar/data/0001820302/000182030223000033/bakkt-20230418.htm" TargetMode="External"/><Relationship Id="rId50" Type="http://schemas.openxmlformats.org/officeDocument/2006/relationships/hyperlink" Target="http://www.sec.gov/ix?doc=/Archives/edgar/data/1820302/000182030223000065/bakkt-20230606.htm" TargetMode="External"/><Relationship Id="rId51" Type="http://schemas.openxmlformats.org/officeDocument/2006/relationships/hyperlink" Target="http://www.sec.gov/ix?doc=/Archives/edgar/data/0001820302/000119312522096343/d322705d8ka.htm" TargetMode="External"/><Relationship Id="rId52" Type="http://schemas.openxmlformats.org/officeDocument/2006/relationships/hyperlink" Target="http://www.sec.gov/ix?doc=/Archives/edgar/data/0001820302/000182030223000030/bakkt-20230401.htm" TargetMode="External"/><Relationship Id="rId53" Type="http://schemas.openxmlformats.org/officeDocument/2006/relationships/hyperlink" Target="http://www.sec.gov/Archives/edgar/data/1820302/000119312521299620/d211377d8a12b.htm" TargetMode="External"/><Relationship Id="rId56" Type="http://schemas.openxmlformats.org/officeDocument/2006/relationships/hyperlink" Target="http://www.sec.gov/Archives/edgar/data/1820302/000119312521005832/d913171dex21.htm" TargetMode="External"/><Relationship Id="rId57" Type="http://schemas.openxmlformats.org/officeDocument/2006/relationships/hyperlink" Target="http://www.sec.gov/Archives/edgar/data/1820302/000119312521101249/d107545dex21.htm" TargetMode="External"/><Relationship Id="rId58" Type="http://schemas.openxmlformats.org/officeDocument/2006/relationships/hyperlink" Target="http://www.sec.gov/Archives/edgar/data/1820302/000119312521286927/d204551dex21.htm" TargetMode="External"/><Relationship Id="rId59" Type="http://schemas.openxmlformats.org/officeDocument/2006/relationships/hyperlink" Target="http://www.sec.gov/Archives/edgar/data/1820302/000119312521303985/d219325dex31.htm" TargetMode="External"/><Relationship Id="rId60" Type="http://schemas.openxmlformats.org/officeDocument/2006/relationships/hyperlink" Target="http://www.sec.gov/Archives/edgar/data/1820302/000119312521303985/d219325dex32.htm" TargetMode="External"/><Relationship Id="rId61" Type="http://schemas.openxmlformats.org/officeDocument/2006/relationships/hyperlink" Target="http://www.sec.gov/Archives/edgar/data/1820302/000119312521303985/d219325dex41.htm" TargetMode="External"/><Relationship Id="rId62" Type="http://schemas.openxmlformats.org/officeDocument/2006/relationships/hyperlink" Target="http://www.sec.gov/Archives/edgar/data/1820302/000119312521303985/d219325dex42.htm" TargetMode="External"/><Relationship Id="rId63" Type="http://schemas.openxmlformats.org/officeDocument/2006/relationships/hyperlink" Target="http://www.sec.gov/Archives/edgar/data/1820302/000119312520256308/d38926dex41.htm" TargetMode="External"/><Relationship Id="rId65" Type="http://schemas.openxmlformats.org/officeDocument/2006/relationships/hyperlink" Target="http://www.sec.gov/Archives/edgar/data/1820302/000119312521303985/d219325dex43.htm" TargetMode="External"/><Relationship Id="rId66" Type="http://schemas.openxmlformats.org/officeDocument/2006/relationships/hyperlink" Target="http://www.sec.gov/Archives/edgar/data/1820302/000119312523089016/d482123dex41.htm" TargetMode="External"/><Relationship Id="rId67" Type="http://schemas.openxmlformats.org/officeDocument/2006/relationships/hyperlink" Target="http://www.sec.gov/Archives/edgar/data/1820302/000182030223000080/exhibit42amendmentagreemen.htm" TargetMode="External"/><Relationship Id="rId68" Type="http://schemas.openxmlformats.org/officeDocument/2006/relationships/hyperlink" Target="http://www.sec.gov/Archives/edgar/data/0001820302/000119312523108811/d474714dex51.htm" TargetMode="External"/><Relationship Id="rId69" Type="http://schemas.openxmlformats.org/officeDocument/2006/relationships/hyperlink" Target="http://www.sec.gov/Archives/edgar/data/0001820302/000119312523108811/d474714ds3.htm#sig" TargetMode="External"/><Relationship Id="rId70" Type="http://schemas.openxmlformats.org/officeDocument/2006/relationships/hyperlink" Target="http://www.sec.gov/Archives/edgar/data/0001820302/000119312523108811/d47471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2024-02-07T16:36:37Z</dcterms:created>
  <dcterms:modified xsi:type="dcterms:W3CDTF">2024-02-07T16:36:37Z</dcterms:modified>
</cp:coreProperties>
</file>