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4951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95109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2"/>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04/28/2023</w:t>
            </w:r>
          </w:p>
        </w:tc>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General Counsel &amp; Secretary</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174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6"/>
                <w:szCs w:val="16"/>
                <w:color w:val="0000FF"/>
              </w:rPr>
              <w:t>05/01/2023</w:t>
            </w:r>
          </w:p>
        </w:tc>
        <w:tc>
          <w:tcPr>
            <w:tcW w:w="208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60" w:right="400" w:hanging="245"/>
        <w:spacing w:after="0" w:line="191" w:lineRule="auto"/>
        <w:tabs>
          <w:tab w:leader="none" w:pos="360" w:val="left"/>
        </w:tabs>
        <w:numPr>
          <w:ilvl w:val="0"/>
          <w:numId w:val="1"/>
        </w:numPr>
        <w:rPr>
          <w:rFonts w:ascii="Times New Roman" w:cs="Times New Roman" w:eastAsia="Times New Roman" w:hAnsi="Times New Roman"/>
          <w:sz w:val="21"/>
          <w:szCs w:val="21"/>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04/28/2023</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41"/>
              <w:spacing w:after="0"/>
              <w:rPr>
                <w:sz w:val="20"/>
                <w:szCs w:val="20"/>
                <w:color w:val="auto"/>
              </w:rPr>
            </w:pPr>
            <w:r>
              <w:rPr>
                <w:rFonts w:ascii="Times New Roman" w:cs="Times New Roman" w:eastAsia="Times New Roman" w:hAnsi="Times New Roman"/>
                <w:sz w:val="16"/>
                <w:szCs w:val="16"/>
                <w:color w:val="0000FF"/>
              </w:rPr>
              <w:t>50,237</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8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1.3686</w:t>
            </w:r>
            <w:r>
              <w:rPr>
                <w:rFonts w:ascii="Times New Roman" w:cs="Times New Roman" w:eastAsia="Times New Roman" w:hAnsi="Times New Roman"/>
                <w:sz w:val="21"/>
                <w:szCs w:val="21"/>
                <w:color w:val="008000"/>
                <w:w w:val="95"/>
                <w:vertAlign w:val="superscript"/>
              </w:rPr>
              <w:t>(2)</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733,320</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5"/>
                <w:szCs w:val="15"/>
                <w:color w:val="auto"/>
              </w:rPr>
            </w:pPr>
          </w:p>
        </w:tc>
        <w:tc>
          <w:tcPr>
            <w:tcW w:w="500" w:type="dxa"/>
            <w:vAlign w:val="bottom"/>
            <w:vMerge w:val="restart"/>
          </w:tcPr>
          <w:p>
            <w:pPr>
              <w:jc w:val="right"/>
              <w:ind w:right="259"/>
              <w:spacing w:after="0"/>
              <w:rPr>
                <w:sz w:val="20"/>
                <w:szCs w:val="20"/>
                <w:color w:val="auto"/>
              </w:rPr>
            </w:pPr>
            <w:r>
              <w:rPr>
                <w:rFonts w:ascii="Times New Roman" w:cs="Times New Roman" w:eastAsia="Times New Roman" w:hAnsi="Times New Roman"/>
                <w:sz w:val="11"/>
                <w:szCs w:val="11"/>
                <w:color w:val="008000"/>
              </w:rPr>
              <w:t>(5)</w:t>
            </w: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1,204,712</w:t>
            </w:r>
            <w:r>
              <w:rPr>
                <w:rFonts w:ascii="Times New Roman" w:cs="Times New Roman" w:eastAsia="Times New Roman" w:hAnsi="Times New Roman"/>
                <w:sz w:val="21"/>
                <w:szCs w:val="21"/>
                <w:color w:val="008000"/>
                <w:vertAlign w:val="superscript"/>
              </w:rPr>
              <w:t>(4)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1,204,712</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-1889125</wp:posOffset>
            </wp:positionV>
            <wp:extent cx="28575" cy="189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94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12/05/2022.</w:t>
      </w:r>
    </w:p>
    <w:p>
      <w:pPr>
        <w:spacing w:after="0" w:line="40"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$1.35 to $1.40,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383,320 shares of Class A Common Stock subject to restricted stock units ("RSUs") awards that remain subject to vesting. Each RSU represents a contingent right to receive one share of the issuer's Class A Common Stock.</w:t>
      </w:r>
    </w:p>
    <w:p>
      <w:pPr>
        <w:spacing w:after="0" w:line="2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05/02/2023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2023-05-02T17:34:44Z</dcterms:created>
  <dcterms:modified xsi:type="dcterms:W3CDTF">2023-05-02T17:34:44Z</dcterms:modified>
</cp:coreProperties>
</file>