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par value $0.0001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right="54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percentages reported in this Schedule 13G are based upon 57,164,283 Shares outstanding as of December 3, 2021 (according to the issuer’s prospectus as filed with the Securities and Exchange Commission on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896,391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1.6%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896,391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1.6%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896,391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1.6%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05759B107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896,391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1.6%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05759B107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160"/>
          </w:cols>
          <w:pgMar w:left="320" w:top="1174"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Bakkt Holdings,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10000 Avalon Boulevard, Suite 1000, Alpharetta, Georgia 30009 United States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Securities. Such owned Shares may include other instruments exercisable for or convertible into Shares.</w:t>
      </w:r>
    </w:p>
    <w:p>
      <w:pPr>
        <w:spacing w:after="0" w:line="188"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84"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4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05759B107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1020"/>
          </w:cols>
          <w:pgMar w:left="320" w:top="1174" w:right="5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220" w:hanging="1300"/>
        <w:spacing w:after="0" w:line="215" w:lineRule="exact"/>
        <w:tabs>
          <w:tab w:leader="none" w:pos="1632"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0 Shares.</w:t>
      </w:r>
    </w:p>
    <w:p>
      <w:pPr>
        <w:spacing w:after="0" w:line="170" w:lineRule="exact"/>
        <w:rPr>
          <w:rFonts w:ascii="Arial" w:cs="Arial" w:eastAsia="Arial" w:hAnsi="Arial"/>
          <w:sz w:val="18"/>
          <w:szCs w:val="18"/>
          <w:color w:val="auto"/>
        </w:rPr>
      </w:pPr>
    </w:p>
    <w:p>
      <w:pPr>
        <w:ind w:left="2280" w:right="26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0.0%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174" w:right="55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05759B107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0040"/>
          </w:cols>
          <w:pgMar w:left="1280" w:top="1174"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896,391 Shares.</w:t>
      </w:r>
    </w:p>
    <w:p>
      <w:pPr>
        <w:spacing w:after="0" w:line="225" w:lineRule="exact"/>
        <w:rPr>
          <w:rFonts w:ascii="Arial" w:cs="Arial" w:eastAsia="Arial" w:hAnsi="Arial"/>
          <w:sz w:val="18"/>
          <w:szCs w:val="18"/>
          <w:color w:val="auto"/>
        </w:rPr>
      </w:pPr>
    </w:p>
    <w:p>
      <w:pPr>
        <w:ind w:left="1320" w:right="280" w:hanging="652"/>
        <w:spacing w:after="0" w:line="277" w:lineRule="auto"/>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1.6%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896,391</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896,391</w:t>
      </w:r>
    </w:p>
    <w:p>
      <w:pPr>
        <w:spacing w:after="0" w:line="225" w:lineRule="exact"/>
        <w:rPr>
          <w:rFonts w:ascii="Arial" w:cs="Arial" w:eastAsia="Arial" w:hAnsi="Arial"/>
          <w:sz w:val="18"/>
          <w:szCs w:val="18"/>
          <w:color w:val="auto"/>
        </w:rPr>
      </w:pPr>
    </w:p>
    <w:p>
      <w:pPr>
        <w:ind w:left="660" w:hanging="640"/>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896,391 Shares.</w:t>
      </w:r>
    </w:p>
    <w:p>
      <w:pPr>
        <w:spacing w:after="0" w:line="248" w:lineRule="exact"/>
        <w:rPr>
          <w:rFonts w:ascii="Arial" w:cs="Arial" w:eastAsia="Arial" w:hAnsi="Arial"/>
          <w:sz w:val="16"/>
          <w:szCs w:val="16"/>
          <w:color w:val="auto"/>
        </w:rPr>
      </w:pPr>
    </w:p>
    <w:p>
      <w:pPr>
        <w:ind w:left="1320" w:right="520" w:hanging="652"/>
        <w:spacing w:after="0" w:line="277" w:lineRule="auto"/>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1.6%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896,391</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896,391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563245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280" w:top="1174" w:right="57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05759B107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Mr. Griffin may be deemed to beneficially own 896,391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1.6%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896,391</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896,391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05759B107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13 of 13 Pages</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hanging="332"/>
        <w:spacing w:after="0" w:line="25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2022-02-14T05:38:17Z</dcterms:created>
  <dcterms:modified xsi:type="dcterms:W3CDTF">2022-02-14T05:38:17Z</dcterms:modified>
</cp:coreProperties>
</file>