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96520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251460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560" w:type="dxa"/>
            <w:vAlign w:val="bottom"/>
          </w:tcPr>
          <w:p>
            <w:pPr>
              <w:spacing w:after="0"/>
              <w:rPr>
                <w:sz w:val="18"/>
                <w:szCs w:val="18"/>
                <w:color w:val="auto"/>
              </w:rPr>
            </w:pPr>
          </w:p>
        </w:tc>
      </w:tr>
      <w:tr>
        <w:trPr>
          <w:trHeight w:val="259"/>
        </w:trPr>
        <w:tc>
          <w:tcPr>
            <w:tcW w:w="47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6"/>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560" w:type="dxa"/>
            <w:vAlign w:val="bottom"/>
          </w:tcPr>
          <w:p>
            <w:pPr>
              <w:jc w:val="center"/>
              <w:ind w:left="19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88265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1"/>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jc w:val="both"/>
        <w:ind w:firstLine="518"/>
        <w:spacing w:after="0" w:line="21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ind w:right="180" w:firstLine="5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18"/>
        <w:spacing w:after="0" w:line="2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0" w:lineRule="exact"/>
        <w:rPr>
          <w:sz w:val="24"/>
          <w:szCs w:val="24"/>
          <w:color w:val="auto"/>
        </w:rPr>
      </w:pPr>
    </w:p>
    <w:p>
      <w:pPr>
        <w:ind w:right="60" w:firstLine="518"/>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420" w:firstLine="518"/>
        <w:spacing w:after="0" w:line="245" w:lineRule="auto"/>
        <w:rPr>
          <w:sz w:val="20"/>
          <w:szCs w:val="20"/>
          <w:color w:val="auto"/>
        </w:rPr>
      </w:pPr>
      <w:r>
        <w:rPr>
          <w:rFonts w:ascii="Times New Roman" w:cs="Times New Roman" w:eastAsia="Times New Roman" w:hAnsi="Times New Roman"/>
          <w:sz w:val="16"/>
          <w:szCs w:val="16"/>
          <w:color w:val="auto"/>
        </w:rPr>
        <w:t>As of May 8, 2024, there were 6,231,825 shares of the registrant’s Class A Common Stock, 7,194,941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53340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78740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9220" w:type="dxa"/>
            <w:vAlign w:val="bottom"/>
            <w:gridSpan w:val="21"/>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Financial Statements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Consolidated Balance Sheets</w:t>
            </w:r>
          </w:p>
        </w:tc>
        <w:tc>
          <w:tcPr>
            <w:tcW w:w="1320" w:type="dxa"/>
            <w:vAlign w:val="bottom"/>
            <w:tcBorders>
              <w:top w:val="single" w:sz="8" w:color="0E32E1"/>
            </w:tcBorders>
            <w:gridSpan w:val="5"/>
          </w:tcPr>
          <w:p>
            <w:pPr>
              <w:spacing w:after="0"/>
              <w:rPr>
                <w:sz w:val="18"/>
                <w:szCs w:val="18"/>
                <w:color w:val="auto"/>
              </w:rPr>
            </w:pPr>
          </w:p>
        </w:tc>
        <w:tc>
          <w:tcPr>
            <w:tcW w:w="58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Changes in Stockholders’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880" w:type="dxa"/>
            <w:vAlign w:val="bottom"/>
            <w:tcBorders>
              <w:top w:val="single" w:sz="8" w:color="0E32E1"/>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w:t>
            </w:r>
          </w:p>
        </w:tc>
        <w:tc>
          <w:tcPr>
            <w:tcW w:w="1520" w:type="dxa"/>
            <w:vAlign w:val="bottom"/>
            <w:tcBorders>
              <w:top w:val="single" w:sz="8" w:color="0E32E1"/>
            </w:tcBorders>
            <w:gridSpan w:val="6"/>
          </w:tcPr>
          <w:p>
            <w:pPr>
              <w:spacing w:after="0"/>
              <w:rPr>
                <w:sz w:val="18"/>
                <w:szCs w:val="18"/>
                <w:color w:val="auto"/>
              </w:rPr>
            </w:pPr>
          </w:p>
        </w:tc>
        <w:tc>
          <w:tcPr>
            <w:tcW w:w="482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96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Notes to Unaudited Consolidated Financial Statements</w:t>
            </w:r>
          </w:p>
        </w:tc>
        <w:tc>
          <w:tcPr>
            <w:tcW w:w="526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E32E1"/>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2080" w:type="dxa"/>
            <w:vAlign w:val="bottom"/>
            <w:tcBorders>
              <w:top w:val="single" w:sz="8" w:color="0E32E1"/>
            </w:tcBorders>
            <w:gridSpan w:val="2"/>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7420" w:type="dxa"/>
            <w:vAlign w:val="bottom"/>
            <w:gridSpan w:val="1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732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9"/>
              </w:rPr>
              <w:t>Risk Factors</w:t>
            </w:r>
          </w:p>
        </w:tc>
        <w:tc>
          <w:tcPr>
            <w:tcW w:w="420" w:type="dxa"/>
            <w:vAlign w:val="bottom"/>
            <w:tcBorders>
              <w:top w:val="single" w:sz="8" w:color="0E32E1"/>
            </w:tcBorders>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Unregistered Sales of Equity Securities and Use of Proceeds</w:t>
            </w:r>
          </w:p>
        </w:tc>
        <w:tc>
          <w:tcPr>
            <w:tcW w:w="48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Defaults Upon Senior Securities</w:t>
            </w:r>
          </w:p>
        </w:tc>
        <w:tc>
          <w:tcPr>
            <w:tcW w:w="6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Mine Safety Disclosures</w:t>
            </w:r>
          </w:p>
        </w:tc>
        <w:tc>
          <w:tcPr>
            <w:tcW w:w="74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Exhibits</w:t>
            </w:r>
          </w:p>
        </w:tc>
        <w:tc>
          <w:tcPr>
            <w:tcW w:w="790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7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25"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changes in the market for our products and services; </w:t>
      </w:r>
      <w:r>
        <w:rPr>
          <w:rFonts w:ascii="Times New Roman" w:cs="Times New Roman" w:eastAsia="Times New Roman" w:hAnsi="Times New Roman"/>
          <w:sz w:val="18"/>
          <w:szCs w:val="18"/>
          <w:color w:val="000000"/>
        </w:rPr>
        <w:t>and</w:t>
      </w:r>
    </w:p>
    <w:p>
      <w:pPr>
        <w:spacing w:after="0" w:line="144"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expansion plans and opportunities, including our plans to expand to international markets.</w:t>
      </w:r>
    </w:p>
    <w:p>
      <w:pPr>
        <w:spacing w:after="0" w:line="26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These forward-looking statements are based on information available as of the date of this </w:t>
      </w:r>
      <w:r>
        <w:rPr>
          <w:rFonts w:ascii="Times New Roman" w:cs="Times New Roman" w:eastAsia="Times New Roman" w:hAnsi="Times New Roman"/>
          <w:sz w:val="18"/>
          <w:szCs w:val="18"/>
          <w:color w:val="000000"/>
        </w:rPr>
        <w:t>Report</w:t>
      </w:r>
      <w:r>
        <w:rPr>
          <w:rFonts w:ascii="Times New Roman" w:cs="Times New Roman" w:eastAsia="Times New Roman" w:hAnsi="Times New Roman"/>
          <w:sz w:val="18"/>
          <w:szCs w:val="18"/>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7" w:lineRule="exact"/>
        <w:rPr>
          <w:sz w:val="20"/>
          <w:szCs w:val="20"/>
          <w:color w:val="auto"/>
        </w:rPr>
      </w:pPr>
    </w:p>
    <w:p>
      <w:pPr>
        <w:jc w:val="both"/>
        <w:ind w:right="40" w:firstLine="648"/>
        <w:spacing w:after="0" w:line="305" w:lineRule="auto"/>
        <w:rPr>
          <w:sz w:val="20"/>
          <w:szCs w:val="20"/>
          <w:color w:val="auto"/>
        </w:rPr>
      </w:pPr>
      <w:r>
        <w:rPr>
          <w:rFonts w:ascii="Times New Roman" w:cs="Times New Roman" w:eastAsia="Times New Roman" w:hAnsi="Times New Roman"/>
          <w:sz w:val="18"/>
          <w:szCs w:val="18"/>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75"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57" w:lineRule="exact"/>
        <w:rPr>
          <w:rFonts w:ascii="Times New Roman" w:cs="Times New Roman" w:eastAsia="Times New Roman" w:hAnsi="Times New Roman"/>
          <w:sz w:val="18"/>
          <w:szCs w:val="18"/>
          <w:color w:val="auto"/>
        </w:rPr>
      </w:pPr>
    </w:p>
    <w:p>
      <w:pPr>
        <w:ind w:left="820" w:hanging="326"/>
        <w:spacing w:after="0" w:line="313"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New York Stock Exchange (the "NYSE");</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57" w:lineRule="exact"/>
        <w:rPr>
          <w:rFonts w:ascii="Times New Roman" w:cs="Times New Roman" w:eastAsia="Times New Roman" w:hAnsi="Times New Roman"/>
          <w:sz w:val="18"/>
          <w:szCs w:val="18"/>
          <w:color w:val="auto"/>
        </w:rPr>
      </w:pPr>
    </w:p>
    <w:p>
      <w:pPr>
        <w:ind w:left="820" w:hanging="326"/>
        <w:spacing w:after="0" w:line="313"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reduce cash expenses and align headcount and employee-related costs with our budget priorities;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reduce regulatory capital, insurance and collateral requirements;</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regulatory regime governing blockchain technologies and crypto;</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remediate the material weakness in and establish and maintain, effective internal controls and procedures</w:t>
      </w:r>
    </w:p>
    <w:p>
      <w:pPr>
        <w:spacing w:after="0" w:line="155"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 and</w:t>
      </w:r>
    </w:p>
    <w:p>
      <w:pPr>
        <w:spacing w:after="0" w:line="15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risks and uncertainties indicated in this Report, including those set forth under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520" w:type="dxa"/>
            <w:vAlign w:val="bottom"/>
          </w:tcPr>
          <w:p>
            <w:pPr>
              <w:jc w:val="right"/>
              <w:ind w:right="628"/>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7"/>
        </w:trPr>
        <w:tc>
          <w:tcPr>
            <w:tcW w:w="7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1"/>
                <w:szCs w:val="11"/>
                <w:color w:val="auto"/>
              </w:rPr>
            </w:pPr>
          </w:p>
        </w:tc>
        <w:tc>
          <w:tcPr>
            <w:tcW w:w="15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29,664</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insurance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Safeguarding asset for crypto</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701,556</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1,490,348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882,644</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13,262</w:t>
            </w:r>
          </w:p>
        </w:tc>
        <w:tc>
          <w:tcPr>
            <w:tcW w:w="0" w:type="dxa"/>
            <w:vAlign w:val="bottom"/>
          </w:tcPr>
          <w:p>
            <w:pPr>
              <w:spacing w:after="0"/>
              <w:rPr>
                <w:sz w:val="1"/>
                <w:szCs w:val="1"/>
                <w:color w:val="auto"/>
              </w:rPr>
            </w:pPr>
          </w:p>
        </w:tc>
      </w:tr>
      <w:tr>
        <w:trPr>
          <w:trHeight w:val="20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1,575,531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966,867</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55,379</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funds payable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Due to related party</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Safeguarding obligation for crypto</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701,556</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Unsettled crypto trades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1,398,303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802,074</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23,525</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1,444,648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831,153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 Common Stock ($0.0001 par value, 30,000,000 shares authorized, 5,873,079 shares</w:t>
            </w: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March 31, 2024 and 3,793,837 shares issued and outstanding</w:t>
            </w:r>
          </w:p>
        </w:tc>
        <w:tc>
          <w:tcPr>
            <w:tcW w:w="2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V Common Stock ($0.0001 par value, 10,000,000 shares authorized, 7,195,339 shares</w:t>
            </w: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March 31, 2024 and 7,200,064 shares issued and outstanding</w:t>
            </w:r>
          </w:p>
        </w:tc>
        <w:tc>
          <w:tcPr>
            <w:tcW w:w="2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799,683</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(751,301)</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87,432</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130,883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135,714</w:t>
            </w:r>
          </w:p>
        </w:tc>
        <w:tc>
          <w:tcPr>
            <w:tcW w:w="0" w:type="dxa"/>
            <w:vAlign w:val="bottom"/>
          </w:tcPr>
          <w:p>
            <w:pPr>
              <w:spacing w:after="0"/>
              <w:rPr>
                <w:sz w:val="1"/>
                <w:szCs w:val="1"/>
                <w:color w:val="auto"/>
              </w:rPr>
            </w:pP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1,575,531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966,867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9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12,776</w:t>
            </w:r>
          </w:p>
        </w:tc>
      </w:tr>
      <w:tr>
        <w:trPr>
          <w:trHeight w:val="212"/>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 (See Note 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34,144</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12"/>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58,667</w:t>
            </w:r>
          </w:p>
        </w:tc>
      </w:tr>
      <w:tr>
        <w:trPr>
          <w:trHeight w:val="20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(45,448)</w:t>
            </w:r>
          </w:p>
        </w:tc>
      </w:tr>
      <w:tr>
        <w:trPr>
          <w:trHeight w:val="212"/>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r>
      <w:tr>
        <w:trPr>
          <w:trHeight w:val="213"/>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from change in fair value of warrant liability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(44,841)</w:t>
            </w:r>
          </w:p>
        </w:tc>
      </w:tr>
      <w:tr>
        <w:trPr>
          <w:trHeight w:val="21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(44,859)</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(30,883)</w:t>
            </w: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(8,165)</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(13,976)</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Class A Common Stockholders: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Comprehensive Loss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4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162"/>
        </w:trPr>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214"/>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1"/>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(44,859)</w:t>
            </w: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available-for-sale securities,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(31,027)</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Bakkt Holdings,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(14,039)</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bl>
      <w:tblPr>
        <w:tblLayout w:type="fixed"/>
        <w:tblInd w:w="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8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1040" w:type="dxa"/>
            <w:vAlign w:val="bottom"/>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2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40" w:type="dxa"/>
            <w:vAlign w:val="bottom"/>
            <w:gridSpan w:val="3"/>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2022</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3,237,074</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7,339,310</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773,000</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(676,447)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96,264</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239,811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336,075</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6,713</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6,713</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6,713</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542</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542</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59,801</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8,115</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(8,115)</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(345)</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Unrealized loss on available-for-sale securities,</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(72)</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(157)</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(13,976)</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(13,976)</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(30,883)</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(44,859)</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March 31, 2023</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3,304,990</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7,331,195</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780,058</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(690,423)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(355)</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89,281</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208,983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298,264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2023</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3,793,837</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7,200,064</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799,683</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(751,301)</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48,282</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87,432</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135,714</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8,013</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8,013</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8,013</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118,593</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(2,259)</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(2,259)</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(2,259)</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Equity offerings, net of issuance costs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1,955,924</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11,268</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11,269</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11,269</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4,725</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(4,725)</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(160)</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(261)</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Unrealized losses on available-for-</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(60)</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(98)</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sale securities, 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(8,165)</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(8,165)</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(13,110)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(21,275)</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March 31, 2024</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5,873,079</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7,195,339</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816,768</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(759,466)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(321)</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56,983</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73,900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130,883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20" w:type="dxa"/>
            <w:vAlign w:val="bottom"/>
          </w:tcPr>
          <w:p>
            <w:pPr>
              <w:spacing w:after="0"/>
              <w:rPr>
                <w:sz w:val="12"/>
                <w:szCs w:val="12"/>
                <w:color w:val="auto"/>
              </w:rPr>
            </w:pPr>
          </w:p>
        </w:tc>
        <w:tc>
          <w:tcPr>
            <w:tcW w:w="13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0" w:type="dxa"/>
            <w:vAlign w:val="bottom"/>
          </w:tcPr>
          <w:p>
            <w:pPr>
              <w:spacing w:after="0"/>
              <w:rPr>
                <w:sz w:val="1"/>
                <w:szCs w:val="1"/>
                <w:color w:val="auto"/>
              </w:rPr>
            </w:pPr>
          </w:p>
        </w:tc>
      </w:tr>
      <w:tr>
        <w:trPr>
          <w:trHeight w:val="166"/>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120" w:type="dxa"/>
            <w:vAlign w:val="bottom"/>
          </w:tcPr>
          <w:p>
            <w:pPr>
              <w:spacing w:after="0"/>
              <w:rPr>
                <w:sz w:val="14"/>
                <w:szCs w:val="14"/>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(44,859)</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(used in) operating activities: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3,063</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lease expense</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7,241</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Unit-based compensation expense</w:t>
            </w:r>
          </w:p>
        </w:tc>
        <w:tc>
          <w:tcPr>
            <w:tcW w:w="12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disposal of assets</w:t>
            </w:r>
          </w:p>
        </w:tc>
        <w:tc>
          <w:tcPr>
            <w:tcW w:w="12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loss from change in fair value of warrant liability</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Prepaid insurance</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4,332</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Unsettled crypto trades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Due to related party</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Customer funds payable</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38,353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(47,241)</w:t>
            </w: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available-for-sale securities</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the settlement of available-for-sale securities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101,048</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of Bumped Financial, LLC</w:t>
            </w:r>
          </w:p>
        </w:tc>
        <w:tc>
          <w:tcPr>
            <w:tcW w:w="12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7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69,699</w:t>
            </w: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Concurrent Offerings, net of issuance costs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Repurchase and retirement of Class A Common Stock for withholding purposes</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increase in cash, cash equivalents, restricted cash, cash held in escrow, customer funds and deposits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22,480</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cash held in escrow, customer funds and deposits at the beginning of the period</w:t>
            </w: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118,498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115,423</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cash held in escrow, customer funds and deposits at the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190,831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137,903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operating lease right-of-use asset acquired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3,776</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investing and financing activity:</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 included in accounts payable and accrued liabilities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Reconciliation of cash, cash equivalents, restricted cash, cash held in escrow, customer funds and deposits to consolidated balance sheet: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50,834</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19,305</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held in escrow</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67,209</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Customer funds</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Deposits (See Note 6)</w:t>
            </w: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cash equivalents, restricted cash, cash held in escrow, customer funds and deposits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190,831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137,903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16" w:lineRule="exact"/>
        <w:rPr>
          <w:sz w:val="20"/>
          <w:szCs w:val="20"/>
          <w:color w:val="auto"/>
        </w:rPr>
      </w:pPr>
    </w:p>
    <w:p>
      <w:pPr>
        <w:ind w:right="7720" w:firstLine="8"/>
        <w:spacing w:after="0" w:line="542"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9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Unless the context otherwise provides, “we,” “us,” “our,” “Bakkt,” the “Company” and like terms refer to Bakkt Holdings, Inc. and its subsidiaries, including Opco.</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6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w:t>
      </w:r>
    </w:p>
    <w:p>
      <w:pPr>
        <w:spacing w:after="0" w:line="17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LLC ("Apex Crypto") and subsequently changed the name of the legal entity to Bakkt Crypto Solutions, LLC ("Bakkt Crypto Solutions"), effective June 12, 2023. On March 20, 2024, Bakkt Crypto Solutions merged with and into Bakkt Marketplace, LLC ("Bakkt Marketplace"), with Bakkt Marketplace as the surviving entity in the merger. Bakkt Marketplace was then renamed to Bakkt Crypto Solutions, LLC ("Bakkt Crypto").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Crypto</w:t>
      </w:r>
    </w:p>
    <w:p>
      <w:pPr>
        <w:spacing w:after="0" w:line="266" w:lineRule="exact"/>
        <w:rPr>
          <w:sz w:val="20"/>
          <w:szCs w:val="20"/>
          <w:color w:val="auto"/>
        </w:rPr>
      </w:pPr>
    </w:p>
    <w:p>
      <w:pPr>
        <w:jc w:val="both"/>
        <w:ind w:left="660" w:hanging="328"/>
        <w:spacing w:after="0" w:line="291" w:lineRule="auto"/>
        <w:tabs>
          <w:tab w:leader="none" w:pos="655" w:val="left"/>
        </w:tabs>
        <w:numPr>
          <w:ilvl w:val="0"/>
          <w:numId w:val="7"/>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Custody. </w:t>
      </w:r>
      <w:r>
        <w:rPr>
          <w:rFonts w:ascii="Times New Roman" w:cs="Times New Roman" w:eastAsia="Times New Roman" w:hAnsi="Times New Roman"/>
          <w:sz w:val="18"/>
          <w:szCs w:val="18"/>
          <w:color w:val="0C0C0C"/>
        </w:rPr>
        <w:t>Our institutional-grade qualified custody solution is primarily provided by our subsidiary, Bakkt Trust Company LLC (“Bakkt Trust”), a</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limited purpose trust company that is supervised by the New York State Department of Financial Services (“NYDFS”) and governed by an</w:t>
      </w:r>
    </w:p>
    <w:p>
      <w:pPr>
        <w:spacing w:after="0" w:line="1" w:lineRule="exact"/>
        <w:rPr>
          <w:rFonts w:ascii="Times New Roman" w:cs="Times New Roman" w:eastAsia="Times New Roman" w:hAnsi="Times New Roman"/>
          <w:sz w:val="18"/>
          <w:szCs w:val="18"/>
          <w:color w:val="0C0C0C"/>
        </w:rPr>
      </w:pPr>
    </w:p>
    <w:p>
      <w:pPr>
        <w:jc w:val="both"/>
        <w:ind w:left="660" w:right="20"/>
        <w:spacing w:after="0" w:line="305"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independent Board of Managers. In connection to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0C0C0C"/>
        </w:rPr>
        <w:t xml:space="preserve">Trading. </w:t>
      </w:r>
      <w:r>
        <w:rPr>
          <w:rFonts w:ascii="Times New Roman" w:cs="Times New Roman" w:eastAsia="Times New Roman" w:hAnsi="Times New Roman"/>
          <w:sz w:val="18"/>
          <w:szCs w:val="18"/>
          <w:color w:val="0C0C0C"/>
        </w:rPr>
        <w:t>Our platform provides customers with the ability to buy, sell and store crypto via application programming interfaces or embedded web</w:t>
      </w:r>
    </w:p>
    <w:p>
      <w:pPr>
        <w:spacing w:after="0" w:line="53"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C0C0C"/>
        </w:rPr>
        <w:t>experience. We enable clients in various industries to provide their customers with the ability to transact in crypto directly in their trusted environments. W</w:t>
      </w:r>
      <w:r>
        <w:rPr>
          <w:rFonts w:ascii="Times New Roman" w:cs="Times New Roman" w:eastAsia="Times New Roman" w:hAnsi="Times New Roman"/>
          <w:sz w:val="18"/>
          <w:szCs w:val="18"/>
          <w:color w:val="000000"/>
        </w:rPr>
        <w:t>e currently facilitate transactions in the crypto assets listed in the table below.</w:t>
      </w:r>
    </w:p>
    <w:p>
      <w:pPr>
        <w:spacing w:after="0" w:line="187" w:lineRule="exact"/>
        <w:rPr>
          <w:sz w:val="20"/>
          <w:szCs w:val="20"/>
          <w:color w:val="auto"/>
        </w:rPr>
      </w:pPr>
    </w:p>
    <w:tbl>
      <w:tblPr>
        <w:tblLayout w:type="fixed"/>
        <w:tblInd w:w="3450" w:type="dxa"/>
        <w:tblCellMar>
          <w:top w:w="0" w:type="dxa"/>
          <w:left w:w="0" w:type="dxa"/>
          <w:bottom w:w="0" w:type="dxa"/>
          <w:right w:w="0" w:type="dxa"/>
        </w:tblCellMar>
      </w:tblPr>
      <w:tr>
        <w:trPr>
          <w:trHeight w:val="275"/>
        </w:trPr>
        <w:tc>
          <w:tcPr>
            <w:tcW w:w="2660" w:type="dxa"/>
            <w:vAlign w:val="bottom"/>
            <w:tcBorders>
              <w:top w:val="single" w:sz="8" w:color="auto"/>
              <w:left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Crypto Asset</w:t>
            </w:r>
          </w:p>
        </w:tc>
        <w:tc>
          <w:tcPr>
            <w:tcW w:w="1740" w:type="dxa"/>
            <w:vAlign w:val="bottom"/>
            <w:tcBorders>
              <w:top w:val="single" w:sz="8" w:color="auto"/>
              <w:bottom w:val="single" w:sz="8" w:color="EEECE1"/>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color w:val="auto"/>
              </w:rPr>
              <w:t>Symbol</w:t>
            </w:r>
          </w:p>
        </w:tc>
      </w:tr>
      <w:tr>
        <w:trPr>
          <w:trHeight w:val="228"/>
        </w:trPr>
        <w:tc>
          <w:tcPr>
            <w:tcW w:w="26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1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BTC</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 Cash</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BCH</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DOGE</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 Classic</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ETC</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Litecoin</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LTC</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SHIB</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Coin</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USDC</w:t>
            </w: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Bakkt Trust’s custody solution provides support to Bakkt Crypto with respect to all crypto assets supported by the Company. Additionally, until October 2, 2023, Bakkt Trust operated, in conjunction with Intercontinental Exchange, Inc. ("ICE"), regulated infrastructure for trading, clearing, and custody services for physically-delivered bitcoin futures (See Note 8 "Related Parties" below for a description of a recent delisting of certain Bakkt Bitcoin futures and option contracts by </w:t>
      </w:r>
      <w:r>
        <w:rPr>
          <w:rFonts w:ascii="Times New Roman" w:cs="Times New Roman" w:eastAsia="Times New Roman" w:hAnsi="Times New Roman"/>
          <w:sz w:val="18"/>
          <w:szCs w:val="18"/>
          <w:color w:val="000000"/>
        </w:rPr>
        <w:t>ICE Futures U.S., Inc. ("IFUS")</w:t>
      </w:r>
      <w:r>
        <w:rPr>
          <w:rFonts w:ascii="Times New Roman" w:cs="Times New Roman" w:eastAsia="Times New Roman" w:hAnsi="Times New Roman"/>
          <w:sz w:val="18"/>
          <w:szCs w:val="18"/>
          <w:color w:val="231F20"/>
        </w:rPr>
        <w:t>). 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spacing w:after="0" w:line="178"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As of March 31, 2024, we offer crypto services in the U.S. and in selected markets in Latin America and Europe. We expect to continue to pursue new markets in the future by working with our existing client base as well as targeting new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Loyalty</w:t>
      </w:r>
    </w:p>
    <w:p>
      <w:pPr>
        <w:spacing w:after="0" w:line="21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0C0C0C"/>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pacing w:after="0" w:line="19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accounting policies are as set forth in the notes to our Annual Report on Form 10-K for the year ended December 31, 2023 (our "Form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interim results for the three months ended March 31, 2024 are not necessarily indicative of the results that may be expected for the year ending December 31, 2024, or for any other future annual or interim period. These consolidated financial statements should be read in conjunction with the Company’s audited financial statements and accompanying notes thereto included in our Form 10-K.</w:t>
      </w:r>
    </w:p>
    <w:p>
      <w:pPr>
        <w:spacing w:after="0" w:line="19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Board of Directors,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Our Class A Common Stock began trading on a reverse-split adjusted basis on the New York Stock Exchange (the "NYSE") as of the open of trading on April 29, 2024. All outstanding warrants and share-based awards were also adjusted on a 1-for-25 basis. In accordance with the Financial Accounting Standards Board (“FASB”) Accounting Standards Codification (“ASC”) Topic 505 Equity, changes in the capital structure of a public reporting entity due to a reverse stock split occurring after the balance sheet date, but before the release of the financial statements, should be given retroactive effect. As such, the Reverse Stock Split has been retroactively applied to all figures throughout this Quarterly Report on Form 10-Q (unless otherwise noted).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amounts reported in the financial statements and accompanying notes. We base our 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our issued warrants, and fair market value of stock-based awards. Actual results and outcomes may differ from management’s estimates and assumptions and such differences may be material to our audited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73"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At each reporting period, in accordance with Accounting Standards Codification ("ASC") 205-40, Going Concern, we evaluate whether there are conditions or events that raise substantial doubt about our ability to continue as a going concern within one year after the date the financial statements are issued. In accordance with ASC 205-40,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in conjunction with the issuance of the March 31, 2024 unaudited consolidated financial statements</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forecasting our expectation of cash needs for the initial ASC 205-40 evaluation, the crypto revenue growth projections exclude expansion to international retail crypto markets where such arrangements are not signed, as well as activation of new clients currently not live on our platform as of the date of release of these unaudited consolidated financial statements.</w:t>
      </w:r>
    </w:p>
    <w:p>
      <w:pPr>
        <w:spacing w:after="0" w:line="16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incurred losses and consumed cash through the date of this filing in excess of our cash inflows from operations and fundraising. Due to these ongoing losses and a limited supply of remaining cash and available-for-sale securities, substantial doubt was initially raised about our ability to continue as a going concern in connection with the filing of our Quarterly Report of Form 10-Q for the quarterly period ending September 30, 2023, which we alleviated through management plans which emphasized reducing headcount and other cost cutting measures. In connection with the filing of subsequent amendments thereto and in connection with our analysis as of December 31, 2023, we disclosed that without additional equity financing (See Note 10) we could not conclude that we could maintain our operations for a period of at least 12 months from the dates of such amended filings. We closed on equity offerings in March of 2024, prior to the release of the Form 10-K that when considered with management's other plans resulted in management concluding that notwithstanding the initial doubt that was raised, management's plans were expected to alleviate substantial doubt. For the three months ended March 31, 2024, we incurred a net loss of $21.3 million and consumed $38.4 million of cash in operations. We have historically relied on our existing cash and available-for-sale securities portfolio to fund operations. As of March 31, 2024, we had $56.6 million of available cash and cash equivalents that was not restricted or required to be held for regulatory capital (see Note 13) and $18.0 million in available-for-sale securities. We do not have any long-term debt to service but have commitments under long-term cloud computing, lease and marketing contracts as described in Notes 14 and 17. We expect to continue to incur losses and consume cash for the foreseeable future. This raised substantial doubt about our ability to continue as a going concern given our present liquidity.</w:t>
      </w:r>
    </w:p>
    <w:p>
      <w:pPr>
        <w:spacing w:after="0" w:line="200"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We have been executing a strategic plan to optimize our capital allocation and expense base since the fourth quarter of 2022, which has reduced our annual cash expenses year over year and which we expect will continue to reduce our cash expenses in 2024. As a part of those plans, we will continue to align headcount and employee-related costs to further reduce cash expenses. We announced a reduction in force on May 3, 2024 which is expected to result in cash savings of approximately $13.0 million, excluding severance over the next 12 months. We will enact additional personnel and discretionary spending cuts such as incentive compensation, marketing, professional services and administrative travel to preserve cash to fund operations. We received approval in March 2024 to integrate, and have subsequently merged and integrated, Bakkt Marketplace and Bakkt Crypto Solutions, which will reduce the amount of regulatory capital and insurance collateral we are required to hold by up to $12.0 million by the end of 2024.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We believe after giving effect to management's plans to reduce cash expenses, that our cash, which includes the proceeds of the capital raise, and short-term securities will be sufficient to fund our operations for the next 12 months from the date of these financial statements. We believe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expected impact on our liquidity and cash flows resulting from the entity integration and the operational initiatives outlined above are probable of occurring and sufficient to enable us to meet our obligations for at least twelve months from the date the financial statements are issued and alleviate the substantial doubt about our ability to continue as a going concern.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For the three months ended March 31, 2024, there were no significant changes to the recently adopted accounting pronouncements applicable to us from those disclosed in Note 2 to the consolidated financial statements included in our Form 10-K.</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disaggregate revenue by service type and by platform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Type</w:t>
            </w:r>
          </w:p>
        </w:tc>
        <w:tc>
          <w:tcPr>
            <w:tcW w:w="160" w:type="dxa"/>
            <w:vAlign w:val="bottom"/>
          </w:tcPr>
          <w:p>
            <w:pPr>
              <w:spacing w:after="0"/>
              <w:rPr>
                <w:sz w:val="16"/>
                <w:szCs w:val="16"/>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7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7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0" w:type="dxa"/>
            <w:vAlign w:val="bottom"/>
          </w:tcPr>
          <w:p>
            <w:pPr>
              <w:spacing w:after="0"/>
              <w:rPr>
                <w:sz w:val="1"/>
                <w:szCs w:val="1"/>
                <w:color w:val="auto"/>
              </w:rPr>
            </w:pPr>
          </w:p>
        </w:tc>
      </w:tr>
      <w:tr>
        <w:trPr>
          <w:trHeight w:val="223"/>
        </w:trPr>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revenue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service revenue</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60" w:type="dxa"/>
            <w:vAlign w:val="bottom"/>
          </w:tcPr>
          <w:p>
            <w:pPr>
              <w:spacing w:after="0"/>
              <w:rPr>
                <w:sz w:val="24"/>
                <w:szCs w:val="24"/>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17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7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0" w:type="dxa"/>
            <w:vAlign w:val="bottom"/>
          </w:tcPr>
          <w:p>
            <w:pPr>
              <w:spacing w:after="0"/>
              <w:rPr>
                <w:sz w:val="1"/>
                <w:szCs w:val="1"/>
                <w:color w:val="auto"/>
              </w:rPr>
            </w:pPr>
          </w:p>
        </w:tc>
      </w:tr>
      <w:tr>
        <w:trPr>
          <w:trHeight w:val="223"/>
        </w:trPr>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redemption platform,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We recognized revenue from foreign jurisdictions of $14.4 million for the three months ended March 31, 2024, and $0.9 million for the three months ended March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one reportable segment to which our revenues relate.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7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Contract liabilities consist of deferred revenue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three months ended March 31, 2024 and March 31, 2023, respectively,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147320</wp:posOffset>
            </wp:positionV>
            <wp:extent cx="2434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4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2023</w:t>
      </w:r>
    </w:p>
    <w:p>
      <w:pPr>
        <w:spacing w:after="0" w:line="8" w:lineRule="exact"/>
        <w:rPr>
          <w:sz w:val="20"/>
          <w:szCs w:val="20"/>
          <w:color w:val="auto"/>
        </w:rPr>
      </w:pPr>
    </w:p>
    <w:p>
      <w:pPr>
        <w:sectPr>
          <w:pgSz w:w="11900" w:h="16838" w:orient="portrait"/>
          <w:cols w:equalWidth="0" w:num="2">
            <w:col w:w="9080" w:space="500"/>
            <w:col w:w="16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 included in the beginning balance</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cash received, net of amounts recognized in revenue during the period</w:t>
            </w:r>
          </w:p>
        </w:tc>
        <w:tc>
          <w:tcPr>
            <w:tcW w:w="7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contract liability</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1"/>
        </w:trPr>
        <w:tc>
          <w:tcPr>
            <w:tcW w:w="74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74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4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allocated to the remaining performance obligations related to partially completed contracts is $18.0 million, comprised of $11.8 million of subscription fees and $6.2 million of service fees that are deferred. We recognize our subscription fees as revenue over a weighted-average period of 23 months (ranges from 1 month – 30 months) and our service fees as revenue over approximately 17 months.</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March 31, 2023, the aggregate amount of the transaction price allocated to the remaining performance obligations related to partially completed contracts is $24.4 million, comprised of $17.9 million of subscription fees and $6.5 million of service fees that are deferred. We recognize our subscription fees as revenue over a weighted-average period of 32 months (ranges from 1 month – 42 months) and our service fees as revenue over approximately 24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we incurred no incremental costs to obtain and/or fulfill contracts with customers.</w:t>
      </w:r>
    </w:p>
    <w:p>
      <w:pPr>
        <w:spacing w:after="0" w:line="144"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 and Asset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Apex Crypto</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17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is a reconciliation of the fair value of consideration transferred in the acquisition to the fair value of the assets acquired and liabilities assumed.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consideration paid</w:t>
            </w:r>
          </w:p>
        </w:tc>
        <w:tc>
          <w:tcPr>
            <w:tcW w:w="4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working capital and cash</w:t>
            </w:r>
          </w:p>
        </w:tc>
        <w:tc>
          <w:tcPr>
            <w:tcW w:w="4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 Common Stock at transaction close</w:t>
            </w:r>
          </w:p>
        </w:tc>
        <w:tc>
          <w:tcPr>
            <w:tcW w:w="4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Estimated fair value of Class A Common Stock contingent consideration</w:t>
            </w:r>
          </w:p>
        </w:tc>
        <w:tc>
          <w:tcPr>
            <w:tcW w:w="43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43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4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4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assets</w:t>
            </w:r>
          </w:p>
        </w:tc>
        <w:tc>
          <w:tcPr>
            <w:tcW w:w="4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4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4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4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4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43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3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927"/>
        </w:trPr>
        <w:tc>
          <w:tcPr>
            <w:tcW w:w="5460" w:type="dxa"/>
            <w:vAlign w:val="bottom"/>
          </w:tcPr>
          <w:p>
            <w:pPr>
              <w:spacing w:after="0"/>
              <w:rPr>
                <w:sz w:val="24"/>
                <w:szCs w:val="24"/>
                <w:color w:val="auto"/>
              </w:rPr>
            </w:pPr>
          </w:p>
        </w:tc>
        <w:tc>
          <w:tcPr>
            <w:tcW w:w="430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8"/>
        </w:trPr>
        <w:tc>
          <w:tcPr>
            <w:tcW w:w="546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contingent consideration payable in Class A Common Stock to Apex Crypto's former owners based on the performance of the business in the 2023-2025 annual periods was estimated using a Monte Carlo model given the range of possible outcomes. As of December 31, 2023, we determined the value of the contingent consideration was zero, based on our forward-looking projections and minimum profit requirements associated with the contingent consideration and reversed the accrual through acquisition expenses. As of March 31, 2024, we determined the value of the contingent consideration remained zero.</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Company's results of operations as if the acquisition of Apex Crypto had occurred on January 1, 2023.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three months ended March 31, 2023 would be $458.3 million. Proforma net loss for the three months ended March 31, 2023 would be $38.5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the acquisition, we changed the name of Apex Crypto to Bakkt Crypto Solutions, LLC ("Bakkt Crypto Solutions").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Bumped Acquisition</w:t>
      </w:r>
    </w:p>
    <w:p>
      <w:pPr>
        <w:spacing w:after="0" w:line="256"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color w:val="auto"/>
        </w:rPr>
        <w:t>On February 8, 2023, we acquired 100% of the units of Bumped Financial, LLC, which we subsequently renamed Bakkt Brokerage, LLC ("Bakkt Brokerage"), a broker-dealer registered with the SEC and the Financial Industry Regulatory 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3"/>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goodwill consisted of the following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identified a triggering event related to the significant decline in our stock price, indicating a potential impairment of our goodwill during the quarter ended March 31, 2024. We determined no goodwill impairment charge was required based on a comparison of our market capitalization against the carrying value of our equity.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3"/>
                <w:szCs w:val="13"/>
                <w:color w:val="auto"/>
              </w:rPr>
            </w:pPr>
          </w:p>
        </w:tc>
        <w:tc>
          <w:tcPr>
            <w:tcW w:w="130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540" w:type="dxa"/>
            <w:vAlign w:val="bottom"/>
          </w:tcPr>
          <w:p>
            <w:pPr>
              <w:spacing w:after="0"/>
              <w:rPr>
                <w:sz w:val="18"/>
                <w:szCs w:val="18"/>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3"/>
                <w:szCs w:val="13"/>
                <w:color w:val="auto"/>
              </w:rPr>
            </w:pPr>
          </w:p>
        </w:tc>
        <w:tc>
          <w:tcPr>
            <w:tcW w:w="15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4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8,000</w:t>
            </w:r>
          </w:p>
        </w:tc>
        <w:tc>
          <w:tcPr>
            <w:tcW w:w="260" w:type="dxa"/>
            <w:vAlign w:val="bottom"/>
          </w:tcPr>
          <w:p>
            <w:pPr>
              <w:spacing w:after="0"/>
              <w:rPr>
                <w:sz w:val="19"/>
                <w:szCs w:val="19"/>
                <w:color w:val="auto"/>
              </w:rPr>
            </w:pP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18,360</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(6,234)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Borders>
              <w:bottom w:val="single" w:sz="8" w:color="CCEEFF"/>
            </w:tcBorders>
          </w:tcPr>
          <w:p>
            <w:pPr>
              <w:jc w:val="right"/>
              <w:ind w:right="634"/>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55,170</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(12,508)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82,141</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(18,742)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did not record any amortization of intangible assets for the three months ended March 31, 2024 as our finite lived intangible assets have been fully impaired. Amortization of intangible assets for the three months ended March 31, 2023 was $2.0 million, and is included in “Depreciation and amortization” in the statements of operations.</w:t>
      </w:r>
    </w:p>
    <w:p>
      <w:pPr>
        <w:spacing w:after="0" w:line="169"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Estimated future amortization for definite-lived intangible assets as of March 31, 2024 is zero as our finite lived intangible assets have been fully impaired.</w:t>
      </w:r>
    </w:p>
    <w:p>
      <w:pPr>
        <w:spacing w:after="0" w:line="162"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 xml:space="preserve">Intangible assets also include crypto we own, which are accounted for as indefinite-lived intangible assets and are initially measured at cost (under a first-in, first-out basis) under the guidance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These assets are not amortized, but assessed for impairment continually given the volatility of markets for these assets. Impairment exists when the carrying amount exceeds its fair value. The fair value of crypto is determined as the lowest price of executed transactions during the measurement or holding period using the quoted price of the crypto in our principal market. The carrying amount of a crypto asset after its impairment becomes its new cost basis. Impairment losses are not reversible or recoverable and are included in “Crypto costs” in the consolidated statement of operations. Impairment losses were not material for the three months ended March 31, 2024 or March 31, 2023. Our owned crypto is typically liquidated on a daily basis during the fulfillment of customer orders and settlement with our liquidity providers. We classify cash flows from crypto within cash flows from operating activities.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Consolidated Balance Sheet Components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6"/>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customers, clients and liquidity partners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29,664</w:t>
            </w:r>
          </w:p>
        </w:tc>
      </w:tr>
      <w:tr>
        <w:trPr>
          <w:trHeight w:val="21"/>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depreciation and amortization expense related to property, equipment and software amounted to $0.1 million and $1.0 million, respectively, of which less than $0.1 million and $0.3 million, respectively, related to amortization expense of capitalized internal-use software placed in service.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clearinghouse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clients and customers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Purchasing card payable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revenue share liability</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Amounts receivable and payable included in the tables above related to our crypto transactions pending settlement with our customers and liquidity providers were settled in April 2024 in amounts consistent with those reflected above.</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March 31, 2024, 1,042,812 Opco common units had been exchanged for Class A Common Stock. Refer to Note 14 regarding the contingency related to the TRA.</w:t>
      </w:r>
    </w:p>
    <w:p>
      <w:pPr>
        <w:spacing w:after="0" w:line="19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Management and Technical Support</w:t>
      </w:r>
    </w:p>
    <w:p>
      <w:pPr>
        <w:spacing w:after="0" w:line="25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did not recognize any expense related to the ICE TSA for the three months ended March 31, 2024. We recognized $0.6 million of expense related to the ICE TSA for the three months ended March 31, 2023, which is reflected as “Related party expenses” in the consolidated statements of operations. As of March 31, 2024 and December 31, 2023, we had $2.2 million and $3.0 million, respectively, reflected as “Due to related party” in the consolidated balance sheets related to the ICE TSA. The agreement terminated in December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Triparty Agreement</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Digital Currency Trading, Clearing, and Warehouse Services Agreement ("Triparty Agreement") provided for ICE Futures U.S., Inc. ("IFUS") to list for trading one or more digital currency futures and/or options contracts, and for ICE Clear US, Inc. ("ICUS") to serve as the clearing house to provide central counterparty and ancillary services for such contracts.</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three months ended March 31, 2023. Effective October 2, 2023, the parties terminated the Triparty Agreement.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Apex Crypto Technical Support</w:t>
      </w:r>
    </w:p>
    <w:p>
      <w:pPr>
        <w:spacing w:after="0" w:line="26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$0.2 million of expense related to the Apex TSA during the three months ended March 31, 2024, which is reflected as “Related party expenses” in the consolidated statements of operations. As of March 31, 2024 and December 31, 2023, we had $0.3 million and $0.2 million, respectively, reflected as “Due to related party” in the consolidated balance sheets related to the Apex TSA.</w:t>
      </w:r>
    </w:p>
    <w:p>
      <w:pPr>
        <w:spacing w:after="0" w:line="17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of March 31, 2024 and December 31, 2023, there were 7,140,808 public warrants outstanding. Public warrants may only be exercised for a whole number of shares. No fractional shares will be issued upon exercise of the public warrant. Holders of public warrants are entitled to purchase one share of Class A Common Stock for every 25 public warrants. The exercise price associated with such warrants is equivalent to $287.50 per share of Class A Common Stock.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9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During the three months ended March 31, 2024 and March 31, 2023, we did not receive any proceeds from the exercise of the public warrants. We recognized a gain from the change in fair value of the warrant liability associated with the public warrants during the three months ended March 31, 2024 of $9.0 million. We recognized a loss from the change in fair value of the warrant liability associated with the public warrants during the three months ended March 31, 2023 of $1.0 million.</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Concurrent Offerings (see Note 10), we issued and sold to the Third-Party Purchasers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19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Concurrently, under the terms of the ICE Offering we entered into a securities purchase agreement (the “ICE Purchase Agreement” and, together with the Third-Party Purchase Agreement, the “Purchase Agreements”) with ICE, pursuant to which we agreed to sell to ICE Class 1 Warrants to purchase up to 230,680 shares of Class A Common Stock and Class 2 Warrants to purchase up to 230,680 shares of Class A Common Stock. The consummation of the transactions contemplated by the ICE Purchase Agreement (the “ICE Closings”) occurred on March 4, 2024 and April 25, 2024. At the ICE Closing, pursuant to the ICE Purchase Agreement, we issued and sold to ICE 461,361 shares of Class A Common Stock, Class 1 Warrants to purchase an aggregate of 230,680 shares of Class A Common Stock, and Class 2 Warrants to purchase an aggregate of 230,680 shares of Class A Common Stock</w:t>
      </w:r>
    </w:p>
    <w:p>
      <w:pPr>
        <w:spacing w:after="0" w:line="19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Class 1 and Class 2 warrants have an exercise price of $25.50 and have a five-and-a-half year term. The Class 1 and Class 2 warrants may be exercised at any time after the 6 month anniversary of the relevant closing. The Class 2 warrant agreement contains an alternative exercise clause that entitles the holder to exchange two warrants for a share of stock if certain conditions are met. The Class 1 and Class 2 warrants issued in the Concurrent Offerings are initially recorded as a liability at fair value and reflected as “Warrant liability” in the consolidated balance sheets. The warrants issued on March 4, 2024 were valued at $27.7 million using a monte-carlo model. As of March 31, 2024, all Class 1 Warrants and Class 2 Warrants remain outstanding. As of March 31, 2024, holders have exercised all of the Pre-Funded Warrants. As of March 31, 2024, proceeds received from the exercise of Pre-Funded Warrants were immaterial. We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recognized a gain from the change in fair value of the warrant liability associated with the Class 1 and Class 2 warrants during the three months ended March 31, 2024 of $7.6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Registered Direct Offering</w:t>
      </w:r>
    </w:p>
    <w:p>
      <w:pPr>
        <w:spacing w:after="0" w:line="25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with certain institutional investors,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(a related party), pursuant to which we agreed to sell and issue a combination of Class A Common Stock, Class 1 Warrants and Class 2 Warrants. We raised net proceeds from the Third-Party Offering of approximately $37.6 million, after deducting the placement agent’s fees and estimated offering expenses payable by us, and raised net proceeds from the ICE Offering of approximately $9.8 million, after deducting estimated offering expenses payable by us. Approximately $2.4 million of proceeds from the ICE Offering were received concurrently with the closing of the Third-Party Offering, with the remaining $7.4 million received in a subsequent closing of the ICE Offering on April 25, 2024 after we obtained stockholder approval for such issuance. We intend to use the net proceeds from the Concurrent Offerings for working capital and other general corporate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March 31, 2024, no shares of preferred stock have been issued.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authorized to issue 30,000,000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March 31, 2024 and December 31, 2023, there were 5,873,079 and 3,793,837 shares of Class A Common Stock issued and outstanding,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March 31, 2024, no dividends have been declared.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We are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three months ended March 31, 2024, holders of Paired Interests exchanged 4,725 Paired Interests for our Class A Common Stock, and we did not elect to settle any such exchanges in cash. As of March 31, 2024 and December 31, 2023, there were 7,195,339 and 7,200,064 shares of Class V Common Stock issued and outstanding,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will not be declared or paid on the Class V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8"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shall not be entitled to receive any of our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25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Opco as of March 31, 2024 and December 31, 2023: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Pr>
          <w:p>
            <w:pPr>
              <w:spacing w:after="0"/>
              <w:rPr>
                <w:sz w:val="21"/>
                <w:szCs w:val="21"/>
                <w:color w:val="auto"/>
              </w:rPr>
            </w:pPr>
          </w:p>
        </w:tc>
        <w:tc>
          <w:tcPr>
            <w:tcW w:w="3260" w:type="dxa"/>
            <w:vAlign w:val="bottom"/>
            <w:tcBorders>
              <w:top w:val="single" w:sz="8" w:color="auto"/>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c>
          <w:tcPr>
            <w:tcW w:w="3260" w:type="dxa"/>
            <w:vAlign w:val="bottom"/>
            <w:tcBorders>
              <w:top w:val="single" w:sz="8" w:color="auto"/>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74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b w:val="1"/>
                <w:bCs w:val="1"/>
                <w:color w:val="auto"/>
              </w:rPr>
              <w:t>Opco</w:t>
            </w: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760" w:type="dxa"/>
            <w:vAlign w:val="bottom"/>
          </w:tcPr>
          <w:p>
            <w:pPr>
              <w:jc w:val="right"/>
              <w:ind w:right="670"/>
              <w:spacing w:after="0" w:line="169" w:lineRule="exact"/>
              <w:rPr>
                <w:sz w:val="20"/>
                <w:szCs w:val="20"/>
                <w:color w:val="auto"/>
              </w:rPr>
            </w:pPr>
            <w:r>
              <w:rPr>
                <w:rFonts w:ascii="Times New Roman" w:cs="Times New Roman" w:eastAsia="Times New Roman" w:hAnsi="Times New Roman"/>
                <w:sz w:val="18"/>
                <w:szCs w:val="18"/>
                <w:b w:val="1"/>
                <w:bCs w:val="1"/>
                <w:color w:val="auto"/>
              </w:rPr>
              <w:t>Opco</w:t>
            </w:r>
          </w:p>
        </w:tc>
        <w:tc>
          <w:tcPr>
            <w:tcW w:w="1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620" w:type="dxa"/>
            <w:vAlign w:val="bottom"/>
            <w:gridSpan w:val="2"/>
            <w:vMerge w:val="continue"/>
          </w:tcPr>
          <w:p>
            <w:pPr>
              <w:spacing w:after="0"/>
              <w:rPr>
                <w:sz w:val="21"/>
                <w:szCs w:val="21"/>
                <w:color w:val="auto"/>
              </w:rPr>
            </w:pP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held by Bakkt Holdings, Inc.</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5,873,079</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3,793,837</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Opco common units held by noncontrolling interest holders</w:t>
            </w:r>
          </w:p>
        </w:tc>
        <w:tc>
          <w:tcPr>
            <w:tcW w:w="1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7,195,339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7,200,064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Opco common units outstanding</w:t>
            </w: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13,068,418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10,993,901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three months ended March 31, 2024 was 62.1%.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Equity</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4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In connection with the VIH Business Combination, Class C warrants of Opco automatically converted into the right to purchase 31,734 Paired Interests in Opco at an exercise price of $126 per Paired Interest. As of March 31, 2024,</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6,882 modified warrant units have vested but have not been exercised, and the remaining 24,851 warrant units have not vested or been exercised. No expenses were recorded during the three months ended March 31, 2024 and March 31, 2023, since the service conditions were not probable of being met in those periods.</w:t>
      </w:r>
    </w:p>
    <w:p>
      <w:pPr>
        <w:spacing w:after="0" w:line="179" w:lineRule="exact"/>
        <w:rPr>
          <w:sz w:val="20"/>
          <w:szCs w:val="20"/>
          <w:color w:val="auto"/>
        </w:rPr>
      </w:pPr>
    </w:p>
    <w:p>
      <w:pPr>
        <w:ind w:right="7560" w:firstLine="8"/>
        <w:spacing w:after="0" w:line="542" w:lineRule="auto"/>
        <w:tabs>
          <w:tab w:leader="none" w:pos="30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Our 2021 Omnibus Incentive Plan, as amended (the “2021 Incentive Plan”), became effective on the Closing Date with the approval of VIH’s shareholders and the Board of Directors. The 2021 Incentive Plan allows us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1,063,618 shares the number of authorized shares of Class A Common Stock available for issuance for a new aggregate total of 2,096,295 shares authorized. No award may vest earlier than the first anniversary of the date of grant, subject to limited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During the three months ended March 31, 2024 and March 31, 2023, we granted 482,599 and 180,454 RSUs, respectively, to employees and directors. During the three months ended March 31, 2024 and March 31, 2023, respectively, we did not grant any PSUs.</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recorded $7.7 million and $5.9 million of share-based compensation expense related to RSUs for the three months ended March 31, 2024 and March 31, 2023, respectively. We recorded $0.3 million and $1.4 million of share-based compensation expense related to PSUs for the three months ended March 31, 2024 and March 31, 2023, respectively. Share-based compensation expense for both RSUs and PSUs, except for share-based compensation expense related to the Company's restructuring efforts discussed below, is included in “Compensation and benefits” in the consolidated statements of operations.</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Unrecognized compensation expense as of March 31, 2024 and December 31, 2023 was $11.5 million and $14.3 million, respectively, for the RSUs and PSUs. The unrecognized compensation expense as of March 31, 2024 and December 31, 2023 will be recognized over a weighted-average period of 1.90 years and 1.38 years,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70"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The following tables summarize RSU and PSU activity under the 2021 Incentive Plan for the three months ended March 31, 2024 and March 31, 2023 (in thousands,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RSUs and</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0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5"/>
                <w:szCs w:val="15"/>
                <w:color w:val="auto"/>
              </w:rPr>
            </w:pPr>
          </w:p>
        </w:tc>
        <w:tc>
          <w:tcPr>
            <w:tcW w:w="16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80" w:type="dxa"/>
            <w:vAlign w:val="bottom"/>
          </w:tcPr>
          <w:p>
            <w:pPr>
              <w:spacing w:after="0"/>
              <w:rPr>
                <w:sz w:val="21"/>
                <w:szCs w:val="21"/>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three months ended March 31, 2024 and March 31, 2023, we recorded $4.9 million and $2.1 million, respectively, of share-based compensation expense related to the accelerated vesting of awards for certain employees, primarily related to the termination of a former executive. Acceleration of share-based compensation expense related to our restructuring efforts is included in “Restructuring expenses” in the consolidated statements of operations. We also recorded reversal of share-based compensation expense of $0.1 million and $0.3 million during the three months ended March 31, 2024 and March 31, 2023, respectively, for forfeitures related to the termination of employees.</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Total fair value of vested RSU and PSU awards was $4.8 million and $4.5 million for the three months ended March 31, 2024 and March 31, 2023, respectively.</w:t>
      </w:r>
    </w:p>
    <w:p>
      <w:pPr>
        <w:spacing w:after="0" w:line="17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fair value of the RSUs and PSUs used in determining share-based compensation expense is based on the closing price of our common stock on the grant date.</w:t>
      </w:r>
    </w:p>
    <w:p>
      <w:pPr>
        <w:spacing w:after="0" w:line="148"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PSUs provide an opportunity for the recipient to receive a number of shares of our Class A Common Stock based on various performance metrics. Upon vesting, each performance stock unit equals one share of Class A Common Stock of the Company. We accrue compensation expense for the PSUs based on our assessment of the probable outcome of the performance conditions. The metrics for PSUs granted during 2022 relate to our performance during fiscal years 2022, 2023 and 2024, as measured against objective performance goals as determined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1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right to participate in the value of Opco, if any, through either a cash payment or issuance of Class A Common Stock upon the occurrence of certain events following vesting of the participation units. Refer to Note 11 to our consolidated financial statements included in our Form 10-K where the modifications to the Opco Plan are described in detail.</w:t>
      </w:r>
    </w:p>
    <w:p>
      <w:pPr>
        <w:spacing w:after="0" w:line="18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Upon consummation of the VIH Business Combination, the 76,475,000 outstanding preferred incentive units and 23,219,745 outstanding common incentive units were converted into 698,934 common incentive units, and the 10,811,502 outstanding participation units were converted into 1,197,250 participation units. Opco preferred incentive units and common incentive units outstanding prior to the VIH Business Combination, as well as participation units, were not impacted by the Reverse Stock Split discussed in Note 2, therefore these amounts are presented without consideration of the Reverse Stock Split Ratio.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are terminated without cause after the Closing Date will vest in the unvested portion of their awards immediately upon their termination date. There has not been, and will not be, any additional awards made under the Opco Plan following the VIH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Unit-based compensation expense for the three months ended March 31, 2023,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unit</w:t>
            </w:r>
          </w:p>
        </w:tc>
        <w:tc>
          <w:tcPr>
            <w:tcW w:w="120" w:type="dxa"/>
            <w:vAlign w:val="bottom"/>
          </w:tcPr>
          <w:p>
            <w:pPr>
              <w:spacing w:after="0"/>
              <w:rPr>
                <w:sz w:val="16"/>
                <w:szCs w:val="16"/>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0" w:type="dxa"/>
            <w:vAlign w:val="bottom"/>
          </w:tcPr>
          <w:p>
            <w:pPr>
              <w:spacing w:after="0"/>
              <w:rPr>
                <w:sz w:val="1"/>
                <w:szCs w:val="1"/>
                <w:color w:val="auto"/>
              </w:rPr>
            </w:pPr>
          </w:p>
        </w:tc>
      </w:tr>
      <w:tr>
        <w:trPr>
          <w:trHeight w:val="216"/>
        </w:trPr>
        <w:tc>
          <w:tcPr>
            <w:tcW w:w="95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incentive unit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Participation unit</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As of December 31, 2023, all Common Incentive Units and Participation Units had vested or been forfeited and there was no unrecognized unit-based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 Activity</w:t>
      </w:r>
    </w:p>
    <w:p>
      <w:pPr>
        <w:spacing w:after="0" w:line="256" w:lineRule="exact"/>
        <w:rPr>
          <w:sz w:val="20"/>
          <w:szCs w:val="20"/>
          <w:color w:val="auto"/>
        </w:rPr>
      </w:pPr>
    </w:p>
    <w:p>
      <w:pPr>
        <w:ind w:right="20" w:firstLine="648"/>
        <w:spacing w:after="0" w:line="329" w:lineRule="auto"/>
        <w:rPr>
          <w:sz w:val="20"/>
          <w:szCs w:val="20"/>
          <w:color w:val="auto"/>
        </w:rPr>
      </w:pPr>
      <w:r>
        <w:rPr>
          <w:rFonts w:ascii="Times New Roman" w:cs="Times New Roman" w:eastAsia="Times New Roman" w:hAnsi="Times New Roman"/>
          <w:sz w:val="18"/>
          <w:szCs w:val="18"/>
          <w:color w:val="auto"/>
        </w:rPr>
        <w:t>The following table summarizes common incentive unit activity under the Opco Plan for the three months ended March 31, 2023 and March 31, 2024 (in thousands, except per unit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438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vMerge w:val="continue"/>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4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19"/>
                <w:szCs w:val="19"/>
                <w:color w:val="auto"/>
              </w:rPr>
            </w:pP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19"/>
                <w:szCs w:val="19"/>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19"/>
                <w:szCs w:val="19"/>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17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4380" w:type="dxa"/>
            <w:vAlign w:val="bottom"/>
          </w:tcPr>
          <w:p>
            <w:pPr>
              <w:spacing w:after="0"/>
              <w:rPr>
                <w:sz w:val="24"/>
                <w:szCs w:val="24"/>
                <w:color w:val="auto"/>
              </w:rPr>
            </w:pP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There were no participation units granted during the three months ended March 31, 2023. We made cash payments of less than $0.1 million to settle vested participation units during the three months ended March 31,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90" w:lineRule="exact"/>
        <w:rPr>
          <w:sz w:val="20"/>
          <w:szCs w:val="20"/>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represents the period that a unit is expected to be outstanding.</w:t>
      </w:r>
    </w:p>
    <w:p>
      <w:pPr>
        <w:spacing w:after="0" w:line="252"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rate is based on the U.S. Treasury yield curve in effect on the grant date for securities with similar expected terms to the term of Opco’s incentive units.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 Expected dividends is assumed to be zero as Opco has not paid and does not expect to pay cash dividends or non-liquidating distributions.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loss (in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2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r>
      <w:tr>
        <w:trPr>
          <w:trHeight w:val="229"/>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(44,859)</w:t>
            </w:r>
          </w:p>
        </w:tc>
      </w:tr>
      <w:tr>
        <w:trPr>
          <w:trHeight w:val="23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(30,883)</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Bakkt Holdings, Inc. – basic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and tax effect attributable to noncontrolling interests</w:t>
            </w:r>
          </w:p>
        </w:tc>
        <w:tc>
          <w:tcPr>
            <w:tcW w:w="22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Bakkt Holdings, Inc. – diluted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 – basic and diluted:</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3,275,172</w:t>
            </w: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3,275,172</w:t>
            </w:r>
          </w:p>
        </w:tc>
      </w:tr>
      <w:tr>
        <w:trPr>
          <w:trHeight w:val="270"/>
        </w:trPr>
        <w:tc>
          <w:tcPr>
            <w:tcW w:w="6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 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bl>
    <w:p>
      <w:pPr>
        <w:spacing w:after="0" w:line="30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No shares that are contingently issuable as part of the Bakkt Crypto Solutions acquisition have been included in the calculation of diluted EPS as no amounts are payable as of March 31, 2024. The following table summarizes the total potential common shares excluded from diluted loss per common share as their effect would be anti-dilutive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968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1 and Class 2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Capital Requirements</w:t>
      </w:r>
    </w:p>
    <w:p>
      <w:pPr>
        <w:spacing w:after="0" w:line="252"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Bakkt Trust </w:t>
      </w:r>
      <w:r>
        <w:rPr>
          <w:rFonts w:ascii="Times New Roman" w:cs="Times New Roman" w:eastAsia="Times New Roman" w:hAnsi="Times New Roman"/>
          <w:sz w:val="18"/>
          <w:szCs w:val="18"/>
          <w:color w:val="auto"/>
        </w:rPr>
        <w:t>is subject to certain regulatory capital requirements imposed by NYDFS. These capital requirements require Bakkt Trust to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cash the greater of a defined positive net worth or the sum of the required percentages established for transmitted assets and cold wallet and hot wallet custody assets. The amounts set aside to satisfy these requirements are included within “Restricted cash” in the consolidated balance sheets.</w:t>
      </w:r>
    </w:p>
    <w:p>
      <w:pPr>
        <w:spacing w:after="0" w:line="178"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Bakkt Crypto </w:t>
      </w:r>
      <w:r>
        <w:rPr>
          <w:rFonts w:ascii="Times New Roman" w:cs="Times New Roman" w:eastAsia="Times New Roman" w:hAnsi="Times New Roman"/>
          <w:sz w:val="18"/>
          <w:szCs w:val="18"/>
          <w:color w:val="0C0C0C"/>
        </w:rPr>
        <w:t>holds a BitLicense from NYDFS, which subjects it to NYDFS’s oversight with respect to business activities conducted in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C0C0C"/>
        </w:rPr>
        <w:t xml:space="preserve">York State and with New York residents, and </w:t>
      </w:r>
      <w:r>
        <w:rPr>
          <w:rFonts w:ascii="Times New Roman" w:cs="Times New Roman" w:eastAsia="Times New Roman" w:hAnsi="Times New Roman"/>
          <w:sz w:val="18"/>
          <w:szCs w:val="18"/>
          <w:color w:val="000000"/>
        </w:rPr>
        <w:t>is required to maintain a capital balance equal to the greater of a predefined minimum amount or the sum of</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the required percentages established for transmitted assets, cold wallet and hot wallet custody assets, and predefined wind-down costs, or expected costs associated with the orderly wind-down of the business. Bakkt Crypto also has money transmitter licenses wherever its business model requires (46 states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plus Washington D.C., giving effect to the surrender of duplicative and unneeded licenses following the merger of Bakkt Crypto Solutions and Bakkt Marketplace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we received approval from NYDFS to merge, and have since merged, Bakkt Crypto Solutions and Bakkt Marketplace into one legal entity, now referred to as Bakkt Crypto.</w:t>
      </w:r>
    </w:p>
    <w:p>
      <w:pPr>
        <w:spacing w:after="0" w:line="174"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Bakkt Brokerage </w:t>
      </w:r>
      <w:r>
        <w:rPr>
          <w:rFonts w:ascii="Times New Roman" w:cs="Times New Roman" w:eastAsia="Times New Roman" w:hAnsi="Times New Roman"/>
          <w:sz w:val="18"/>
          <w:szCs w:val="18"/>
          <w:color w:val="auto"/>
        </w:rPr>
        <w:t>is registered as a broker-dealer with the Financial Industry Regulatory Authority and is required to maintain a minimum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net capital. Bakkt Brokerage's net capital requirement is not material.</w:t>
      </w:r>
    </w:p>
    <w:p>
      <w:pPr>
        <w:spacing w:after="0" w:line="145"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of March 31, 2024 and December 31,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sponsor a 401(k) defined contribution plan covering all eligible U.S. employees. Both Company and employee contributions to the 401(k) plan are discretionary. For the three months ended March 31, 2024 and March 31, 2023, we recorded approximately $0.7 million and $1.0 million, respectively, of expenses related to the 401(k) plan, which is included in "Compensation and benefits" in the consolidated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is party to a TRA with certain Opco equity holders. As of March 31, 2024,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On April 17, 2024, the Court granted the Plaintiffs' motion for final approval and terminated the class action. We expect the settlement will be covered by our insurance less our contractual retention.</w:t>
      </w:r>
    </w:p>
    <w:p>
      <w:pPr>
        <w:spacing w:after="0" w:line="17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w:t>
      </w:r>
    </w:p>
    <w:p>
      <w:pPr>
        <w:spacing w:after="0" w:line="173"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Prior to its acquisition by the Company, Apex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174"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We recognized $0.4 million of expense for this matter during the three months ended March 31, 2024. The total amount accrued for this matter as of March 31, 2024 was $1.1 million.</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Purchasing Card Facility</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purchasing card facility that we utilize for redemption purchases made from vendors as part of our loyalty redemption platform.. Total borrowing capacity under the facility was $35 million and there is no defined maturity date.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2023, we entered into a five-year strategic marketing agreement which required a committed spend. As of March 31, 2024, our outstanding purchase obligations consisted of the following future minimum commitments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7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 of (0.5)% for the three months ending March 31, 2024 differs from statutory rates primarily due to the noncontrolling interest that is not taxed to the Company and the absence of taxable income available to realize the Company’s net operating losses and other deferred tax assets.</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 of less than (0.1)% for the three months ending March 31, 2023 differs from statutory rates primarily due to the noncontrolling interest that is not taxed to the Company and the absence of taxable income available to realize the Company’s net operating losses and other deferred tax assets.</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substantially all of our deferred tax assets were not more likely than not to be realized. As such. the Company had a valuation allowance of $139.3 million and $139.3 million as of March 31, 2024 and December 31, 2023, respectively.</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March 31, 2024 or December 31, 2023.</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as Level 1, Level 2 and Level 3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1,251,250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liability—Class 1 and Class 2 warrants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20,078</w:t>
            </w: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1,254,244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20,078</w:t>
            </w: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718,954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701,556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703,912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701,556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unbilled accounts receivable,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investments in debt securities consist of U.S. Treasury debt securities held in the custody of a major financial institution. As of March 31, 2024, our investment in available-for-sale debt securities was determined to be a Level 1 investment based on quoted prices in active markets and was recorded in the consolidated balance sheets at fair value.</w:t>
      </w:r>
    </w:p>
    <w:p>
      <w:pPr>
        <w:spacing w:after="0" w:line="1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determined to be the principal market for the related crypto as of March 31, 2024.</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contingent consideration associated with the acquisition of Bakkt Crypto Solutions is valued using Level 3 inputs, which includes a Monte Carlo model. The inputs for the Monte Carlo model included forecasted financial performance of Bakkt Crypto Solutions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and used an estimated gross profit volatility of 66%. As of December 31, 2023, we determined the value of the contingent consideration was zero, based on our forward-looking projections and minimum profit requirements associated with the contingent consideration and reversed the accrual through acquisition expenses. As of March 31, 2024, we determined the value of the contingent consideration remained zero.</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public warrant liability is valued based on quoted prices in active markets and is classified within Level 1. The warrants associated with the Concurrent Offerings were valued using a monte-carlo model, which is considered a Level 3 input. A significant input to the monte-carlo model include the volatility of movement in the price of the stock underlying the warrants, which was estimated using the historical volatility of our Class A common stock over the contractual period of the warrant.</w:t>
      </w:r>
    </w:p>
    <w:p>
      <w:pPr>
        <w:spacing w:after="0" w:line="19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lease real estate for office space under operating leases. On December 21, 2023, we signed an agreement to sublease a portion of our corporate headquarters office space in Alpharetta, Georgia. The sublease commenced in March 2024. On March 15, 2023, we signed an amendment to our Scottsdale, Arizona lease that extended the lease term. The amended lease has a term of 89 months and total fixed lease payments over the term of the amended lease are $5.7 million. During the year ended December 31,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March 31, 2024, we do not have any active finance leases.</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real estate leases have remaining lease terms as of March 31, 2024 ranging from 25 months to 102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As of March 31, 2024, the weighted average remaining lease term for our operating leases was approximately 82 months, and the weighted average discount rate for our operating leases was 5.3%. As of December 31, 2023, the weighted average remaining lease term for our operating leases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was approximately 84 months, and the weighted average discount rate for our operating leases was 5.3%. We were party to short-term leases during three months ended March 31, 2024 and March 31, 2023, which resulted in less than $0.1 million of rent expense,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18. Safeguarding Obligation For Crypto</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provide custody services for Bakkt Crypto's customers and for Bakkt Trust's standalone custody customers. Bakkt Trust may also provide sub-custodian services Bakkt Crypto customers.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A significant portion of the crypto we hold in a custodial capacity are custodied by institutional grade subcustodians. Subcustodians used by Bakkt Crypto hold our customer cryptographic key information and are not permitted to move assets without our specific authorization.</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March 31, 2024, we have a safeguarding obligation for crypto of $1,233.2 million. The safeguarding liability, and corresponding safeguarding asset for crypto on the balance sheet, are measured at the fair value of the crypto held for our customers. We are not aware of any actual or possible safeguarding loss events as of March 31, 2024. Therefore, the safeguarding obligation for crypto and the related safeguarding asset for crypto are recorded at the same amount.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responsible for holding the following crypto on behalf of our customers as of March 31, 2024 and December 31, 2023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Ether</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196,016</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78,524</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70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1,233,238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Investment in Debt Securities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We have investments in certain debt securities, which we record at fair value and present as "Available-for-sale securities" in the consolidated balance sheets.</w:t>
      </w:r>
    </w:p>
    <w:p>
      <w:pPr>
        <w:spacing w:after="0" w:line="1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87"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with unrealized gains and losses included in “Accumulated other comprehensive loss” in the consolidated balance sheets were as follows (in thousands):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4"/>
                <w:szCs w:val="14"/>
                <w:color w:val="auto"/>
              </w:rPr>
            </w:pPr>
          </w:p>
        </w:tc>
        <w:tc>
          <w:tcPr>
            <w:tcW w:w="13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14"/>
                <w:szCs w:val="14"/>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14"/>
                <w:szCs w:val="14"/>
                <w:color w:val="auto"/>
              </w:rPr>
            </w:pPr>
          </w:p>
        </w:tc>
        <w:tc>
          <w:tcPr>
            <w:tcW w:w="136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4"/>
                <w:szCs w:val="14"/>
                <w:color w:val="auto"/>
              </w:rPr>
            </w:pPr>
          </w:p>
        </w:tc>
        <w:tc>
          <w:tcPr>
            <w:tcW w:w="9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5"/>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Gains/(Losses),</w:t>
            </w:r>
          </w:p>
        </w:tc>
        <w:tc>
          <w:tcPr>
            <w:tcW w:w="3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Gains/(Losses),</w:t>
            </w: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18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30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2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26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debt</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bonds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There were no available-for-sale debt securities in an unrealized loss position as of March 31, 2024 or December 31, 2023. We may sell certain investments depending on liquidity needs of the business; however, it is not likely that we will be required to sell the investments before recovery of their respective amortized cost basis. In addition, there were no credit losses on these investments as of March 31, 2024. In February 2024, we sold our available-for-sale securities based on liquidity needs of the business. Losses associated with the sales were immaterial.</w:t>
      </w:r>
    </w:p>
    <w:p>
      <w:pPr>
        <w:spacing w:after="0" w:line="19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at March 31, 2024, by contractual maturity, are shown below (in thousands). Expected maturities may differ from contractual maturities because borrowers may have the right to prepay and creditors may have the right to call obligations.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8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b w:val="1"/>
          <w:bCs w:val="1"/>
          <w:color w:val="231F20"/>
        </w:rPr>
        <w:t>Subsequent Events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We have evaluated subsequent events and determined that no other events or transactions, other than those disclosed above, met the definition of a subsequent event for purposes of recognition or disclosure in the accompanying consolidated financial statements.</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On April 25, 2024, we completed the subsequent sale and issuance of 350,880 shares of Class A Common Stock, Class 1 Warrants to purchase up to 175,440 shares of Class A Common Stock and Class 2 Warrants to purchase up to 175,440 shares of Class A Common Stock to ICE pursuant to the ICE Purchase Agreement. We received aggregate gross proceeds of approximately $7.6 million from such issuance.</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May 2, 2024, we announced a reduction in force that is expected to result in the termination of 28 employees, which represents approximately 13% of our non-call center, full-time workforce. The reduction in force is a component of a broader strategic review of our operations that is intended to more effectively align resources with business priorities. Substantially all of the employees impacted by the reduction in force were notified of the reduction on May 2, 2024 and will exit the Company in the second quarter of 2024. We estimate that we will incur expenses in a range of $0.8 million to $1.0 million related to the reduction in force, substantially all of which will relate to employee severance and benefits costs and will be recognized in the second quarter of 2024.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 w:cs="Times New Roman" w:eastAsia="Times New Roman" w:hAnsi="Times New Roman"/>
          <w:sz w:val="18"/>
          <w:szCs w:val="18"/>
          <w:i w:val="1"/>
          <w:iCs w:val="1"/>
          <w:color w:val="000000"/>
        </w:rPr>
        <w:t>March 31, 2024</w:t>
      </w:r>
      <w:r>
        <w:rPr>
          <w:rFonts w:ascii="Times New Roman" w:cs="Times New Roman" w:eastAsia="Times New Roman" w:hAnsi="Times New Roman"/>
          <w:sz w:val="18"/>
          <w:szCs w:val="18"/>
          <w:i w:val="1"/>
          <w:iCs w:val="1"/>
          <w:color w:val="231F20"/>
        </w:rPr>
        <w:t xml:space="preserve"> (this "Report") and in our Annual Report on Form 10-K for the fiscal year ended </w:t>
      </w:r>
      <w:r>
        <w:rPr>
          <w:rFonts w:ascii="Times New Roman" w:cs="Times New Roman" w:eastAsia="Times New Roman" w:hAnsi="Times New Roman"/>
          <w:sz w:val="18"/>
          <w:szCs w:val="18"/>
          <w:i w:val="1"/>
          <w:iCs w:val="1"/>
          <w:color w:val="000000"/>
        </w:rPr>
        <w:t>December 31, 2023</w:t>
      </w:r>
      <w:r>
        <w:rPr>
          <w:rFonts w:ascii="Times New Roman" w:cs="Times New Roman" w:eastAsia="Times New Roman" w:hAnsi="Times New Roman"/>
          <w:sz w:val="18"/>
          <w:szCs w:val="18"/>
          <w:i w:val="1"/>
          <w:iCs w:val="1"/>
          <w:color w:val="231F20"/>
        </w:rPr>
        <w:t xml:space="preserve">, which is incorporated herein by reference. References in this section to “we,” “us,” “our,” “Bakkt” or the “Company” and like terms refer to Bakkt Holdings, Inc. and its subsidiaries for the </w:t>
      </w:r>
      <w:r>
        <w:rPr>
          <w:rFonts w:ascii="Times New Roman" w:cs="Times New Roman" w:eastAsia="Times New Roman" w:hAnsi="Times New Roman"/>
          <w:sz w:val="18"/>
          <w:szCs w:val="18"/>
          <w:i w:val="1"/>
          <w:iCs w:val="1"/>
          <w:color w:val="000000"/>
        </w:rPr>
        <w:t>three months ending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 xml:space="preserve">March 31, 2024, </w:t>
      </w:r>
      <w:r>
        <w:rPr>
          <w:rFonts w:ascii="Times New Roman" w:cs="Times New Roman" w:eastAsia="Times New Roman" w:hAnsi="Times New Roman"/>
          <w:sz w:val="18"/>
          <w:szCs w:val="18"/>
          <w:i w:val="1"/>
          <w:iCs w:val="1"/>
          <w:color w:val="231F20"/>
        </w:rPr>
        <w:t>unless the context otherwise requires. Some of the information contained in this discussion and analysis or set forth elsewhere in this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color w:val="231F20"/>
        </w:rPr>
        <w:t>Report,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C0C0C"/>
        </w:rPr>
        <w:t>In this section and elsewhere in this Report, we use the following terms, which are defined as follows:</w:t>
      </w:r>
    </w:p>
    <w:p>
      <w:pPr>
        <w:spacing w:after="0" w:line="208" w:lineRule="exact"/>
        <w:rPr>
          <w:sz w:val="20"/>
          <w:szCs w:val="20"/>
          <w:color w:val="auto"/>
        </w:rPr>
      </w:pPr>
    </w:p>
    <w:p>
      <w:pPr>
        <w:jc w:val="both"/>
        <w:ind w:left="660" w:hanging="328"/>
        <w:spacing w:after="0" w:line="29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funds, merchants, retailers, third party partners, and other businesses (except in the accompanying </w:t>
      </w:r>
      <w:r>
        <w:rPr>
          <w:rFonts w:ascii="Times New Roman" w:cs="Times New Roman" w:eastAsia="Times New Roman" w:hAnsi="Times New Roman"/>
          <w:sz w:val="18"/>
          <w:szCs w:val="18"/>
          <w:color w:val="231F20"/>
        </w:rPr>
        <w:t>notes to the consolidated financial statements,</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where we refer to revenue earned from customers, instead of clients. The term customers is </w:t>
      </w:r>
      <w:r>
        <w:rPr>
          <w:rFonts w:ascii="Times New Roman" w:cs="Times New Roman" w:eastAsia="Times New Roman" w:hAnsi="Times New Roman"/>
          <w:sz w:val="18"/>
          <w:szCs w:val="18"/>
          <w:color w:val="000000"/>
        </w:rPr>
        <w:t>in accordance with the Financial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Standards Board (“FASB”) Accounting Standards Codification (“ASC”) Topic </w:t>
      </w:r>
      <w:r>
        <w:rPr>
          <w:rFonts w:ascii="Times New Roman" w:cs="Times New Roman" w:eastAsia="Times New Roman" w:hAnsi="Times New Roman"/>
          <w:sz w:val="18"/>
          <w:szCs w:val="18"/>
          <w:color w:val="231F20"/>
        </w:rPr>
        <w:t>606,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or "Crypto asset" </w:t>
      </w:r>
      <w:r>
        <w:rPr>
          <w:rFonts w:ascii="Times New Roman" w:cs="Times New Roman" w:eastAsia="Times New Roman" w:hAnsi="Times New Roman"/>
          <w:sz w:val="18"/>
          <w:szCs w:val="18"/>
          <w:color w:val="auto"/>
        </w:rPr>
        <w:t>means an asset that is built using blockchain technology, including virtual currencies (as used in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coins, cryptocurrencies, stablecoins, and other tokens. Our platform enables transactions in certain supported crypto assets. For purposes of this Form 10-Q, we use crypto assets, virtual currency, coins, and tokens interchangeably.</w:t>
      </w:r>
    </w:p>
    <w:p>
      <w:pPr>
        <w:spacing w:after="0" w:line="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 transact in</w:t>
      </w:r>
    </w:p>
    <w:p>
      <w:pPr>
        <w:spacing w:after="0" w:line="53"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points, as well as customers of our clients who transact in crypto through, and have accounts on, our platform (except as defined for ASC 606 purposes above).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25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151515"/>
        </w:rPr>
        <w:t xml:space="preserve">Founded in 2018, Bakkt builds technology that connects the digital economy by offering one ecosystem for crypto and loyalty points. We enable our clients to deliver new opportunities to their customers through </w:t>
      </w:r>
      <w:r>
        <w:rPr>
          <w:rFonts w:ascii="Times New Roman" w:cs="Times New Roman" w:eastAsia="Times New Roman" w:hAnsi="Times New Roman"/>
          <w:sz w:val="18"/>
          <w:szCs w:val="18"/>
          <w:color w:val="0C0C0C"/>
        </w:rPr>
        <w:t>software as a service (“SaaS”)</w:t>
      </w:r>
      <w:r>
        <w:rPr>
          <w:rFonts w:ascii="Times New Roman" w:cs="Times New Roman" w:eastAsia="Times New Roman" w:hAnsi="Times New Roman"/>
          <w:sz w:val="18"/>
          <w:szCs w:val="18"/>
          <w:color w:val="151515"/>
        </w:rPr>
        <w:t xml:space="preserve"> and 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uniquely positioned to power commerce by enabling consumers, brands, and financial institutions to better manage, transact with and monetize crypto in exciting new ways.</w:t>
      </w:r>
    </w:p>
    <w:p>
      <w:pPr>
        <w:spacing w:after="0" w:line="17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151515"/>
        </w:rPr>
        <w:t>Our platform is built to operate across various cryptoassets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54"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Board of Directors,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will continue to be listed on the NYSE under the symbol “BKKT”. In accordance with the Financial Accounting Standards Board (“FASB”) Accounting Standards Codification (“ASC”) Topic 505 Equity, changes in the capital structure of a public reporting entity due to a reverse stock split occurring after the balance sheet date, but before the release of the financial statements, should be given retroactive effect. As such, the Reverse Stock Split has been retroactively applied to all figures throughout this Quarterly Report on Form 10-Q (unless otherwise noted).</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Reverse Stock Split increased the price per share of our Class A Common Stock above the $1.00 per share minimum bid price requirement of Section 802.01C of the NYSE Listed Company Manual (the “Listing Rule”), as discussed below. We, however, cannot assure that the price per share following the Reverse Stock Split will be maintained for any period of time, or that the price will remain above the pre-split trading price or $1.00 per share.</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and number of authorized shares of preferred stock did not change.</w:t>
      </w:r>
    </w:p>
    <w:p>
      <w:pPr>
        <w:spacing w:after="0" w:line="191"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Bakkt Opco Holdings, LLC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1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All of our outstanding warrants to purchase Class A Common Stock were proportionately adjusted as a result of the Reverse Stock Split in accordance with the terms of the warrants. Proportionate adjustments were also made to our employees and directors' outstanding equity awards, as well as to the number of shares issuable under our 2021 Omnibus Incentive Plan, as amended (the “2021 Omnibus Incentive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Concurrent Registered Direct Offerings</w:t>
      </w:r>
    </w:p>
    <w:p>
      <w:pPr>
        <w:spacing w:after="0" w:line="26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report,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$0.8670 and the purchase price of each Pre-Funded Warrant and accompanying Warrant was $0.8669.</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 concurrent registered direct offering (the “ICE Offering” and, together with the Third-Party Offering, the “Concurrent Offerings”), we entered into a securities purchase agreement (the “ICE Purchase Agreement” and, together with the Third-Party Purchase Agreement, the “Purchase Agreements”) with ICE, pursuant to which we agreed to sell to ICE up to 461,360 shares of Class A Common Stock, Class 1 Warrants to purchase up to 230,680 shares of Class A Common Stock, and Class 2 Warrants to purchase up to 230,680 shares of Class A Common Stock. The purchase price of each share of Class A Common Stock and accompanying Warrant in the ICE Offering is $0.8670.</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7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231F20"/>
        </w:rPr>
        <w:t>Liquidity and Capital Resources” below for management’s assertions on the impact of the Concurrent Offerings on our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considerations.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 Market Developments</w:t>
      </w:r>
    </w:p>
    <w:p>
      <w:pPr>
        <w:spacing w:after="0" w:line="26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After a year of significant volatility in crypto asset prices, a loss of confidence in many participants in the crypto asset ecosystem, regulatory actions and adverse publicity around specific companies in 2023, the crypto markets in 2024 continue to be impacted by the broader macroeconomic conditions, including the strength of the overall macroeconomic environment, high interest rates, spikes in inflation rates, general market volatility, and geopolitical concerns. We expect the macroeconomic environment and the state of the crypto markets to remain dynamic in the near-term.</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w:t>
      </w:r>
    </w:p>
    <w:p>
      <w:pPr>
        <w:spacing w:after="0" w:line="19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January 2024, the SEC approved a number of applications for spot-traded bitcoin exchange-traded funds, or ETFs. Since then, the crypto market has seen a significant increase in interest from, and participation by, institutional investors. We believe this increase in institutional interest and adoption intersects with our strengths, as we were originally conceived as an institutionally-focused crypto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Apex Crypto Acquisition</w:t>
      </w:r>
    </w:p>
    <w:p>
      <w:pPr>
        <w:spacing w:after="0" w:line="26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LLC (“Apex Crypto”) and subsequently changed the name of the legal entity to Bakkt Crypto Solutions, LLC (“Bakkt Crypto Solutions”). On March 20, 2024, Bakkt Marketplace, LLC ("Bakkt Marketplace") merged with Bakkt Crypto Solutions. The newly merged entity operates under the name Bakkt Crypto Solutions, LLC ("Bakkt Crypto"). We are leveraging Bakkt Crypto’s proprietary trading platform and existing relationships with liquidity providers to provide a wider range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assets and competitive pricing to our customers. Our acquisition of Bakkt Crypto Solutions complements our B2B2C growth strategy by broadening our business partnerships to fintechs and neobanks. Specifically, Bakkt Crypto offers customers the ability to purchase, sell, store and, in approved jurisdictions, deposit and withdraw approved crypto assets, all from within the applications of its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addition, Bakkt Crypto is in the process of developing, subject to applicable regulatory approvals, functionalities enabling transfers of supported crypto assets between registered customers. Bakkt Crypto is also in the process of enhancing capabilities on its trading platform, including support for larger orders and recurring buys, and extending the platform to support institutional execution.</w:t>
      </w:r>
    </w:p>
    <w:p>
      <w:pPr>
        <w:spacing w:after="0" w:line="169"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part of our ongoing review of potential services, we continually evaluate how we can most effectively improve our platform and service offerings in a manner that is compliant with applicable governance and regulatory considerations. In such review, we may determine to stop pursuing a potential service offering in light of, among other things, revenue expectations and compliance with applicable laws. For example, following discussion with our clients we have elected to suspend the development of our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At the time our acquisition of Bakkt Crypto Solutions closed, Bakkt Crypto Solutions had agreements with more than 30 fintech clients pursuant to which the clients made Bakkt Crypto Solutions’s crypto asset trading service available to their customer base. Our acquisition of Bakkt Crypto Solutions resulted in us obtaining access to such partners. The majority of these fintech clients are also part of Apex Fintech Solutions’ client network.</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agreements with these fintech clients provide for licensing of their front-end trading platforms by Bakkt Crypto and cooperation between the parties in facilitating consumers’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17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Following the closing of the acquisition of Bakkt Crypto Solutions and in light of recent regulatory developments, we reviewed all crypto assets then available on the Bakkt Crypto Solutions platform and determined it was appropriate to delist certain of such crypto assets. In effecting such delisting decisions, we attempted to mitigate impacts on our business and customers by affording customers a period in which to exit their positions in the impacted crypto assets as part of an orderly wind-down. The delisting process was completed on September 21, 2023 and we recognized transactional revenue associated with delisted crypto assets of approximately $27.6 million on that date</w:t>
      </w:r>
      <w:r>
        <w:rPr>
          <w:rFonts w:ascii="Times New Roman" w:cs="Times New Roman" w:eastAsia="Times New Roman" w:hAnsi="Times New Roman"/>
          <w:sz w:val="18"/>
          <w:szCs w:val="18"/>
          <w:color w:val="231F20"/>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NYSE Listing Notification</w:t>
      </w:r>
    </w:p>
    <w:p>
      <w:pPr>
        <w:spacing w:after="0" w:line="25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March 13, 2024, we were notified by NYSE that we were not in compliance with the Listing Rule because the average closing stock price of a share of our Class A Common Stock was less than $1.00 per share over a consecutive 30 trading-day period. Pursuant to the Listing Rule, we have six months following the NYSE notification to regain compliance with the Listing Rule, during which time our Class A Common Stock will continue to be listed on the NYSE.</w:t>
      </w:r>
    </w:p>
    <w:p>
      <w:pPr>
        <w:spacing w:after="0" w:line="187"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Under the NYSE’s rules, if a Company determines it will cure its noncompliance with the Listing Rule by taking an action that will require stockholder approval, it must so inform the NYSE, and the noncompliance with the Listing Rule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will be deemed cured if the price promptly exceeds $1.00 per share and the price remains above that level for at least the following 30 trading days. As discussed above, we implemented the Reverse Stock Split, which we believe will cure the noncompliance with the Listing Rule.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 Transition</w:t>
      </w:r>
    </w:p>
    <w:p>
      <w:pPr>
        <w:spacing w:after="0" w:line="268"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On March 18, 2024, Gavin Michael resigned as President, Chief Executive Officer and as a director of the Company, as well as from all positions held with the Company’s subsidiaries, effective March 25, 2024. Mr. Michael has been engaged as an advisor to the Company for a period of one year.</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18, 2024, the Company announced that the Company’s Board of Directors (the “Board”) appointed Andrew Main to serve as the Company’s President and Chief Executive Officer, effective as of March 26, 2024. In connection with his appointment as the Company’s President and Chief Executive Officer, Mr. Main resigned from his position as a member of the Compensation Committee of the Board, effective as of March 26, 2024. Mr. Main will continue to serve as a member of the Board.</w:t>
      </w:r>
    </w:p>
    <w:p>
      <w:pPr>
        <w:spacing w:after="0" w:line="19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On April 29, 2024, Charles Goodroe tendered his resignation from his position as Chief Accounting Officer of the Company, to be effective as of May 22, 2024. Upon the effectiveness of Mr. Goodroe’s resignation, Karen Alexander, the Company’s Chief Financial Officer and principal financial officer, will assume the role of the Company’s principal accounting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Growing Our Client Base</w:t>
      </w:r>
    </w:p>
    <w:p>
      <w:pPr>
        <w:spacing w:after="0" w:line="25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Solutions complements our B2B2C growth strategy by broadening our business partnerships to fintechs and neo-banks.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Expansion and Innovation</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crypto marketplace is highly competitive with numerous participants competing for the same clients. We believe we are well positioned with our ability to provide capabilities around emerging crypto alongside loyalty points on a single, highly secure, institutional-grade technology platform.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Economic and Market Conditions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Times New Roman" w:cs="Times New Roman" w:eastAsia="Times New Roman" w:hAnsi="Times New Roman"/>
          <w:sz w:val="18"/>
          <w:szCs w:val="18"/>
          <w:i w:val="1"/>
          <w:iCs w:val="1"/>
          <w:color w:val="231F20"/>
        </w:rPr>
        <w:t>See “Crypto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Market Developments” above.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Regulations in U.S. &amp; International Markets</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We are seeking to bring trust and transparency to </w:t>
      </w:r>
      <w:r>
        <w:rPr>
          <w:rFonts w:ascii="Times New Roman" w:cs="Times New Roman" w:eastAsia="Times New Roman" w:hAnsi="Times New Roman"/>
          <w:sz w:val="18"/>
          <w:szCs w:val="18"/>
          <w:color w:val="000000"/>
        </w:rPr>
        <w:t>crypto</w:t>
      </w:r>
      <w:r>
        <w:rPr>
          <w:rFonts w:ascii="Times New Roman" w:cs="Times New Roman" w:eastAsia="Times New Roman" w:hAnsi="Times New Roman"/>
          <w:sz w:val="18"/>
          <w:szCs w:val="18"/>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We continue to work with regulators to address the emerging global landscape for </w:t>
      </w:r>
      <w:r>
        <w:rPr>
          <w:rFonts w:ascii="Times New Roman" w:cs="Times New Roman" w:eastAsia="Times New Roman" w:hAnsi="Times New Roman"/>
          <w:sz w:val="18"/>
          <w:szCs w:val="18"/>
          <w:color w:val="000000"/>
        </w:rPr>
        <w:t>crypto</w:t>
      </w:r>
      <w:r>
        <w:rPr>
          <w:rFonts w:ascii="Times New Roman" w:cs="Times New Roman" w:eastAsia="Times New Roman" w:hAnsi="Times New Roman"/>
          <w:sz w:val="18"/>
          <w:szCs w:val="18"/>
          <w:color w:val="231F20"/>
        </w:rPr>
        <w:t>. As investment continues, the intersection of technology and finance will require ongoing engagement as new applications emerge. C</w:t>
      </w:r>
      <w:r>
        <w:rPr>
          <w:rFonts w:ascii="Times New Roman" w:cs="Times New Roman" w:eastAsia="Times New Roman" w:hAnsi="Times New Roman"/>
          <w:sz w:val="18"/>
          <w:szCs w:val="18"/>
          <w:color w:val="000000"/>
        </w:rPr>
        <w:t>rypto asset</w:t>
      </w:r>
      <w:r>
        <w:rPr>
          <w:rFonts w:ascii="Times New Roman" w:cs="Times New Roman" w:eastAsia="Times New Roman" w:hAnsi="Times New Roman"/>
          <w:sz w:val="18"/>
          <w:szCs w:val="18"/>
          <w:color w:val="231F20"/>
        </w:rPr>
        <w:t xml:space="preserve"> and distributed ledger technology have significant, positive potential with proper collaboration between industry and regulators.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Safeguarding Obligation Liability and Safeguarding Asset Related to Crypto Held for Other Parties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detailed in Note 18 in the unaudited consolidated financial statements included in this Report, upon the adoption of Staff Accounting Bulletin 121 (“SAB 121”), we recorded a safeguarding obligation liability and a corresponding safeguarding asset related to the crypto held for other parties. As of March 31, 2024, the safeguarding obligation liability related to crypto held for other parties was $1,233.2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spacing w:after="0" w:line="19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Key Performance Indicators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0C0C0C"/>
        </w:rPr>
        <w:t>We use four key performance indicators (“KPIs”) that are key to understanding our business performance, as they reflect the different ways we enable clients to engage with our platform.</w:t>
      </w:r>
    </w:p>
    <w:p>
      <w:pPr>
        <w:spacing w:after="0" w:line="172" w:lineRule="exact"/>
        <w:rPr>
          <w:sz w:val="20"/>
          <w:szCs w:val="20"/>
          <w:color w:val="auto"/>
        </w:rPr>
      </w:pPr>
    </w:p>
    <w:p>
      <w:pPr>
        <w:ind w:left="660" w:right="20" w:hanging="328"/>
        <w:spacing w:after="0" w:line="318" w:lineRule="auto"/>
        <w:tabs>
          <w:tab w:leader="none" w:pos="655" w:val="left"/>
        </w:tabs>
        <w:numPr>
          <w:ilvl w:val="0"/>
          <w:numId w:val="18"/>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Crypto-enabled accounts. </w:t>
      </w:r>
      <w:r>
        <w:rPr>
          <w:rFonts w:ascii="Times New Roman" w:cs="Times New Roman" w:eastAsia="Times New Roman" w:hAnsi="Times New Roman"/>
          <w:sz w:val="18"/>
          <w:szCs w:val="18"/>
          <w:color w:val="0C0C0C"/>
        </w:rPr>
        <w:t>We define crypto-enabled accounts as the total crypto accounts open on our platform. There were 6.3 million and 6.2</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million crypto-enabled accounts </w:t>
      </w:r>
      <w:r>
        <w:rPr>
          <w:rFonts w:ascii="Times New Roman" w:cs="Times New Roman" w:eastAsia="Times New Roman" w:hAnsi="Times New Roman"/>
          <w:sz w:val="18"/>
          <w:szCs w:val="18"/>
          <w:color w:val="000000"/>
        </w:rPr>
        <w:t>as of March 31, 2024 and December 31, 2023, respectively</w:t>
      </w:r>
      <w:r>
        <w:rPr>
          <w:rFonts w:ascii="Times New Roman" w:cs="Times New Roman" w:eastAsia="Times New Roman" w:hAnsi="Times New Roman"/>
          <w:sz w:val="18"/>
          <w:szCs w:val="18"/>
          <w:color w:val="0C0C0C"/>
        </w:rPr>
        <w:t>.</w:t>
      </w:r>
    </w:p>
    <w:p>
      <w:pPr>
        <w:spacing w:after="0" w:line="166" w:lineRule="exact"/>
        <w:rPr>
          <w:rFonts w:ascii="Times New Roman" w:cs="Times New Roman" w:eastAsia="Times New Roman" w:hAnsi="Times New Roman"/>
          <w:sz w:val="18"/>
          <w:szCs w:val="18"/>
          <w:color w:val="0C0C0C"/>
        </w:rPr>
      </w:pPr>
    </w:p>
    <w:p>
      <w:pPr>
        <w:jc w:val="both"/>
        <w:ind w:left="660" w:hanging="328"/>
        <w:spacing w:after="0" w:line="29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0C0C0C"/>
        </w:rPr>
        <w:t xml:space="preserve">Transacting accounts. </w:t>
      </w:r>
      <w:r>
        <w:rPr>
          <w:rFonts w:ascii="Times New Roman" w:cs="Times New Roman" w:eastAsia="Times New Roman" w:hAnsi="Times New Roman"/>
          <w:sz w:val="18"/>
          <w:szCs w:val="18"/>
          <w:color w:val="0C0C0C"/>
        </w:rPr>
        <w:t>We define transacting accounts as unique accounts that perform transactions on our platform each month. We use</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transacting accounts to reflect how users across our platform use the variety of services we offer, such as buying and selling crypto to facilitate</w:t>
      </w:r>
    </w:p>
    <w:p>
      <w:pPr>
        <w:spacing w:after="0" w:line="1"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C0C0C"/>
        </w:rPr>
        <w:t xml:space="preserve">everyday purchases, redeeming loyalty points for travel or merchandise, or converting loyalty points to cash or gift cards. There were 0.8 million and 0.7 million unique monthly transacting accounts during the </w:t>
      </w:r>
      <w:r>
        <w:rPr>
          <w:rFonts w:ascii="Times New Roman" w:cs="Times New Roman" w:eastAsia="Times New Roman" w:hAnsi="Times New Roman"/>
          <w:sz w:val="18"/>
          <w:szCs w:val="18"/>
          <w:color w:val="000000"/>
        </w:rPr>
        <w:t>three months ended March 31, 2024 and March 31, 2023</w:t>
      </w:r>
      <w:r>
        <w:rPr>
          <w:rFonts w:ascii="Times New Roman" w:cs="Times New Roman" w:eastAsia="Times New Roman" w:hAnsi="Times New Roman"/>
          <w:sz w:val="18"/>
          <w:szCs w:val="18"/>
          <w:color w:val="0C0C0C"/>
        </w:rPr>
        <w:t>, respectively.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18"/>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Notional traded volume. </w:t>
      </w:r>
      <w:r>
        <w:rPr>
          <w:rFonts w:ascii="Times New Roman" w:cs="Times New Roman" w:eastAsia="Times New Roman" w:hAnsi="Times New Roman"/>
          <w:sz w:val="18"/>
          <w:szCs w:val="18"/>
          <w:color w:val="0C0C0C"/>
        </w:rPr>
        <w:t>We define notional traded volume as the total notional volume of transactions across crypto and loyalty platforms.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C0C0C"/>
        </w:rPr>
        <w:t xml:space="preserve">figures we use represent gross values recorded as of the order date. Notional traded volumes were $1,040.7 million and $193.0 million during the </w:t>
      </w:r>
      <w:r>
        <w:rPr>
          <w:rFonts w:ascii="Times New Roman" w:cs="Times New Roman" w:eastAsia="Times New Roman" w:hAnsi="Times New Roman"/>
          <w:sz w:val="18"/>
          <w:szCs w:val="18"/>
          <w:color w:val="000000"/>
        </w:rPr>
        <w:t>three months ended March 31, 2024 and March 31, 2023</w:t>
      </w:r>
      <w:r>
        <w:rPr>
          <w:rFonts w:ascii="Times New Roman" w:cs="Times New Roman" w:eastAsia="Times New Roman" w:hAnsi="Times New Roman"/>
          <w:sz w:val="18"/>
          <w:szCs w:val="18"/>
          <w:color w:val="0C0C0C"/>
        </w:rPr>
        <w:t>, respectively.</w:t>
      </w:r>
    </w:p>
    <w:p>
      <w:pPr>
        <w:spacing w:after="0" w:line="164" w:lineRule="exact"/>
        <w:rPr>
          <w:rFonts w:ascii="Times New Roman" w:cs="Times New Roman" w:eastAsia="Times New Roman" w:hAnsi="Times New Roman"/>
          <w:sz w:val="18"/>
          <w:szCs w:val="18"/>
          <w:color w:val="0C0C0C"/>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Assets under custody. </w:t>
      </w:r>
      <w:r>
        <w:rPr>
          <w:rFonts w:ascii="Times New Roman" w:cs="Times New Roman" w:eastAsia="Times New Roman" w:hAnsi="Times New Roman"/>
          <w:sz w:val="18"/>
          <w:szCs w:val="18"/>
          <w:color w:val="0C0C0C"/>
        </w:rPr>
        <w:t>We define assets under custody as the sum of coin quantities held by customers multiplied by the final quote for each coin</w:t>
      </w:r>
    </w:p>
    <w:p>
      <w:pPr>
        <w:spacing w:after="0" w:line="53" w:lineRule="exact"/>
        <w:rPr>
          <w:rFonts w:ascii="Times New Roman" w:cs="Times New Roman" w:eastAsia="Times New Roman" w:hAnsi="Times New Roman"/>
          <w:sz w:val="18"/>
          <w:szCs w:val="18"/>
          <w:color w:val="0C0C0C"/>
        </w:rPr>
      </w:pPr>
    </w:p>
    <w:p>
      <w:pPr>
        <w:ind w:left="660" w:right="20"/>
        <w:spacing w:after="0" w:line="313"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 xml:space="preserve">on the last day of the period. Assets under custody were </w:t>
      </w:r>
      <w:r>
        <w:rPr>
          <w:rFonts w:ascii="Times New Roman" w:cs="Times New Roman" w:eastAsia="Times New Roman" w:hAnsi="Times New Roman"/>
          <w:sz w:val="18"/>
          <w:szCs w:val="18"/>
          <w:color w:val="000000"/>
        </w:rPr>
        <w:t>$1,233.2 million</w:t>
      </w:r>
      <w:r>
        <w:rPr>
          <w:rFonts w:ascii="Times New Roman" w:cs="Times New Roman" w:eastAsia="Times New Roman" w:hAnsi="Times New Roman"/>
          <w:sz w:val="18"/>
          <w:szCs w:val="18"/>
          <w:color w:val="0C0C0C"/>
        </w:rPr>
        <w:t xml:space="preserve"> and </w:t>
      </w:r>
      <w:r>
        <w:rPr>
          <w:rFonts w:ascii="Times New Roman" w:cs="Times New Roman" w:eastAsia="Times New Roman" w:hAnsi="Times New Roman"/>
          <w:sz w:val="18"/>
          <w:szCs w:val="18"/>
          <w:color w:val="000000"/>
        </w:rPr>
        <w:t>$701.6 million as of March 31, 2024 and December 31, 2023,</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70"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231F20"/>
        </w:rPr>
        <w:t xml:space="preserve">The following table is our consolidated statements of operations </w:t>
      </w:r>
      <w:r>
        <w:rPr>
          <w:rFonts w:ascii="Times New Roman" w:cs="Times New Roman" w:eastAsia="Times New Roman" w:hAnsi="Times New Roman"/>
          <w:sz w:val="18"/>
          <w:szCs w:val="18"/>
          <w:color w:val="000000"/>
        </w:rPr>
        <w:t>for the three months ended March 31, 2024 and March 31, 2023, respectively</w:t>
      </w:r>
      <w:r>
        <w:rPr>
          <w:rFonts w:ascii="Times New Roman" w:cs="Times New Roman" w:eastAsia="Times New Roman" w:hAnsi="Times New Roman"/>
          <w:sz w:val="18"/>
          <w:szCs w:val="18"/>
          <w:color w:val="231F20"/>
        </w:rPr>
        <w:t xml:space="preserv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1"/>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841,340</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Loyalty services,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w:t>
            </w:r>
          </w:p>
        </w:tc>
      </w:tr>
      <w:tr>
        <w:trPr>
          <w:trHeight w:val="223"/>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costs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34,144</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3"/>
        </w:trPr>
        <w:tc>
          <w:tcPr>
            <w:tcW w:w="8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58,667</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r>
      <w:tr>
        <w:trPr>
          <w:trHeight w:val="22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(44,841)</w:t>
            </w:r>
          </w:p>
        </w:tc>
      </w:tr>
      <w:tr>
        <w:trPr>
          <w:trHeight w:val="230"/>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(30,883)</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Bakkt Holdings, Inc.</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Three Months Ended March 31, 2024 compared to Three Months Ended March 31, 2023</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three months ended March 31, 2024 included the following notable items relative to the three months ended March 31, 2023:</w:t>
      </w:r>
    </w:p>
    <w:p>
      <w:pPr>
        <w:spacing w:after="0" w:line="104" w:lineRule="exact"/>
        <w:rPr>
          <w:sz w:val="20"/>
          <w:szCs w:val="20"/>
          <w:color w:val="auto"/>
        </w:rPr>
      </w:pPr>
    </w:p>
    <w:p>
      <w:pPr>
        <w:ind w:left="660" w:hanging="328"/>
        <w:spacing w:after="0" w:line="289"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increased </w:t>
      </w:r>
      <w:r>
        <w:rPr>
          <w:rFonts w:ascii="Times New Roman" w:cs="Times New Roman" w:eastAsia="Times New Roman" w:hAnsi="Times New Roman"/>
          <w:sz w:val="18"/>
          <w:szCs w:val="18"/>
          <w:color w:val="000000"/>
        </w:rPr>
        <w:t>$841.4 million</w:t>
      </w:r>
      <w:r>
        <w:rPr>
          <w:rFonts w:ascii="Times New Roman" w:cs="Times New Roman" w:eastAsia="Times New Roman" w:hAnsi="Times New Roman"/>
          <w:sz w:val="18"/>
          <w:szCs w:val="18"/>
          <w:color w:val="231F20"/>
        </w:rPr>
        <w:t>, primarily driven by a significant increase in crypto services revenue due to our acquisition of Bakkt Crypto Solutions; and</w:t>
      </w:r>
    </w:p>
    <w:p>
      <w:pPr>
        <w:spacing w:after="0" w:line="1" w:lineRule="exact"/>
        <w:rPr>
          <w:rFonts w:ascii="Times New Roman" w:cs="Times New Roman" w:eastAsia="Times New Roman" w:hAnsi="Times New Roman"/>
          <w:sz w:val="18"/>
          <w:szCs w:val="18"/>
          <w:color w:val="231F20"/>
        </w:rPr>
      </w:pPr>
    </w:p>
    <w:p>
      <w:pPr>
        <w:ind w:left="660" w:hanging="328"/>
        <w:spacing w:after="0" w:line="31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increased $827.8 million primarily driven by increased trading costs in connection with our acquisition of Bakkt Crypto Solutions.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Revenues consist of crypto and loyalty revenue. We earn revenue when consumers use our services to buy, sell, and store crypto and redeem loyalty points. We generate revenue across our platform in the following key areas:</w:t>
      </w:r>
    </w:p>
    <w:p>
      <w:pPr>
        <w:spacing w:after="0" w:line="68" w:lineRule="exact"/>
        <w:rPr>
          <w:sz w:val="20"/>
          <w:szCs w:val="20"/>
          <w:color w:val="auto"/>
        </w:rPr>
      </w:pPr>
    </w:p>
    <w:p>
      <w:pPr>
        <w:ind w:left="660" w:hanging="328"/>
        <w:spacing w:after="0" w:line="31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and service revenue. We receive a recurring subscription revenue stream from client platform fees as well as service revenue from software development fees and call center support.</w:t>
      </w:r>
    </w:p>
    <w:p>
      <w:pPr>
        <w:spacing w:after="0" w:line="67"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Crypto Services Revenue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840,897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231F20"/>
        </w:rPr>
        <w:t xml:space="preserve">Crypto services revenue increased by </w:t>
      </w:r>
      <w:r>
        <w:rPr>
          <w:rFonts w:ascii="Times New Roman" w:cs="Times New Roman" w:eastAsia="Times New Roman" w:hAnsi="Times New Roman"/>
          <w:sz w:val="18"/>
          <w:szCs w:val="18"/>
          <w:color w:val="000000"/>
        </w:rPr>
        <w:t>$840.9 million</w:t>
      </w:r>
      <w:r>
        <w:rPr>
          <w:rFonts w:ascii="Times New Roman" w:cs="Times New Roman" w:eastAsia="Times New Roman" w:hAnsi="Times New Roman"/>
          <w:sz w:val="18"/>
          <w:szCs w:val="18"/>
          <w:color w:val="231F20"/>
        </w:rPr>
        <w:t xml:space="preserve"> for the three months ended March 31, 2024 compared to the three months ended March 31, 2023. The increase was primarily driven by increased crypto trading volume due to our acquisition of Bakkt Crypto Solutions.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Loyalty Services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services,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Loyalty services revenue increased by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3.6%</w:t>
      </w:r>
      <w:r>
        <w:rPr>
          <w:rFonts w:ascii="Times New Roman" w:cs="Times New Roman" w:eastAsia="Times New Roman" w:hAnsi="Times New Roman"/>
          <w:sz w:val="18"/>
          <w:szCs w:val="18"/>
          <w:color w:val="231F20"/>
        </w:rPr>
        <w:t>, for the three months ended March 31, 2024 compared to the three months ended March 31, 2023. The increase was primarily related to increased transaction volume.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831,609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Crypto costs represent the gross value of crypto sold by our customers on our platform. These costs are measured at the executed price at the time of the trade. Crypto costs increased by </w:t>
      </w:r>
      <w:r>
        <w:rPr>
          <w:rFonts w:ascii="Times New Roman" w:cs="Times New Roman" w:eastAsia="Times New Roman" w:hAnsi="Times New Roman"/>
          <w:sz w:val="18"/>
          <w:szCs w:val="18"/>
          <w:color w:val="000000"/>
        </w:rPr>
        <w:t>$831.6 million</w:t>
      </w:r>
      <w:r>
        <w:rPr>
          <w:rFonts w:ascii="Times New Roman" w:cs="Times New Roman" w:eastAsia="Times New Roman" w:hAnsi="Times New Roman"/>
          <w:sz w:val="18"/>
          <w:szCs w:val="18"/>
          <w:color w:val="231F20"/>
        </w:rPr>
        <w:t xml:space="preserve"> for the three months ended March 31, 2024 compared to the three months ended March 31, 2023, which reflects increased volume driven by our acquisition of Bakkt Crypto Solutions.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420" w:type="dxa"/>
            <w:vAlign w:val="bottom"/>
            <w:gridSpan w:val="3"/>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Execution, clearing and brokerage fees primarily represent payments to clients in exchange for driving order flow to our platform. Execution, clearing and brokerage fees were </w:t>
      </w:r>
      <w:r>
        <w:rPr>
          <w:rFonts w:ascii="Times New Roman" w:cs="Times New Roman" w:eastAsia="Times New Roman" w:hAnsi="Times New Roman"/>
          <w:sz w:val="18"/>
          <w:szCs w:val="18"/>
          <w:color w:val="000000"/>
        </w:rPr>
        <w:t>$5.6 million</w:t>
      </w:r>
      <w:r>
        <w:rPr>
          <w:rFonts w:ascii="Times New Roman" w:cs="Times New Roman" w:eastAsia="Times New Roman" w:hAnsi="Times New Roman"/>
          <w:sz w:val="18"/>
          <w:szCs w:val="18"/>
          <w:color w:val="231F20"/>
        </w:rPr>
        <w:t xml:space="preserve"> during the three months ended March 31, 2024. The increase reflects increased volume driven by our acquisition of Bakkt Crypto Solutions.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0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2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4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Our headcount decreased year over year as we undertook restructuring actions and right sized our expense base to meet current market demand. We expect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$9.6 million, or 28.2%, for the three months ended March 31, 2024 compared to the three months ended March 31, 2023. The decrease was primarily due to a decrease of $4.8 million in non-cash compensation and incentive bonuses, a decrease of $3.1 million in salaries, wages and benefits and a decrease of $1.4 million in contract labor, net of capitalized software development costs.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0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Professional services expense includes fees for accounting, legal and regulatory fees. Professional services increased by $1.3 million, or 52.9%, for the three months ended March 31, 2024 compared to the three months ended March 31, 2023. The increase was primarily due to increases of $0.8 million in audit and tax fees and $0.3 million in legal fees, as well as $0.2 million in professional services fees related to our Concurrent Offerings.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0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$0.1 million, or 0.9%, for the three months ended March 31, 2024 compared to the three months ended March 31, 2023. The increase was primarily due to an increase in hardware and software license fees.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0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the “Compensation and benefits” financial statement line item. We expect these costs will decrease as a percentage of our revenue in future years as we gain improved operating leverage from our projected revenue growth.</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Selling, general and administrative costs increased by $1.1 million, or 16.4%, for the three months ended March 31, 2024 compared to the three months ended March 31, 2023. The increase was primarily due to an increase of $0.8 million in marketing expenses associated with a strategic marketing agreement entered into in 2023, which requires a committed spend, as well as $0.5 to settle the termination of a vendor contract, partially offset by a decrease of $0.3 million insurance expenses.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Acquisition-related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0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2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Acquisition-related expenses decreased by $0.8 million, or 98.6%, for the three months ended March 31, 2024 compared to the three months ended March 31, 2023. Acquisition-related expenses for the three months ended March 31, 2024 primarily consisted of </w:t>
      </w:r>
      <w:r>
        <w:rPr>
          <w:rFonts w:ascii="Times New Roman" w:cs="Times New Roman" w:eastAsia="Times New Roman" w:hAnsi="Times New Roman"/>
          <w:sz w:val="18"/>
          <w:szCs w:val="18"/>
          <w:color w:val="000000"/>
        </w:rPr>
        <w:t>fees for investment banking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advisors, lawyers, accountants, tax advisors and public relations firms related to the </w:t>
      </w:r>
      <w:r>
        <w:rPr>
          <w:rFonts w:ascii="Times New Roman" w:cs="Times New Roman" w:eastAsia="Times New Roman" w:hAnsi="Times New Roman"/>
          <w:sz w:val="18"/>
          <w:szCs w:val="18"/>
          <w:color w:val="231F20"/>
        </w:rPr>
        <w:t>acquisitions of Apex Crypto and Bumped. The amount and timing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acquisition-related expenses is expected to vary across periods based on potential transaction activities.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2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and internally developed software and depreciation of purchased software and computer and office equipment over their estimated useful lives. Depreciation and amortization decreased by $3.0 million, or 98.1%, for the three months ended March 31, 2024 compared to the three months ended March 31, 2023. The decrease was primarily due to lower net book values of intangible assets after impairments were recognized in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Related Party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80" w:type="dxa"/>
            <w:vAlign w:val="bottom"/>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Related party expenses consist of fees for transition services agreements. Related party expenses decreased by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75.0%</w:t>
      </w:r>
      <w:r>
        <w:rPr>
          <w:rFonts w:ascii="Times New Roman" w:cs="Times New Roman" w:eastAsia="Times New Roman" w:hAnsi="Times New Roman"/>
          <w:sz w:val="18"/>
          <w:szCs w:val="18"/>
          <w:color w:val="231F20"/>
        </w:rPr>
        <w:t>, for the three months ended March 31, 2024 compared to the three months ended March 31, 2023. The decrease was due to the termination of the ICE transition services agreement in December 2023.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420" w:type="dxa"/>
            <w:vAlign w:val="bottom"/>
            <w:gridSpan w:val="3"/>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Impairment of long-lived assets expense increased by </w:t>
      </w:r>
      <w:r>
        <w:rPr>
          <w:rFonts w:ascii="Times New Roman" w:cs="Times New Roman" w:eastAsia="Times New Roman" w:hAnsi="Times New Roman"/>
          <w:sz w:val="18"/>
          <w:szCs w:val="18"/>
          <w:color w:val="000000"/>
        </w:rPr>
        <w:t>$0.3 million</w:t>
      </w:r>
      <w:r>
        <w:rPr>
          <w:rFonts w:ascii="Times New Roman" w:cs="Times New Roman" w:eastAsia="Times New Roman" w:hAnsi="Times New Roman"/>
          <w:sz w:val="18"/>
          <w:szCs w:val="18"/>
          <w:color w:val="231F20"/>
        </w:rPr>
        <w:t xml:space="preserve"> for the three months ended March 31, 2024 compared to the three months ended March 31, 2023. During the three months ended March 31, 2024, we recorded impairment charges related to certain fixed assets. </w:t>
      </w:r>
      <w:r>
        <w:rPr>
          <w:rFonts w:ascii="Times New Roman" w:cs="Times New Roman" w:eastAsia="Times New Roman" w:hAnsi="Times New Roman"/>
          <w:sz w:val="18"/>
          <w:szCs w:val="18"/>
          <w:color w:val="000000"/>
        </w:rPr>
        <w:t>Impairment of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remaining long-lived assets may occur in the future.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Restructuring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Restructuring expenses of $6.1 million during the three months ended March 31, 2024 consist of severance costs and accelerated vesting of non-cash compensation related to the termination of a former executive.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Gain (loss) from Change in Fair Value of Warrant Liability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98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Gain (loss) from change in fair value of warrant</w:t>
            </w:r>
          </w:p>
        </w:tc>
        <w:tc>
          <w:tcPr>
            <w:tcW w:w="120" w:type="dxa"/>
            <w:vAlign w:val="bottom"/>
            <w:tcBorders>
              <w:top w:val="single" w:sz="8" w:color="auto"/>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We recorded a gain of $9.0 million during the three months ended March 31, 2024 for the change in fair value on the revaluation of our warrant liabilities associated with our public warrants and warrants from the Concurrent Offerings. We recorded a loss of $1.0 million during the three months ended March 31, 2023 for the change in fair value on the revaluation of our warrant liability associated with our public warrants. These are non-cash charges and are driven by fluctuations in the market price of our public warrants and valuation of our warrants from the Concurrent Offerings.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4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Other income (expense), net primarily consists of non-operating gains and losses. During the three months ended March 31, 2024, we recorded income of </w:t>
      </w:r>
      <w:r>
        <w:rPr>
          <w:rFonts w:ascii="Times New Roman" w:cs="Times New Roman" w:eastAsia="Times New Roman" w:hAnsi="Times New Roman"/>
          <w:sz w:val="18"/>
          <w:szCs w:val="18"/>
          <w:color w:val="000000"/>
        </w:rPr>
        <w:t>$0.7 million</w:t>
      </w:r>
      <w:r>
        <w:rPr>
          <w:rFonts w:ascii="Times New Roman" w:cs="Times New Roman" w:eastAsia="Times New Roman" w:hAnsi="Times New Roman"/>
          <w:sz w:val="18"/>
          <w:szCs w:val="18"/>
          <w:color w:val="231F20"/>
        </w:rPr>
        <w:t xml:space="preserve"> primarily related to foreign currency translation. During the three months ended March 31, 2023, we recorded expense of less than $0.1 million primarily related to foreign currency translation.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20" w:type="dxa"/>
            <w:vAlign w:val="bottom"/>
          </w:tcPr>
          <w:p>
            <w:pPr>
              <w:spacing w:after="0"/>
              <w:rPr>
                <w:sz w:val="16"/>
                <w:szCs w:val="16"/>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120" w:type="dxa"/>
            <w:vAlign w:val="bottom"/>
          </w:tcPr>
          <w:p>
            <w:pPr>
              <w:spacing w:after="0"/>
              <w:rPr>
                <w:sz w:val="16"/>
                <w:szCs w:val="16"/>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Income tax expense during the three months ended March 31, 2024 primarily consisted of current state tax expense related to certain state jurisdictions wherein we are required to file income tax returns during the period. Income tax benefit during the three months ended March 31, 2023 primarily consisted of current state tax expense related to certain state jurisdictions wherein we are required to file income tax returns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As of March 31, 2024, we had $56.6 million and $44.0 million of cash and cash equivalents and restricted cash, respectively. Additionally, as of March 31, 2024, we had $18.0 million of available-for-sale debt securities that mature over the next one to seven months. Cash and cash equivalents consist of cash deposits at banks and money market funds. Restricted cash is held to satisfy certain minimum capital requirements pursuant to regulatory requirements, or as collateral for insurance contracts. Restricted cash increased over the last 12 months primarily due to insurance and banking collateral requirements. However, we expect the amount of cash that is restricted associated with regulatory capital and insurance requirements to decrease by approximately $10.0 million due to the NYDFS approving the merger of Bakkt Crypto Solutions and Bakkt Marketplace in March 2024.</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As discussed above, we consummated the initial closings related to Concurrent Offerings in March 2024. As of </w:t>
      </w:r>
      <w:r>
        <w:rPr>
          <w:rFonts w:ascii="Times New Roman" w:cs="Times New Roman" w:eastAsia="Times New Roman" w:hAnsi="Times New Roman"/>
          <w:sz w:val="18"/>
          <w:szCs w:val="18"/>
          <w:color w:val="231F20"/>
        </w:rPr>
        <w:t>March 31, 2024</w:t>
      </w:r>
      <w:r>
        <w:rPr>
          <w:rFonts w:ascii="Times New Roman" w:cs="Times New Roman" w:eastAsia="Times New Roman" w:hAnsi="Times New Roman"/>
          <w:sz w:val="18"/>
          <w:szCs w:val="18"/>
          <w:color w:val="auto"/>
        </w:rPr>
        <w:t>, we have raised net proceeds from the Concurrent Offerings of approximately $36.9 million, after deducting the placement agent’s fees and estimated offering expenses payable by us. Approximately $2.4 million of proceeds from the ICE Offering were received concurrently with the closing of the Third-Party Offering, and an additional $7.6 million in gross proceeds from the ICE Offering were received on April 25, 2024.</w:t>
      </w:r>
    </w:p>
    <w:p>
      <w:pPr>
        <w:spacing w:after="0" w:line="190"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color w:val="231F20"/>
        </w:rPr>
        <w:t>We intend to use our unrestricted cash, inclusive of the net proceeds from the Concurrent Offerings, and proceeds from maturity of available-for-sale debt securities primarily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We completed a reduction in force on May 2, 2024, and may take further action to right-size headcount and expenses in 2024. Excluding the cash purchase price to acquire Bakkt Crypto Solutions in 2023, we expect our operating cash usage in 2024 (exclusive of potential acquisitions or other strategic initiatives) to decline from 2023 levels driven by the combined impact of increased revenue and expense reductions related to the completion of large-dollar investments in 2023 and benefits from restructuring actions. In addition, we may in the future enter into arrangements to acquire or invest in 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 Based on fully-implemented operating budgets and forecasts, which exclude forecasts for new products or markets, our cash and proceeds from the maturity of available for sale debt securities as of the date of the filing of this Form 10-Q are estimated to fund our operations into June of 2025.</w:t>
      </w:r>
    </w:p>
    <w:p>
      <w:pPr>
        <w:spacing w:after="0" w:line="201"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Our future cash requirements will depend on many factors, including our revenue growth rate, the timing and extent of overhead, sales and marketing expenditures to support projected growth, and our ability to limit our software development investments to features and functionality with a clear line of sight to revenue generation. We made substantial investments in our platforms in 2023, which we expect will enable us to simplify our organization and focus on the core capabilities that are critical to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Our losses and projected cash needs, combined with our liquidity level, initially raised substantial doubt about our ability to continue as a going concern in the third quarter of 2023, which we alleviated through management plans which emphasized reducing headcount and other cost cutting measures. In connection with the filing of subsequent amendments thereto, we disclosed that without additional equity financing we could not conclude that we could maintain our operations for a period of at least 12 months from the dates of such amendment filings. We subsequently closed on equity offerings that, when considered with management’s other plans, resulted in management concluding that, notwithstanding the initial doubt that was raised, management’s plans were expected to alleviate substantial doubt. As of the date of this filing, management believes the expected impact on our liquidity and cash flows resulting from the entity integration and operational initiatives outlined above are probable of occurring, if not already completed as discussed above, are sufficient to enable us to meet our obligations for at least twelve months from the date the consolidated financial statements in this Report are issued, and alleviate the conditions that raised substantial doubt about our ability to continue as a going concern. However, there are certain risks associated with this determination. Please see “Risk Factors - Risks Related to Our Business, Finance and Operations - We might not be able to continue as a going concern.” in our Annual Report on Form 10-K for more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1F20"/>
              </w:rPr>
              <w:t>:</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7"/>
        </w:trPr>
        <w:tc>
          <w:tcPr>
            <w:tcW w:w="776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38,353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(2,304)</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69,699</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36,705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69"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 xml:space="preserve">Net cash flows provided by operating activities of $38.4 million for the three months ended March 31, 2024 was primarily related to net cash inflows resulting from changes in our operating assets and liabilities of $59.7 million, partially offset by our net loss of $21.3 million. Net cash inflows from changes in our operating assets and liabilities for the three months ended March 31, 2024 were primarily due to a </w:t>
      </w:r>
      <w:r>
        <w:rPr>
          <w:rFonts w:ascii="Times New Roman" w:cs="Times New Roman" w:eastAsia="Times New Roman" w:hAnsi="Times New Roman"/>
          <w:sz w:val="18"/>
          <w:szCs w:val="18"/>
          <w:color w:val="000000"/>
        </w:rPr>
        <w:t>$55.2 million</w:t>
      </w:r>
      <w:r>
        <w:rPr>
          <w:rFonts w:ascii="Times New Roman" w:cs="Times New Roman" w:eastAsia="Times New Roman" w:hAnsi="Times New Roman"/>
          <w:sz w:val="18"/>
          <w:szCs w:val="18"/>
          <w:color w:val="231F20"/>
        </w:rPr>
        <w:t xml:space="preserve"> increase in customer funds, $3.9 million decrease in prepaid insurance and </w:t>
      </w:r>
      <w:r>
        <w:rPr>
          <w:rFonts w:ascii="Times New Roman" w:cs="Times New Roman" w:eastAsia="Times New Roman" w:hAnsi="Times New Roman"/>
          <w:sz w:val="18"/>
          <w:szCs w:val="18"/>
          <w:color w:val="000000"/>
        </w:rPr>
        <w:t>$3.6 million increase in unsettled crypto trades, partially offset by a $1.3 million decrease in deferred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revenue, $1.0 million increase in other assets and liabilities and $1.0 million decrease in operating lease liabilities</w:t>
      </w:r>
      <w:r>
        <w:rPr>
          <w:rFonts w:ascii="Times New Roman" w:cs="Times New Roman" w:eastAsia="Times New Roman" w:hAnsi="Times New Roman"/>
          <w:sz w:val="18"/>
          <w:szCs w:val="18"/>
          <w:color w:val="231F20"/>
        </w:rPr>
        <w:t>. Non-cash charges primarily consisted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share-based compensation of $8.0 million, the gain from the change in fair value of our warrant liability of </w:t>
      </w:r>
      <w:r>
        <w:rPr>
          <w:rFonts w:ascii="Times New Roman" w:cs="Times New Roman" w:eastAsia="Times New Roman" w:hAnsi="Times New Roman"/>
          <w:sz w:val="18"/>
          <w:szCs w:val="18"/>
          <w:color w:val="000000"/>
        </w:rPr>
        <w:t>$9.0 million</w:t>
      </w:r>
      <w:r>
        <w:rPr>
          <w:rFonts w:ascii="Times New Roman" w:cs="Times New Roman" w:eastAsia="Times New Roman" w:hAnsi="Times New Roman"/>
          <w:sz w:val="18"/>
          <w:szCs w:val="18"/>
          <w:color w:val="231F20"/>
        </w:rPr>
        <w:t xml:space="preserve"> and non-cash lease expense of </w:t>
      </w:r>
      <w:r>
        <w:rPr>
          <w:rFonts w:ascii="Times New Roman" w:cs="Times New Roman" w:eastAsia="Times New Roman" w:hAnsi="Times New Roman"/>
          <w:sz w:val="18"/>
          <w:szCs w:val="18"/>
          <w:color w:val="000000"/>
        </w:rPr>
        <w:t>$0.6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31F20"/>
        </w:rPr>
        <w:t>.</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Net cash flows used in operating activities of $47.2 million for the three months ended March 31, 2023 was primarily related to our net loss of $44.9 million and net cash outflows resulting from changes in our operating assets and liabilities of $15.4 million, offset by non-cash charges of $13.0 million. Net cash outflows from changes in our operating assets and liabilities for the three months ended March 31, 2023 resulted primarily from a $16.0 million decrease of accounts payable and accrued liabilities, which was partially offset by a decrease in prepaid insurance of $4.3 million. The non-cash charges primarily consisted of share-based compensation of $7.2 million and depreciation and amortization of $3.1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Net cash flows used in investing activities of $2.3 million for the three months ended March 31, 2024 consisted of the purchase of $18.0 million of available-for-sale debt securities and $1.8 million of capitalized costs of internally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developed software for our technology platforms, partially offset by the receipt of $17.5 million of proceeds from the sale of available-for-sale securities.</w:t>
      </w:r>
    </w:p>
    <w:p>
      <w:pPr>
        <w:spacing w:after="0" w:line="26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Net cash flows provided by investing activities of $69.7 million for the three months ended March 31, 2023 consisted of the receipt of $101.0 million of proceeds from the sale of available-for-sale securities, partially offset by the purchase of $27.0 million of available-for-sale debt securities, $3.7 million of capitalized costs of internally developed software for our technology platforms and $0.6 million cash used to acquire Bakkt Brokerage.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$36.7 million</w:t>
      </w:r>
      <w:r>
        <w:rPr>
          <w:rFonts w:ascii="Times New Roman" w:cs="Times New Roman" w:eastAsia="Times New Roman" w:hAnsi="Times New Roman"/>
          <w:sz w:val="18"/>
          <w:szCs w:val="18"/>
          <w:color w:val="231F20"/>
        </w:rPr>
        <w:t xml:space="preserve"> during the three months ended March 31, 2024 resulted from proceeds from the Concurrent Offerings of </w:t>
      </w:r>
      <w:r>
        <w:rPr>
          <w:rFonts w:ascii="Times New Roman" w:cs="Times New Roman" w:eastAsia="Times New Roman" w:hAnsi="Times New Roman"/>
          <w:sz w:val="18"/>
          <w:szCs w:val="18"/>
          <w:color w:val="000000"/>
        </w:rPr>
        <w:t>$39.0 million, partially offset by the repurchase and retirement of Class A Common Stock of $2.3 million</w:t>
      </w:r>
      <w:r>
        <w:rPr>
          <w:rFonts w:ascii="Times New Roman" w:cs="Times New Roman" w:eastAsia="Times New Roman" w:hAnsi="Times New Roman"/>
          <w:sz w:val="18"/>
          <w:szCs w:val="18"/>
          <w:color w:val="231F20"/>
        </w:rPr>
        <w:t xml:space="preserve"> for tax withholding amounts due in connection with the vesting of equity grants.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did not have any financing activities during the three months ended March 31, 2023.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Tax Receivable Agreement</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Concurrently with the completion of the VIH Business Combination, we entered into a Tax Receivable Agreement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91"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March 31, 2024, 1,042,812 Opco common units were exchanged for Class A common stock. Based on our history of taxable losses, we have concluded that it is not probable to expect cash tax payments in the foreseeable future and as such, no value has been recorded under the TRA.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following is a summary of our significant contractual obligations and commitments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35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9,731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31,555</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51,555</w:t>
            </w:r>
          </w:p>
        </w:tc>
      </w:tr>
    </w:tbl>
    <w:p>
      <w:pPr>
        <w:spacing w:after="0" w:line="306" w:lineRule="exact"/>
        <w:rPr>
          <w:sz w:val="20"/>
          <w:szCs w:val="20"/>
          <w:color w:val="auto"/>
        </w:rPr>
      </w:pPr>
    </w:p>
    <w:p>
      <w:pPr>
        <w:ind w:left="340" w:right="580" w:hanging="332"/>
        <w:spacing w:after="0" w:line="246"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minimum commitment payments under a four-year cloud computing arrangement and a separate five-year marketing partnership. In December 2023, we agreed to amend the cloud computing arrangement and extended the payment period for an additional year.</w:t>
      </w:r>
    </w:p>
    <w:p>
      <w:pPr>
        <w:ind w:left="320" w:hanging="312"/>
        <w:spacing w:after="0" w:line="232"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rental payments under operating leases with remaining non-cancellable terms in excess of one year.</w:t>
      </w:r>
    </w:p>
    <w:p>
      <w:pPr>
        <w:spacing w:after="0" w:line="22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purchasing card facility that we utilize for redemption purchases made from vendors as part of our loyalty redemption platform. Total borrowing capacity under the facility is $35.0 million and there is no defined maturity date.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7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7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Adjusted EBITDA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present Adjusted EBITDA as a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 w:cs="Times New Roman" w:eastAsia="Times New Roman" w:hAnsi="Times New Roman"/>
          <w:sz w:val="18"/>
          <w:szCs w:val="18"/>
          <w:color w:val="000000"/>
        </w:rPr>
        <w:t>, acquisition-related expenses, share-based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unit-based compensation expense, goodwill and intangible assets impairments, restructuring charges, changes in the fair value of our warrant liability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169"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(43,402)</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Shelf Registration expenses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Transition services expense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Adjusted EBITDA loss for the three months ended March 31, 2024 decreased by $12.6 million or 43.6% as compared to the three months ended March 31, 2023. The decreased loss was primarily due to the contribution of increased revenues, a $5.2 million decrease in compensation and benefits expense and a $0.7 million decrease in insurance and occupancy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For further information about our critical accounting policies and estimates, refer to “Item 7. Management’s Discussion and Analysis of Financial Condition and Results of Operations” 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Form 10-K. There have been no material changes to our critical accounting policies and estimates since our Form 10-K.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256" w:lineRule="exact"/>
        <w:rPr>
          <w:sz w:val="20"/>
          <w:szCs w:val="20"/>
          <w:color w:val="auto"/>
        </w:rPr>
      </w:pPr>
    </w:p>
    <w:p>
      <w:pPr>
        <w:jc w:val="both"/>
        <w:ind w:firstLine="648"/>
        <w:spacing w:after="0" w:line="314" w:lineRule="auto"/>
        <w:rPr>
          <w:sz w:val="20"/>
          <w:szCs w:val="20"/>
          <w:color w:val="auto"/>
        </w:rPr>
      </w:pPr>
      <w:r>
        <w:rPr>
          <w:rFonts w:ascii="Times New Roman" w:cs="Times New Roman" w:eastAsia="Times New Roman" w:hAnsi="Times New Roman"/>
          <w:sz w:val="17"/>
          <w:szCs w:val="17"/>
          <w:color w:val="auto"/>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 w:cs="Times New Roman" w:eastAsia="Times New Roman" w:hAnsi="Times New Roman"/>
          <w:sz w:val="17"/>
          <w:szCs w:val="17"/>
          <w:color w:val="231F20"/>
        </w:rPr>
        <w:t>The significant estimates and assumptions that affect the financial statements may include, but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are not 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Pronouncements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Recently issued and adopted accounting pronouncements are described in Note 2 in the unaudited consolidated financial statements </w:t>
      </w:r>
      <w:r>
        <w:rPr>
          <w:rFonts w:ascii="Times New Roman" w:cs="Times New Roman" w:eastAsia="Times New Roman" w:hAnsi="Times New Roman"/>
          <w:sz w:val="18"/>
          <w:szCs w:val="18"/>
          <w:color w:val="000000"/>
        </w:rPr>
        <w:t>included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this Report</w:t>
      </w:r>
      <w:r>
        <w:rPr>
          <w:rFonts w:ascii="Times New Roman" w:cs="Times New Roman" w:eastAsia="Times New Roman" w:hAnsi="Times New Roman"/>
          <w:sz w:val="18"/>
          <w:szCs w:val="18"/>
          <w:color w:val="231F20"/>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not effective because of the material weakness in our internal control over financial reporting described further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Material Weakness for the Quarter ended March 31, 2024</w:t>
      </w:r>
    </w:p>
    <w:p>
      <w:pPr>
        <w:spacing w:after="0" w:line="21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preparation our financial statements for the period ended March 31, 2024, we identified a material weakness in our internal control over financial reporting, relating to the oversight and review of the work performed by a third-party valuation specialist. The specialist was used in the valuation of our Class 1 Warrants and Class 2 Warrants issued in connection with our first quarter 2024 capital raise. This material weakness could</w:t>
      </w:r>
    </w:p>
    <w:p>
      <w:pPr>
        <w:spacing w:after="0" w:line="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result in a misstatement of our warrant liability, stockholders’ equity, and gain/loss from change in fair value of warrant liability. The material weakness would not have had any net impact on the Company’s Consolidated Statement of Cash Flows. Such a misstatement could result in a material misstatement of the annual or interim consolidated financial statements that would not be prevented or detected. Notwithstanding such material weakness, our management believes that our financial statements included in this Quarterly Report on Form 10-Q present fairly, in all material respects, our financial position, results of operations and cash flows for the periods presented in accordance with U.S. GAAP, as we have corrected the errors in our valuation of our Class 1 Warrants and Class 2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 in Internal Control Over Financial Reporting</w:t>
      </w:r>
    </w:p>
    <w:p>
      <w:pPr>
        <w:spacing w:after="0" w:line="22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taken steps to remediate this material weakness and plan to take additional steps to further improve our overall internal control environment. We have implemented further procedures to validate the compliance of third-party valuation specialist assumptions with US GAAP. These actions are subject to an ongoing management review and the oversight of our Board of Directors and its Audit and Risk Committee.</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material weakness described above or any newly identified material weakness could limit our ability to prevent or detect a misstatement of our accounts or disclosures that could result in a material misstatement of our annual or interim financial statements. We cannot assure you that the measures we have taken to date, or any measures we may take in the future, will be sufficient to remediate the control deficiency that led to the material weakness in our internal control over financial reporting described above or to avoid potential future material weaknesses.</w:t>
      </w:r>
    </w:p>
    <w:p>
      <w:pPr>
        <w:spacing w:after="0" w:line="19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9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 13a-15(f) and Rule 15d-15(f) under the Exchange Act) during the quarter ended March 31, 2024 that have materially affected, or are reasonably likely to materially affect, our internal control over financial reporting except as noted above.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6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Prior to its acquisition by the Company, Apex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17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refer to Note 14 in our unaudited consolidated financial statements included in this Report.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continue as a going concern.</w:t>
      </w:r>
    </w:p>
    <w:p>
      <w:pPr>
        <w:spacing w:after="0" w:line="24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intend to use our unrestricted cash and proceeds from maturity of available-for-sale debt securities primarily to fund our day-to-day operations, including, but not limited to funding our regulatory capital requirements, compensating balance arrangements and other similar commitments, each of which is subject to change, and as available, to (i) activate new crypto clients, (ii) launch new crypto products in the institutional space and maintain our product development efforts, and (iii) optimize our technology infrastructure and operational support. Substantial doubt was initially raised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filings. We subsequently closed on equity offerings that, when considered with management’s other plans, resulted in management concluding that, notwithstanding the initial doubt that was raised, management’s plans are currently expected to alleviate substantial doubt as of the date of this filing. However, that determination may change in the future. If we cannot continue as a viable entity, our stockholders will likely lose most or all of their investment in us.</w:t>
      </w:r>
    </w:p>
    <w:p>
      <w:pPr>
        <w:spacing w:after="0" w:line="20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have experienced and may continue to experience impacts to our business as a result of our partners and customers concern regarding our ability to continue as a going concern. For example, (i) one of our partners closed out of all customer positions, (ii) we have received inquiries from partners and prospective partners about our financial position, (iii) certain of our surety bond providers have requested additional collateral, (iv) we were required to pledge as collateral the amounts that were previously required to be maintained in a concentration account for our purchasing card facility,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5" w:name="page56"/>
    <w:bookmarkEnd w:id="55"/>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liquidity providers have requested updated payment arrangements. There can be no assurance that we will not experience additional</w:t>
      </w:r>
    </w:p>
    <w:p>
      <w:pPr>
        <w:spacing w:after="0" w:line="49" w:lineRule="exact"/>
        <w:rPr>
          <w:rFonts w:ascii="Times New Roman" w:cs="Times New Roman" w:eastAsia="Times New Roman" w:hAnsi="Times New Roman"/>
          <w:sz w:val="18"/>
          <w:szCs w:val="18"/>
          <w:color w:val="auto"/>
        </w:rPr>
      </w:pPr>
    </w:p>
    <w:p>
      <w:pPr>
        <w:jc w:val="both"/>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to our business, including additional or accelerated account closures, loss of future potential business, and additional demands for cash or collateral, which, individually or in the aggregate may further impair our business and exacerbate the risks related to our ability to continue as a going concern.</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Notwithstanding our conclusion that our plans alleviate substantial doubt about our ability to continue as a going concern, there is significant uncertainty associated with our expansion to new markets, our launch of new products,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w:t>
      </w:r>
    </w:p>
    <w:p>
      <w:pPr>
        <w:spacing w:after="0" w:line="19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If we are required to raise additional funding in the future to maintain our operations, we cannot be certain that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though as of the filing of this Quarterly Report on Form 10-Q we determined that management’s plans alleviated the substantial doubt about our ability to continue as a going concern, we may be unable to recover with investors, partners and customers due to the adverse reputational effects we experienced previously or may experience in the future.</w:t>
      </w:r>
    </w:p>
    <w:p>
      <w:pPr>
        <w:spacing w:after="0" w:line="17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Based on fully operating budgets and forecasts, which exclude forecasts for new products or markets, our cash and proceeds from the maturity of available for sale debt securities as of the date of the filing of this Form 10-Q are estimated to fund our operations into June of 2025.</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This material weakness, or other material weaknesses not yet identified, could continue to adversely our ability to report our results of operations or produce timely and accurate financial statements, which could have a material adverse effect on our business.</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8"/>
          <w:szCs w:val="18"/>
          <w:color w:val="auto"/>
        </w:rPr>
        <w:t>In connection with the preparation our financial statements for the period ended March 31, 2024, we identified a material weakness in our internal control over financial reporting, relating to the oversight and review of the work performed by a third-party valuation specialist. The specialist was used in the valuation of our Class 1 Warrants and Class 2 Warrants issued in connection with our first quarter 2024 capital raise. This material weakness could result in a misstatement of our warrant liability, stockholders’ equity, and gain/loss from change in fair value of warrant liability. The material weakness would not have had a net impact on the Company’s Consolidated Statement of Cash Flows. Such a misstatement could result in a material misstatement of the annual or interim consolidated financial statements that would not be prevented or detected. Notwithstanding such material weakness, our management believes that our financial statements included in this Quarterly Report on Form 10-Q present fairly, in all material respects, our financial position, results of operations and cash flows for the periods presented in accordance with U.S. GAAP”, as we have corrected the errors in our valuation of our Class 1 Warrants and Class 2 Warrants.</w:t>
      </w:r>
    </w:p>
    <w:p>
      <w:pPr>
        <w:spacing w:after="0" w:line="17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material weakness described above or any newly identified material weakness could limit our ability to prevent or detect a misstatement of our accounts or disclosures that could result in a material misstatement of our annual or interim financial statements. We cannot assure you that the measures we have taken to date, or any measures we may take in the future, will be sufficient to remediate the control deficiency that led to the material weakness in our internal control over financial reporting described above or to avoid potential future material weaknesses.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6" w:name="page57"/>
    <w:bookmarkEnd w:id="56"/>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While we have taken steps to remediate the material weakness discussed above, and plan to take additional steps to further improve our overall internal control environment there is no assurance that we will remediate such material weakness or not identify other control deficiencies or material weaknesses in the future.</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w:t>
      </w:r>
    </w:p>
    <w:p>
      <w:pPr>
        <w:spacing w:after="0" w:line="16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6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20" w:type="dxa"/>
            <w:vAlign w:val="bottom"/>
          </w:tcPr>
          <w:p>
            <w:pPr>
              <w:spacing w:after="0"/>
              <w:rPr>
                <w:sz w:val="20"/>
                <w:szCs w:val="20"/>
                <w:color w:val="auto"/>
              </w:rPr>
            </w:pPr>
          </w:p>
        </w:tc>
        <w:tc>
          <w:tcPr>
            <w:tcW w:w="35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29"/>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260" w:type="dxa"/>
            <w:vAlign w:val="bottom"/>
            <w:vMerge w:val="continue"/>
          </w:tcPr>
          <w:p>
            <w:pPr>
              <w:spacing w:after="0"/>
              <w:rPr>
                <w:sz w:val="13"/>
                <w:szCs w:val="13"/>
                <w:color w:val="auto"/>
              </w:rPr>
            </w:pPr>
          </w:p>
        </w:tc>
        <w:tc>
          <w:tcPr>
            <w:tcW w:w="5560" w:type="dxa"/>
            <w:vAlign w:val="bottom"/>
            <w:gridSpan w:val="3"/>
            <w:vMerge w:val="restart"/>
          </w:tcPr>
          <w:p>
            <w:pPr>
              <w:ind w:left="2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560" w:type="dxa"/>
            <w:vAlign w:val="bottom"/>
            <w:tcBorders>
              <w:bottom w:val="single" w:sz="8" w:color="auto"/>
            </w:tcBorders>
            <w:gridSpan w:val="3"/>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560" w:type="dxa"/>
            <w:vAlign w:val="bottom"/>
            <w:gridSpan w:val="3"/>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Amendment No. 1 To Membership Interest Purchase Agreement, dated as of</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001-39544</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3, 2023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560" w:type="dxa"/>
            <w:vAlign w:val="bottom"/>
            <w:gridSpan w:val="3"/>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March 30, 2023, by and among the Company, Bakkt Marketplace, Apex</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3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Fintech Solutions Inc. and Apex Crypto, LLC.</w:t>
              </w:r>
            </w:hyperlink>
          </w:p>
        </w:tc>
        <w:tc>
          <w:tcPr>
            <w:tcW w:w="2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220"/>
          </w:cols>
          <w:pgMar w:left="320" w:top="1265"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7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Certificate of Incorporation of the Company, as currently in effect</w:t>
              </w:r>
            </w:hyperlink>
          </w:p>
        </w:tc>
        <w:tc>
          <w:tcPr>
            <w:tcW w:w="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3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80">
              <w:r>
                <w:rPr>
                  <w:rFonts w:ascii="Times New Roman" w:cs="Times New Roman" w:eastAsia="Times New Roman" w:hAnsi="Times New Roman"/>
                  <w:sz w:val="18"/>
                  <w:szCs w:val="18"/>
                  <w:color w:val="0000FF"/>
                  <w:w w:val="98"/>
                </w:rPr>
                <w:t>By-laws of the Company, as currently in effect</w:t>
              </w:r>
            </w:hyperlink>
          </w:p>
        </w:tc>
        <w:tc>
          <w:tcPr>
            <w:tcW w:w="2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Certificate of Amendment to Certificate of Incorporation of the Company</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60" w:type="dxa"/>
            <w:vAlign w:val="bottom"/>
            <w:gridSpan w:val="10"/>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Registration Rights Agreement, dated as of April 1, 2023, by and between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54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Bakkt Holdings, Inc. and Apex Fintech Solutions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7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 xml:space="preserve">Form </w:t>
            </w:r>
            <w:hyperlink r:id="rId83">
              <w:r>
                <w:rPr>
                  <w:rFonts w:ascii="Times New Roman" w:cs="Times New Roman" w:eastAsia="Times New Roman" w:hAnsi="Times New Roman"/>
                  <w:sz w:val="18"/>
                  <w:szCs w:val="18"/>
                  <w:color w:val="0000FF"/>
                  <w:w w:val="98"/>
                </w:rPr>
                <w:t>of Class 1 Warrant</w:t>
              </w:r>
            </w:hyperlink>
          </w:p>
        </w:tc>
        <w:tc>
          <w:tcPr>
            <w:tcW w:w="2080" w:type="dxa"/>
            <w:vAlign w:val="bottom"/>
            <w:tcBorders>
              <w:top w:val="single" w:sz="8" w:color="0000FF"/>
            </w:tcBorders>
            <w:gridSpan w:val="2"/>
          </w:tcPr>
          <w:p>
            <w:pPr>
              <w:spacing w:after="0"/>
              <w:rPr>
                <w:sz w:val="24"/>
                <w:szCs w:val="24"/>
                <w:color w:val="auto"/>
              </w:rPr>
            </w:pPr>
          </w:p>
        </w:tc>
        <w:tc>
          <w:tcPr>
            <w:tcW w:w="17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560" w:type="dxa"/>
            <w:vAlign w:val="bottom"/>
            <w:gridSpan w:val="10"/>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Class 2 Warrant</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40" w:type="dxa"/>
            <w:vAlign w:val="bottom"/>
            <w:vMerge w:val="continue"/>
          </w:tcPr>
          <w:p>
            <w:pPr>
              <w:spacing w:after="0"/>
              <w:rPr>
                <w:sz w:val="24"/>
                <w:szCs w:val="24"/>
                <w:color w:val="auto"/>
              </w:rPr>
            </w:pPr>
          </w:p>
        </w:tc>
        <w:tc>
          <w:tcPr>
            <w:tcW w:w="5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Securities Purchase Agreement, dated as of February 29, 2024,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560" w:type="dxa"/>
            <w:vAlign w:val="bottom"/>
            <w:gridSpan w:val="10"/>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and among the Company and the purchasers signatory thereto.</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4480" w:type="dxa"/>
            <w:vAlign w:val="bottom"/>
            <w:gridSpan w:val="5"/>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40" w:type="dxa"/>
            <w:vAlign w:val="bottom"/>
            <w:vMerge w:val="continue"/>
          </w:tcPr>
          <w:p>
            <w:pPr>
              <w:spacing w:after="0"/>
              <w:rPr>
                <w:sz w:val="24"/>
                <w:szCs w:val="24"/>
                <w:color w:val="auto"/>
              </w:rPr>
            </w:pPr>
          </w:p>
        </w:tc>
        <w:tc>
          <w:tcPr>
            <w:tcW w:w="5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Securities Purchase Agreement, dated as of February 29, 2024,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560" w:type="dxa"/>
            <w:vAlign w:val="bottom"/>
            <w:gridSpan w:val="10"/>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and between the Company and Intercontinental Exchange Holdings, Inc.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October 21, 2021</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October 21, 2021</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April 29, 2024</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April 3, 2023</w:t>
            </w:r>
          </w:p>
        </w:tc>
      </w:tr>
      <w:tr>
        <w:trPr>
          <w:trHeight w:val="51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4, 2024</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4, 2024</w:t>
            </w:r>
          </w:p>
        </w:tc>
      </w:tr>
      <w:tr>
        <w:trPr>
          <w:trHeight w:val="36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4, 2024</w:t>
            </w:r>
          </w:p>
        </w:tc>
      </w:tr>
      <w:tr>
        <w:trPr>
          <w:trHeight w:val="58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4, 2024</w:t>
            </w:r>
          </w:p>
        </w:tc>
      </w:tr>
    </w:tbl>
    <w:p>
      <w:pPr>
        <w:spacing w:after="0" w:line="359" w:lineRule="exact"/>
        <w:rPr>
          <w:sz w:val="20"/>
          <w:szCs w:val="20"/>
          <w:color w:val="auto"/>
        </w:rPr>
      </w:pPr>
    </w:p>
    <w:p>
      <w:pPr>
        <w:sectPr>
          <w:pgSz w:w="11900" w:h="16838" w:orient="portrait"/>
          <w:cols w:equalWidth="0" w:num="2">
            <w:col w:w="6800" w:space="280"/>
            <w:col w:w="4140"/>
          </w:cols>
          <w:pgMar w:left="320" w:top="1265"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540" w:type="dxa"/>
            <w:vAlign w:val="bottom"/>
            <w:gridSpan w:val="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Voting Support Agreement, dated as of February 29, 2024, by and</w:t>
              </w:r>
            </w:hyperlink>
          </w:p>
        </w:tc>
      </w:tr>
      <w:tr>
        <w:trPr>
          <w:trHeight w:val="196"/>
        </w:trPr>
        <w:tc>
          <w:tcPr>
            <w:tcW w:w="124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between the Company and Intercontinental Exchange Holdings, Inc.</w:t>
              </w:r>
            </w:hyperlink>
          </w:p>
        </w:tc>
        <w:tc>
          <w:tcPr>
            <w:tcW w:w="6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40" w:type="dxa"/>
            <w:vAlign w:val="bottom"/>
            <w:gridSpan w:val="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Employment Agreement, dated March 18, 2024, by and between Bakkt</w:t>
              </w:r>
            </w:hyperlink>
          </w:p>
        </w:tc>
      </w:tr>
      <w:tr>
        <w:trPr>
          <w:trHeight w:val="196"/>
        </w:trPr>
        <w:tc>
          <w:tcPr>
            <w:tcW w:w="124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Holdings, Inc. and Andrew Main</w:t>
              </w:r>
            </w:hyperlink>
          </w:p>
        </w:tc>
        <w:tc>
          <w:tcPr>
            <w:tcW w:w="31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540" w:type="dxa"/>
            <w:vAlign w:val="bottom"/>
            <w:gridSpan w:val="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Release Agreement, dated March 18, 2024, by and between Bakkt Holdings,</w:t>
              </w:r>
            </w:hyperlink>
          </w:p>
        </w:tc>
      </w:tr>
      <w:tr>
        <w:trPr>
          <w:trHeight w:val="196"/>
        </w:trPr>
        <w:tc>
          <w:tcPr>
            <w:tcW w:w="124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84">
              <w:r>
                <w:rPr>
                  <w:rFonts w:ascii="Times New Roman" w:cs="Times New Roman" w:eastAsia="Times New Roman" w:hAnsi="Times New Roman"/>
                  <w:sz w:val="18"/>
                  <w:szCs w:val="18"/>
                  <w:color w:val="0000FF"/>
                  <w:w w:val="98"/>
                </w:rPr>
                <w:t>Inc. and Gavin Michael</w:t>
              </w:r>
            </w:hyperlink>
          </w:p>
        </w:tc>
        <w:tc>
          <w:tcPr>
            <w:tcW w:w="382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r>
      <w:tr>
        <w:trPr>
          <w:trHeight w:val="20"/>
        </w:trPr>
        <w:tc>
          <w:tcPr>
            <w:tcW w:w="1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r>
      <w:tr>
        <w:trPr>
          <w:trHeight w:val="196"/>
        </w:trPr>
        <w:tc>
          <w:tcPr>
            <w:tcW w:w="124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88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r>
      <w:tr>
        <w:trPr>
          <w:trHeight w:val="196"/>
        </w:trPr>
        <w:tc>
          <w:tcPr>
            <w:tcW w:w="1240" w:type="dxa"/>
            <w:vAlign w:val="bottom"/>
          </w:tcPr>
          <w:p>
            <w:pPr>
              <w:spacing w:after="0"/>
              <w:rPr>
                <w:sz w:val="17"/>
                <w:szCs w:val="17"/>
                <w:color w:val="auto"/>
              </w:rPr>
            </w:pPr>
          </w:p>
        </w:tc>
        <w:tc>
          <w:tcPr>
            <w:tcW w:w="5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r>
      <w:tr>
        <w:trPr>
          <w:trHeight w:val="196"/>
        </w:trPr>
        <w:tc>
          <w:tcPr>
            <w:tcW w:w="124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88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r>
      <w:tr>
        <w:trPr>
          <w:trHeight w:val="196"/>
        </w:trPr>
        <w:tc>
          <w:tcPr>
            <w:tcW w:w="1240" w:type="dxa"/>
            <w:vAlign w:val="bottom"/>
          </w:tcPr>
          <w:p>
            <w:pPr>
              <w:spacing w:after="0"/>
              <w:rPr>
                <w:sz w:val="17"/>
                <w:szCs w:val="17"/>
                <w:color w:val="auto"/>
              </w:rPr>
            </w:pPr>
          </w:p>
        </w:tc>
        <w:tc>
          <w:tcPr>
            <w:tcW w:w="5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196"/>
        </w:trPr>
        <w:tc>
          <w:tcPr>
            <w:tcW w:w="12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13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r>
      <w:tr>
        <w:trPr>
          <w:trHeight w:val="20"/>
        </w:trPr>
        <w:tc>
          <w:tcPr>
            <w:tcW w:w="1240" w:type="dxa"/>
            <w:vAlign w:val="bottom"/>
          </w:tcPr>
          <w:p>
            <w:pPr>
              <w:spacing w:after="0" w:line="20" w:lineRule="exact"/>
              <w:rPr>
                <w:sz w:val="1"/>
                <w:szCs w:val="1"/>
                <w:color w:val="auto"/>
              </w:rPr>
            </w:pPr>
          </w:p>
        </w:tc>
        <w:tc>
          <w:tcPr>
            <w:tcW w:w="55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5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r>
      <w:tr>
        <w:trPr>
          <w:trHeight w:val="196"/>
        </w:trPr>
        <w:tc>
          <w:tcPr>
            <w:tcW w:w="12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13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March 4, 2024</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19, 2024</w:t>
            </w:r>
          </w:p>
        </w:tc>
      </w:tr>
      <w:tr>
        <w:trPr>
          <w:trHeight w:val="5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19, 2024</w:t>
            </w:r>
          </w:p>
        </w:tc>
      </w:tr>
    </w:tbl>
    <w:p>
      <w:pPr>
        <w:spacing w:after="0" w:line="3588" w:lineRule="exact"/>
        <w:rPr>
          <w:sz w:val="20"/>
          <w:szCs w:val="20"/>
          <w:color w:val="auto"/>
        </w:rPr>
      </w:pPr>
    </w:p>
    <w:p>
      <w:pPr>
        <w:sectPr>
          <w:pgSz w:w="11900" w:h="16838" w:orient="portrait"/>
          <w:cols w:equalWidth="0" w:num="2">
            <w:col w:w="6800" w:space="280"/>
            <w:col w:w="4140"/>
          </w:cols>
          <w:pgMar w:left="320" w:top="126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type w:val="continuous"/>
        </w:sectPr>
      </w:pPr>
    </w:p>
    <w:bookmarkStart w:id="58" w:name="page59"/>
    <w:bookmarkEnd w:id="58"/>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jc w:val="both"/>
        <w:ind w:right="4460"/>
        <w:spacing w:after="0" w:line="26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58" w:lineRule="exact"/>
        <w:rPr>
          <w:sz w:val="20"/>
          <w:szCs w:val="20"/>
          <w:color w:val="auto"/>
        </w:rPr>
      </w:pPr>
    </w:p>
    <w:p>
      <w:pPr>
        <w:jc w:val="both"/>
        <w:ind w:right="4460"/>
        <w:spacing w:after="0" w:line="282"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460"/>
            <w:col w:w="9980"/>
          </w:cols>
          <w:pgMar w:left="320" w:top="972" w:right="339" w:bottom="1440" w:gutter="0" w:footer="0" w:header="0"/>
        </w:sectPr>
      </w:pPr>
    </w:p>
    <w:p>
      <w:pPr>
        <w:spacing w:after="0" w:line="1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31" w:lineRule="exact"/>
        <w:rPr>
          <w:sz w:val="20"/>
          <w:szCs w:val="20"/>
          <w:color w:val="auto"/>
        </w:rPr>
      </w:pPr>
    </w:p>
    <w:p>
      <w:pPr>
        <w:ind w:left="440" w:hanging="432"/>
        <w:spacing w:after="0" w:line="305" w:lineRule="auto"/>
        <w:tabs>
          <w:tab w:leader="none" w:pos="2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thereunto duly authorized.</w:t>
            </w: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526"/>
        </w:trPr>
        <w:tc>
          <w:tcPr>
            <w:tcW w:w="3520" w:type="dxa"/>
            <w:vAlign w:val="bottom"/>
          </w:tcPr>
          <w:p>
            <w:pPr>
              <w:spacing w:after="0"/>
              <w:rPr>
                <w:sz w:val="24"/>
                <w:szCs w:val="24"/>
                <w:color w:val="auto"/>
              </w:rPr>
            </w:pPr>
          </w:p>
        </w:tc>
        <w:tc>
          <w:tcPr>
            <w:tcW w:w="3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9"/>
              </w:rPr>
              <w:t>Bakkt Holdings, Inc.</w:t>
            </w:r>
          </w:p>
        </w:tc>
        <w:tc>
          <w:tcPr>
            <w:tcW w:w="4560" w:type="dxa"/>
            <w:vAlign w:val="bottom"/>
          </w:tcPr>
          <w:p>
            <w:pPr>
              <w:spacing w:after="0"/>
              <w:rPr>
                <w:sz w:val="24"/>
                <w:szCs w:val="24"/>
                <w:color w:val="auto"/>
              </w:rPr>
            </w:pPr>
          </w:p>
        </w:tc>
      </w:tr>
      <w:tr>
        <w:trPr>
          <w:trHeight w:val="44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15, 2024</w:t>
            </w:r>
          </w:p>
        </w:tc>
        <w:tc>
          <w:tcPr>
            <w:tcW w:w="3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 Andrew Main</w:t>
            </w:r>
          </w:p>
        </w:tc>
      </w:tr>
      <w:tr>
        <w:trPr>
          <w:trHeight w:val="218"/>
        </w:trPr>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Andrew Main</w:t>
            </w:r>
          </w:p>
        </w:tc>
      </w:tr>
      <w:tr>
        <w:trPr>
          <w:trHeight w:val="180"/>
        </w:trPr>
        <w:tc>
          <w:tcPr>
            <w:tcW w:w="3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10"/>
              <w:spacing w:after="0" w:line="181" w:lineRule="exact"/>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15, 2024</w:t>
            </w:r>
          </w:p>
        </w:tc>
        <w:tc>
          <w:tcPr>
            <w:tcW w:w="3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/s/ Karen Alexander</w:t>
            </w:r>
          </w:p>
        </w:tc>
      </w:tr>
      <w:tr>
        <w:trPr>
          <w:trHeight w:val="218"/>
        </w:trPr>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rPr>
              <w:t>Karen Alexander</w:t>
            </w:r>
          </w:p>
        </w:tc>
      </w:tr>
      <w:tr>
        <w:trPr>
          <w:trHeight w:val="180"/>
        </w:trPr>
        <w:tc>
          <w:tcPr>
            <w:tcW w:w="3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30"/>
              <w:spacing w:after="0" w:line="181"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50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15, 2024</w:t>
            </w:r>
          </w:p>
        </w:tc>
        <w:tc>
          <w:tcPr>
            <w:tcW w:w="3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 Chip Goodroe</w:t>
            </w:r>
          </w:p>
        </w:tc>
      </w:tr>
      <w:tr>
        <w:trPr>
          <w:trHeight w:val="218"/>
        </w:trPr>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9"/>
              </w:rPr>
              <w:t>Chip Goodroe</w:t>
            </w:r>
          </w:p>
        </w:tc>
      </w:tr>
      <w:tr>
        <w:trPr>
          <w:trHeight w:val="180"/>
        </w:trPr>
        <w:tc>
          <w:tcPr>
            <w:tcW w:w="3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30"/>
              <w:spacing w:after="0" w:line="181" w:lineRule="exact"/>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927"/>
        </w:trPr>
        <w:tc>
          <w:tcPr>
            <w:tcW w:w="3520" w:type="dxa"/>
            <w:vAlign w:val="bottom"/>
          </w:tcPr>
          <w:p>
            <w:pPr>
              <w:spacing w:after="0"/>
              <w:rPr>
                <w:sz w:val="24"/>
                <w:szCs w:val="24"/>
                <w:color w:val="auto"/>
              </w:rPr>
            </w:pP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59</w:t>
            </w:r>
          </w:p>
        </w:tc>
        <w:tc>
          <w:tcPr>
            <w:tcW w:w="4560" w:type="dxa"/>
            <w:vAlign w:val="bottom"/>
          </w:tcPr>
          <w:p>
            <w:pPr>
              <w:spacing w:after="0"/>
              <w:rPr>
                <w:sz w:val="24"/>
                <w:szCs w:val="24"/>
                <w:color w:val="auto"/>
              </w:rPr>
            </w:pPr>
          </w:p>
        </w:tc>
      </w:tr>
    </w:tbl>
    <w:p>
      <w:pPr>
        <w:sectPr>
          <w:pgSz w:w="11900" w:h="16838" w:orient="portrait"/>
          <w:cols w:equalWidth="0" w:num="1">
            <w:col w:w="11240"/>
          </w:cols>
          <w:pgMar w:left="320" w:top="972" w:right="339" w:bottom="1440" w:gutter="0" w:footer="0" w:header="0"/>
          <w:type w:val="continuous"/>
        </w:sectPr>
      </w:pPr>
    </w:p>
    <w:bookmarkStart w:id="59" w:name="page60"/>
    <w:bookmarkEnd w:id="59"/>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Main, certify that:</w:t>
      </w:r>
    </w:p>
    <w:p>
      <w:pPr>
        <w:spacing w:after="0" w:line="77"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7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Andrew Main</w:t>
      </w:r>
    </w:p>
    <w:p>
      <w:pPr>
        <w:spacing w:after="0" w:line="5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6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5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March 31, 2024 as filed with</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Andrew Main, the Chief Executive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Andrew Main</w:t>
      </w:r>
    </w:p>
    <w:p>
      <w:pPr>
        <w:spacing w:after="0" w:line="5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March 31, 2024 as filed with</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Karen Alexander, the Chief Financial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43180</wp:posOffset>
            </wp:positionV>
            <wp:extent cx="33686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decimal"/>
      <w:start w:val="4"/>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1."/>
      <w:numFmt w:val="decimal"/>
      <w:start w:val="8"/>
    </w:lvl>
  </w:abstractNum>
  <w:abstractNum w:abstractNumId="12">
    <w:nsid w:val="436C6125"/>
    <w:multiLevelType w:val="hybridMultilevel"/>
    <w:lvl w:ilvl="0">
      <w:lvlJc w:val="left"/>
      <w:lvlText w:val="%1."/>
      <w:numFmt w:val="decimal"/>
      <w:start w:val="9"/>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decimal"/>
      <w:start w:val="11"/>
    </w:lvl>
    <w:lvl w:ilvl="1">
      <w:lvlJc w:val="left"/>
      <w:lvlText w:val="•"/>
      <w:numFmt w:val="bullet"/>
      <w:start w:val="1"/>
    </w:lvl>
  </w:abstractNum>
  <w:abstractNum w:abstractNumId="15">
    <w:nsid w:val="721DA317"/>
    <w:multiLevelType w:val="hybridMultilevel"/>
    <w:lvl w:ilvl="0">
      <w:lvlJc w:val="left"/>
      <w:lvlText w:val="%1."/>
      <w:numFmt w:val="decimal"/>
      <w:start w:val="19"/>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Roman"/>
      <w:start w:val="5"/>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78" Type="http://schemas.openxmlformats.org/officeDocument/2006/relationships/hyperlink" Target="https://www.sec.gov/Archives/edgar/data/1820302/000119312523089016/d482123dex22.htm" TargetMode="External"/><Relationship Id="rId79" Type="http://schemas.openxmlformats.org/officeDocument/2006/relationships/hyperlink" Target="https://www.sec.gov/Archives/edgar/data/0001820302/000119312521303985/d219325dex31.htm" TargetMode="External"/><Relationship Id="rId80" Type="http://schemas.openxmlformats.org/officeDocument/2006/relationships/hyperlink" Target="https://www.sec.gov/Archives/edgar/data/0001820302/000119312521303985/d219325dex32.htm" TargetMode="External"/><Relationship Id="rId81" Type="http://schemas.openxmlformats.org/officeDocument/2006/relationships/hyperlink" Target="https://www.sec.gov/ix?doc=/Archives/edgar/data/0001820302/000182030224000080/bakkt-20240426.htm" TargetMode="External"/><Relationship Id="rId82" Type="http://schemas.openxmlformats.org/officeDocument/2006/relationships/hyperlink" Target="https://www.sec.gov/Archives/edgar/data/1820302/000119312523089016/d482123dex41.htm" TargetMode="External"/><Relationship Id="rId83" Type="http://schemas.openxmlformats.org/officeDocument/2006/relationships/hyperlink" Target="https://www.sec.gov/ix?doc=/Archives/edgar/data/0001820302/000182030224000041/bakkt-20240229.htm" TargetMode="External"/><Relationship Id="rId84" Type="http://schemas.openxmlformats.org/officeDocument/2006/relationships/hyperlink" Target="https://www.sec.gov/ix?doc=/Archives/edgar/data/0001820302/000119312524070368/d79429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2024-05-15T16:09:09Z</dcterms:created>
  <dcterms:modified xsi:type="dcterms:W3CDTF">2024-05-15T16:09:09Z</dcterms:modified>
</cp:coreProperties>
</file>