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ordinary shares,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G9441E100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3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[_] Rule 13d-1(b)</w:t>
      </w:r>
    </w:p>
    <w:p>
      <w:pPr>
        <w:spacing w:after="0" w:line="233" w:lineRule="exact"/>
        <w:rPr>
          <w:sz w:val="24"/>
          <w:szCs w:val="24"/>
          <w:color w:val="auto"/>
        </w:rPr>
      </w:pPr>
    </w:p>
    <w:p>
      <w:pPr>
        <w:jc w:val="both"/>
        <w:ind w:left="660" w:right="8980" w:hanging="4"/>
        <w:spacing w:after="0" w:line="483" w:lineRule="auto"/>
        <w:tabs>
          <w:tab w:leader="none" w:pos="1068"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13d-1(c) [_] Rule 13d-1(d)</w:t>
      </w:r>
    </w:p>
    <w:p>
      <w:pPr>
        <w:jc w:val="both"/>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87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G9441E100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886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88632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b w:val="1"/>
          <w:bCs w:val="1"/>
          <w:color w:val="auto"/>
        </w:rPr>
        <w:t>1</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Alpine Global Management, LLC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Check the appropriate box if a member of a Group (see instructions)</w:t>
      </w:r>
    </w:p>
    <w:p>
      <w:pPr>
        <w:spacing w:after="0" w:line="61" w:lineRule="exact"/>
        <w:rPr>
          <w:sz w:val="20"/>
          <w:szCs w:val="20"/>
          <w:color w:val="auto"/>
        </w:rPr>
      </w:pPr>
    </w:p>
    <w:p>
      <w:pPr>
        <w:sectPr>
          <w:pgSz w:w="11900" w:h="16838" w:orient="portrait"/>
          <w:cols w:equalWidth="0" w:num="2">
            <w:col w:w="540" w:space="500"/>
            <w:col w:w="1020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6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400" w:type="dxa"/>
            <w:vAlign w:val="bottom"/>
          </w:tcPr>
          <w:p>
            <w:pPr>
              <w:spacing w:after="0"/>
              <w:rPr>
                <w:sz w:val="22"/>
                <w:szCs w:val="22"/>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6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400" w:type="dxa"/>
            <w:vAlign w:val="bottom"/>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0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400" w:type="dxa"/>
            <w:vAlign w:val="bottom"/>
          </w:tcPr>
          <w:p>
            <w:pPr>
              <w:spacing w:after="0"/>
              <w:rPr>
                <w:sz w:val="22"/>
                <w:szCs w:val="22"/>
                <w:color w:val="auto"/>
              </w:rPr>
            </w:pPr>
          </w:p>
        </w:tc>
        <w:tc>
          <w:tcPr>
            <w:tcW w:w="30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7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Pr>
          <w:p>
            <w:pPr>
              <w:spacing w:after="0"/>
              <w:rPr>
                <w:sz w:val="22"/>
                <w:szCs w:val="22"/>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7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2,813,820</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840" w:type="dxa"/>
            <w:vAlign w:val="bottom"/>
            <w:tcBorders>
              <w:right w:val="single" w:sz="8" w:color="auto"/>
            </w:tcBorders>
            <w:gridSpan w:val="3"/>
            <w:vMerge w:val="restart"/>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00" w:type="dxa"/>
            <w:vAlign w:val="bottom"/>
          </w:tcPr>
          <w:p>
            <w:pPr>
              <w:spacing w:after="0"/>
              <w:rPr>
                <w:sz w:val="4"/>
                <w:szCs w:val="4"/>
                <w:color w:val="auto"/>
              </w:rPr>
            </w:pPr>
          </w:p>
        </w:tc>
        <w:tc>
          <w:tcPr>
            <w:tcW w:w="1840" w:type="dxa"/>
            <w:vAlign w:val="bottom"/>
            <w:tcBorders>
              <w:right w:val="single" w:sz="8" w:color="auto"/>
            </w:tcBorders>
            <w:gridSpan w:val="3"/>
            <w:vMerge w:val="continue"/>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600" w:type="dxa"/>
            <w:vAlign w:val="bottom"/>
          </w:tcPr>
          <w:p>
            <w:pPr>
              <w:spacing w:after="0"/>
              <w:rPr>
                <w:sz w:val="3"/>
                <w:szCs w:val="3"/>
                <w:color w:val="auto"/>
              </w:rPr>
            </w:pPr>
          </w:p>
        </w:tc>
        <w:tc>
          <w:tcPr>
            <w:tcW w:w="1840" w:type="dxa"/>
            <w:vAlign w:val="bottom"/>
            <w:tcBorders>
              <w:right w:val="single" w:sz="8" w:color="auto"/>
            </w:tcBorders>
            <w:gridSpan w:val="3"/>
            <w:vMerge w:val="continue"/>
          </w:tcPr>
          <w:p>
            <w:pPr>
              <w:spacing w:after="0"/>
              <w:rPr>
                <w:sz w:val="3"/>
                <w:szCs w:val="3"/>
                <w:color w:val="auto"/>
              </w:rPr>
            </w:pPr>
          </w:p>
        </w:tc>
        <w:tc>
          <w:tcPr>
            <w:tcW w:w="146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Pr>
          <w:p>
            <w:pPr>
              <w:spacing w:after="0"/>
              <w:rPr>
                <w:sz w:val="18"/>
                <w:szCs w:val="18"/>
                <w:color w:val="auto"/>
              </w:rPr>
            </w:pPr>
          </w:p>
        </w:tc>
        <w:tc>
          <w:tcPr>
            <w:tcW w:w="7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1840" w:type="dxa"/>
            <w:vAlign w:val="bottom"/>
            <w:tcBorders>
              <w:right w:val="single" w:sz="8" w:color="auto"/>
            </w:tcBorders>
            <w:gridSpan w:val="3"/>
            <w:vMerge w:val="restart"/>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6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7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4"/>
        </w:trPr>
        <w:tc>
          <w:tcPr>
            <w:tcW w:w="600" w:type="dxa"/>
            <w:vAlign w:val="bottom"/>
          </w:tcPr>
          <w:p>
            <w:pPr>
              <w:spacing w:after="0"/>
              <w:rPr>
                <w:sz w:val="8"/>
                <w:szCs w:val="8"/>
                <w:color w:val="auto"/>
              </w:rPr>
            </w:pPr>
          </w:p>
        </w:tc>
        <w:tc>
          <w:tcPr>
            <w:tcW w:w="1840" w:type="dxa"/>
            <w:vAlign w:val="bottom"/>
            <w:tcBorders>
              <w:right w:val="single" w:sz="8" w:color="auto"/>
            </w:tcBorders>
            <w:gridSpan w:val="3"/>
            <w:vMerge w:val="continue"/>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00" w:type="dxa"/>
            <w:vAlign w:val="bottom"/>
          </w:tcPr>
          <w:p>
            <w:pPr>
              <w:spacing w:after="0"/>
              <w:rPr>
                <w:sz w:val="8"/>
                <w:szCs w:val="8"/>
                <w:color w:val="auto"/>
              </w:rPr>
            </w:pPr>
          </w:p>
        </w:tc>
        <w:tc>
          <w:tcPr>
            <w:tcW w:w="1840" w:type="dxa"/>
            <w:vAlign w:val="bottom"/>
            <w:tcBorders>
              <w:right w:val="single" w:sz="8" w:color="auto"/>
            </w:tcBorders>
            <w:gridSpan w:val="3"/>
            <w:vMerge w:val="restart"/>
          </w:tcPr>
          <w:p>
            <w:pPr>
              <w:jc w:val="center"/>
              <w:ind w:right="4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6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600" w:type="dxa"/>
            <w:vAlign w:val="bottom"/>
          </w:tcPr>
          <w:p>
            <w:pPr>
              <w:spacing w:after="0"/>
              <w:rPr>
                <w:sz w:val="6"/>
                <w:szCs w:val="6"/>
                <w:color w:val="auto"/>
              </w:rPr>
            </w:pPr>
          </w:p>
        </w:tc>
        <w:tc>
          <w:tcPr>
            <w:tcW w:w="1840" w:type="dxa"/>
            <w:vAlign w:val="bottom"/>
            <w:tcBorders>
              <w:right w:val="single" w:sz="8" w:color="auto"/>
            </w:tcBorders>
            <w:gridSpan w:val="3"/>
            <w:vMerge w:val="continue"/>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7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4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460" w:type="dxa"/>
            <w:vAlign w:val="bottom"/>
            <w:tcBorders>
              <w:right w:val="single" w:sz="8" w:color="auto"/>
            </w:tcBorders>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Pr>
          <w:p>
            <w:pPr>
              <w:spacing w:after="0"/>
              <w:rPr>
                <w:sz w:val="18"/>
                <w:szCs w:val="18"/>
                <w:color w:val="auto"/>
              </w:rPr>
            </w:pPr>
          </w:p>
        </w:tc>
        <w:tc>
          <w:tcPr>
            <w:tcW w:w="7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8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7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2,813,820</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tcPr>
          <w:p>
            <w:pPr>
              <w:spacing w:after="0"/>
              <w:rPr>
                <w:sz w:val="22"/>
                <w:szCs w:val="22"/>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7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6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gridSpan w:val="2"/>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73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400" w:type="dxa"/>
            <w:vAlign w:val="bottom"/>
            <w:tcBorders>
              <w:right w:val="single" w:sz="8" w:color="auto"/>
            </w:tcBorders>
          </w:tcPr>
          <w:p>
            <w:pPr>
              <w:spacing w:after="0"/>
              <w:rPr>
                <w:sz w:val="22"/>
                <w:szCs w:val="22"/>
                <w:color w:val="auto"/>
              </w:rPr>
            </w:pPr>
          </w:p>
        </w:tc>
        <w:tc>
          <w:tcPr>
            <w:tcW w:w="102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149"/>
        </w:trPr>
        <w:tc>
          <w:tcPr>
            <w:tcW w:w="600" w:type="dxa"/>
            <w:vAlign w:val="bottom"/>
            <w:vMerge w:val="continue"/>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2,813,820</w:t>
            </w: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60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024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400" w:type="dxa"/>
            <w:vAlign w:val="bottom"/>
            <w:tcBorders>
              <w:right w:val="single" w:sz="8" w:color="auto"/>
            </w:tcBorders>
          </w:tcPr>
          <w:p>
            <w:pPr>
              <w:spacing w:after="0"/>
              <w:rPr>
                <w:sz w:val="22"/>
                <w:szCs w:val="22"/>
                <w:color w:val="auto"/>
              </w:rPr>
            </w:pPr>
          </w:p>
        </w:tc>
        <w:tc>
          <w:tcPr>
            <w:tcW w:w="102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60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60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024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400" w:type="dxa"/>
            <w:vAlign w:val="bottom"/>
            <w:tcBorders>
              <w:right w:val="single" w:sz="8" w:color="auto"/>
            </w:tcBorders>
          </w:tcPr>
          <w:p>
            <w:pPr>
              <w:spacing w:after="0"/>
              <w:rPr>
                <w:sz w:val="22"/>
                <w:szCs w:val="22"/>
                <w:color w:val="auto"/>
              </w:rPr>
            </w:pPr>
          </w:p>
        </w:tc>
        <w:tc>
          <w:tcPr>
            <w:tcW w:w="102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149"/>
        </w:trPr>
        <w:tc>
          <w:tcPr>
            <w:tcW w:w="600" w:type="dxa"/>
            <w:vAlign w:val="bottom"/>
            <w:vMerge w:val="continue"/>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6"/>
              </w:rPr>
              <w:t>13.6%</w:t>
            </w:r>
            <w:r>
              <w:rPr>
                <w:rFonts w:ascii="Times New Roman" w:cs="Times New Roman" w:eastAsia="Times New Roman" w:hAnsi="Times New Roman"/>
                <w:sz w:val="29"/>
                <w:szCs w:val="29"/>
                <w:color w:val="auto"/>
                <w:w w:val="96"/>
                <w:vertAlign w:val="superscript"/>
              </w:rPr>
              <w:t>1</w:t>
            </w:r>
          </w:p>
        </w:tc>
        <w:tc>
          <w:tcPr>
            <w:tcW w:w="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0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400" w:type="dxa"/>
            <w:vAlign w:val="bottom"/>
            <w:tcBorders>
              <w:right w:val="single" w:sz="8" w:color="auto"/>
            </w:tcBorders>
          </w:tcPr>
          <w:p>
            <w:pPr>
              <w:spacing w:after="0"/>
              <w:rPr>
                <w:sz w:val="22"/>
                <w:szCs w:val="22"/>
                <w:color w:val="auto"/>
              </w:rPr>
            </w:pPr>
          </w:p>
        </w:tc>
        <w:tc>
          <w:tcPr>
            <w:tcW w:w="102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30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OO, Other (Limited Liability Company)</w:t>
            </w:r>
          </w:p>
        </w:tc>
        <w:tc>
          <w:tcPr>
            <w:tcW w:w="7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3040" w:type="dxa"/>
            <w:vAlign w:val="bottom"/>
            <w:gridSpan w:val="4"/>
            <w:vMerge w:val="continue"/>
          </w:tcPr>
          <w:p>
            <w:pPr>
              <w:spacing w:after="0"/>
              <w:rPr>
                <w:sz w:val="12"/>
                <w:szCs w:val="12"/>
                <w:color w:val="auto"/>
              </w:rPr>
            </w:pPr>
          </w:p>
        </w:tc>
        <w:tc>
          <w:tcPr>
            <w:tcW w:w="7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0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1645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540" w:firstLine="8"/>
        <w:spacing w:after="0" w:line="189" w:lineRule="auto"/>
        <w:tabs>
          <w:tab w:leader="none" w:pos="144"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As of January 21, 2021, Alpine Global Management, LLC held 6.8% of Class A ordinary shares. As of January 25, 2021, Alpine Global Management, LLC held 10.7% of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31"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Issuer:</w:t>
      </w:r>
    </w:p>
    <w:p>
      <w:pPr>
        <w:spacing w:after="0" w:line="9"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VPC Impact Acquisition Holdings</w:t>
      </w:r>
    </w:p>
    <w:p>
      <w:pPr>
        <w:spacing w:after="0" w:line="202" w:lineRule="exact"/>
        <w:rPr>
          <w:rFonts w:ascii="Times New Roman" w:cs="Times New Roman" w:eastAsia="Times New Roman" w:hAnsi="Times New Roman"/>
          <w:sz w:val="18"/>
          <w:szCs w:val="18"/>
          <w:b w:val="1"/>
          <w:bCs w:val="1"/>
          <w:color w:val="auto"/>
        </w:rPr>
      </w:pPr>
    </w:p>
    <w:p>
      <w:pPr>
        <w:ind w:left="580" w:right="6960" w:hanging="572"/>
        <w:spacing w:after="0" w:line="268" w:lineRule="auto"/>
        <w:tabs>
          <w:tab w:leader="none" w:pos="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Address of Issuer’s Principal Executive Offices: </w:t>
      </w:r>
      <w:r>
        <w:rPr>
          <w:rFonts w:ascii="Times New Roman" w:cs="Times New Roman" w:eastAsia="Times New Roman" w:hAnsi="Times New Roman"/>
          <w:sz w:val="18"/>
          <w:szCs w:val="18"/>
          <w:color w:val="auto"/>
        </w:rPr>
        <w:t>150 North Riverside Plaza, Suite 5200 Chicago, IL 60606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31"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w:t>
      </w:r>
    </w:p>
    <w:p>
      <w:pPr>
        <w:spacing w:after="0" w:line="9"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Alpine Global Management, LLC</w:t>
      </w:r>
    </w:p>
    <w:p>
      <w:pPr>
        <w:spacing w:after="0" w:line="202" w:lineRule="exact"/>
        <w:rPr>
          <w:rFonts w:ascii="Times New Roman" w:cs="Times New Roman" w:eastAsia="Times New Roman" w:hAnsi="Times New Roman"/>
          <w:sz w:val="18"/>
          <w:szCs w:val="18"/>
          <w:b w:val="1"/>
          <w:bCs w:val="1"/>
          <w:color w:val="auto"/>
        </w:rPr>
      </w:pPr>
    </w:p>
    <w:p>
      <w:pPr>
        <w:ind w:left="580" w:right="6060" w:hanging="572"/>
        <w:spacing w:after="0" w:line="202" w:lineRule="auto"/>
        <w:tabs>
          <w:tab w:leader="none" w:pos="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Address of Principal Business Office or, if None, Residence: </w:t>
      </w:r>
      <w:r>
        <w:rPr>
          <w:rFonts w:ascii="Times New Roman" w:cs="Times New Roman" w:eastAsia="Times New Roman" w:hAnsi="Times New Roman"/>
          <w:sz w:val="18"/>
          <w:szCs w:val="18"/>
          <w:color w:val="auto"/>
        </w:rPr>
        <w:t>140 Broadway, 38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 York, NY 10005</w:t>
      </w:r>
    </w:p>
    <w:p>
      <w:pPr>
        <w:spacing w:after="0" w:line="201" w:lineRule="exact"/>
        <w:rPr>
          <w:rFonts w:ascii="Times New Roman" w:cs="Times New Roman" w:eastAsia="Times New Roman" w:hAnsi="Times New Roman"/>
          <w:sz w:val="18"/>
          <w:szCs w:val="18"/>
          <w:b w:val="1"/>
          <w:bCs w:val="1"/>
          <w:color w:val="auto"/>
        </w:rPr>
      </w:pPr>
    </w:p>
    <w:p>
      <w:pPr>
        <w:ind w:left="580" w:right="9700" w:hanging="572"/>
        <w:spacing w:after="0" w:line="317" w:lineRule="auto"/>
        <w:tabs>
          <w:tab w:leader="none" w:pos="58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w:t>
      </w:r>
      <w:r>
        <w:rPr>
          <w:rFonts w:ascii="Times New Roman" w:cs="Times New Roman" w:eastAsia="Times New Roman" w:hAnsi="Times New Roman"/>
          <w:sz w:val="17"/>
          <w:szCs w:val="17"/>
          <w:color w:val="auto"/>
        </w:rPr>
        <w:t>Delaware</w:t>
      </w:r>
    </w:p>
    <w:p>
      <w:pPr>
        <w:spacing w:after="0" w:line="131" w:lineRule="exact"/>
        <w:rPr>
          <w:rFonts w:ascii="Times New Roman" w:cs="Times New Roman" w:eastAsia="Times New Roman" w:hAnsi="Times New Roman"/>
          <w:sz w:val="17"/>
          <w:szCs w:val="17"/>
          <w:b w:val="1"/>
          <w:bCs w:val="1"/>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and Class of Securities:</w:t>
      </w:r>
    </w:p>
    <w:p>
      <w:pPr>
        <w:spacing w:after="0" w:line="31"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Class A ordinary shares, $0.0001 par value per share</w:t>
      </w:r>
    </w:p>
    <w:p>
      <w:pPr>
        <w:spacing w:after="0" w:line="202"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G9441E100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 240.13d-1(b) or 240.13d-2(b) or (c), check whether the person filing is a:</w:t>
      </w:r>
    </w:p>
    <w:p>
      <w:pPr>
        <w:spacing w:after="0" w:line="229"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Broker or dealer registered under Section 15 of the Act;</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Bank as defined in Section 3(a)(6) of the Act;</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Insurance company as defined in Section 3(a)(19) of the Act;</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Investment company registered under Section 8 of the Investment Company Act of 1940;</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An investment adviser in accordance with Rule 13d-1(b)(1)(ii)(E);</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An employee benefit plan or endowment fund in accordance with Rule 13d-1(b)(1)(ii)(F);</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 parent holding company or control person in accordance with Rule 13d-1(b)(1)(ii)(G);</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 savings associations as defined in Section 3(b) of the Federal Deposit Insurance Act (12 U.S.C. 1813);</w:t>
      </w:r>
    </w:p>
    <w:p>
      <w:pPr>
        <w:spacing w:after="0" w:line="238"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church plan that is excluded from the definition of an investment company under section 3(c)(14) of the Investment Company Act of 1940;</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 non-U.S. institution in accordance with Rule 240.13d-1(b)(1)(ii)(J);</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Group, in accordance with Rule 240.13d-1(b)(1)(ii)(K). If filing as a non-U.S. institution in accordance with Rule 240.13d-1(b)</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(1)(ii)(J), please specify the type of institution: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4.Ownership</w:t>
      </w:r>
    </w:p>
    <w:p>
      <w:pPr>
        <w:spacing w:after="0" w:line="31" w:lineRule="exact"/>
        <w:rPr>
          <w:sz w:val="20"/>
          <w:szCs w:val="20"/>
          <w:color w:val="auto"/>
        </w:rPr>
      </w:pPr>
    </w:p>
    <w:p>
      <w:pPr>
        <w:ind w:left="540" w:right="8440" w:hanging="532"/>
        <w:spacing w:after="0" w:line="260" w:lineRule="auto"/>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Amount Beneficially Owned: </w:t>
      </w:r>
      <w:r>
        <w:rPr>
          <w:rFonts w:ascii="Times New Roman" w:cs="Times New Roman" w:eastAsia="Times New Roman" w:hAnsi="Times New Roman"/>
          <w:sz w:val="18"/>
          <w:szCs w:val="18"/>
          <w:color w:val="auto"/>
        </w:rPr>
        <w:t>2,813,820</w:t>
      </w:r>
    </w:p>
    <w:p>
      <w:pPr>
        <w:spacing w:after="0" w:line="177" w:lineRule="exact"/>
        <w:rPr>
          <w:rFonts w:ascii="Times New Roman" w:cs="Times New Roman" w:eastAsia="Times New Roman" w:hAnsi="Times New Roman"/>
          <w:sz w:val="18"/>
          <w:szCs w:val="18"/>
          <w:b w:val="1"/>
          <w:bCs w:val="1"/>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w:t>
      </w:r>
    </w:p>
    <w:p>
      <w:pPr>
        <w:spacing w:after="0" w:line="31" w:lineRule="exact"/>
        <w:rPr>
          <w:rFonts w:ascii="Times New Roman" w:cs="Times New Roman" w:eastAsia="Times New Roman" w:hAnsi="Times New Roman"/>
          <w:sz w:val="18"/>
          <w:szCs w:val="18"/>
          <w:b w:val="1"/>
          <w:bCs w:val="1"/>
          <w:color w:val="auto"/>
        </w:rPr>
      </w:pPr>
    </w:p>
    <w:p>
      <w:pPr>
        <w:ind w:left="5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13.6% Based upon 20,737,202 shares of the registrant’s Class A ordinary shares, par value $0.0001 per share, as reported by VPC Impact Acquisition Holdings. in its Form 10-Q filed on November 16, 2020.</w:t>
      </w:r>
    </w:p>
    <w:p>
      <w:pPr>
        <w:spacing w:after="0" w:line="177" w:lineRule="exact"/>
        <w:rPr>
          <w:rFonts w:ascii="Times New Roman" w:cs="Times New Roman" w:eastAsia="Times New Roman" w:hAnsi="Times New Roman"/>
          <w:sz w:val="18"/>
          <w:szCs w:val="18"/>
          <w:b w:val="1"/>
          <w:bCs w:val="1"/>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such person has:</w:t>
      </w:r>
    </w:p>
    <w:p>
      <w:pPr>
        <w:spacing w:after="0" w:line="225" w:lineRule="exact"/>
        <w:rPr>
          <w:rFonts w:ascii="Times New Roman" w:cs="Times New Roman" w:eastAsia="Times New Roman" w:hAnsi="Times New Roman"/>
          <w:sz w:val="18"/>
          <w:szCs w:val="18"/>
          <w:b w:val="1"/>
          <w:bCs w:val="1"/>
          <w:color w:val="auto"/>
        </w:rPr>
      </w:pPr>
    </w:p>
    <w:p>
      <w:pPr>
        <w:ind w:left="1280" w:right="6920" w:hanging="732"/>
        <w:spacing w:after="0" w:line="286" w:lineRule="auto"/>
        <w:tabs>
          <w:tab w:leader="none" w:pos="128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vote or to direct the vote: </w:t>
      </w:r>
      <w:r>
        <w:rPr>
          <w:rFonts w:ascii="Times New Roman" w:cs="Times New Roman" w:eastAsia="Times New Roman" w:hAnsi="Times New Roman"/>
          <w:sz w:val="18"/>
          <w:szCs w:val="18"/>
          <w:color w:val="auto"/>
        </w:rPr>
        <w:t>2,813,820</w:t>
      </w:r>
    </w:p>
    <w:p>
      <w:pPr>
        <w:spacing w:after="0" w:line="154" w:lineRule="exact"/>
        <w:rPr>
          <w:rFonts w:ascii="Times New Roman" w:cs="Times New Roman" w:eastAsia="Times New Roman" w:hAnsi="Times New Roman"/>
          <w:sz w:val="18"/>
          <w:szCs w:val="18"/>
          <w:b w:val="1"/>
          <w:bCs w:val="1"/>
          <w:color w:val="auto"/>
        </w:rPr>
      </w:pPr>
    </w:p>
    <w:p>
      <w:pPr>
        <w:ind w:left="1280" w:right="6700" w:hanging="732"/>
        <w:spacing w:after="0" w:line="286" w:lineRule="auto"/>
        <w:tabs>
          <w:tab w:leader="none" w:pos="128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vote or to direct the vote: </w:t>
      </w:r>
      <w:r>
        <w:rPr>
          <w:rFonts w:ascii="Times New Roman" w:cs="Times New Roman" w:eastAsia="Times New Roman" w:hAnsi="Times New Roman"/>
          <w:sz w:val="18"/>
          <w:szCs w:val="18"/>
          <w:color w:val="auto"/>
        </w:rPr>
        <w:t>0</w:t>
      </w:r>
    </w:p>
    <w:p>
      <w:pPr>
        <w:spacing w:after="0" w:line="154" w:lineRule="exact"/>
        <w:rPr>
          <w:rFonts w:ascii="Times New Roman" w:cs="Times New Roman" w:eastAsia="Times New Roman" w:hAnsi="Times New Roman"/>
          <w:sz w:val="18"/>
          <w:szCs w:val="18"/>
          <w:b w:val="1"/>
          <w:bCs w:val="1"/>
          <w:color w:val="auto"/>
        </w:rPr>
      </w:pPr>
    </w:p>
    <w:p>
      <w:pPr>
        <w:ind w:left="1280" w:right="5980" w:hanging="732"/>
        <w:spacing w:after="0" w:line="286" w:lineRule="auto"/>
        <w:tabs>
          <w:tab w:leader="none" w:pos="128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dispose or to direct the disposition of: </w:t>
      </w:r>
      <w:r>
        <w:rPr>
          <w:rFonts w:ascii="Times New Roman" w:cs="Times New Roman" w:eastAsia="Times New Roman" w:hAnsi="Times New Roman"/>
          <w:sz w:val="18"/>
          <w:szCs w:val="18"/>
          <w:color w:val="auto"/>
        </w:rPr>
        <w:t>2,813,820</w:t>
      </w:r>
    </w:p>
    <w:p>
      <w:pPr>
        <w:spacing w:after="0" w:line="154" w:lineRule="exact"/>
        <w:rPr>
          <w:rFonts w:ascii="Times New Roman" w:cs="Times New Roman" w:eastAsia="Times New Roman" w:hAnsi="Times New Roman"/>
          <w:sz w:val="18"/>
          <w:szCs w:val="18"/>
          <w:b w:val="1"/>
          <w:bCs w:val="1"/>
          <w:color w:val="auto"/>
        </w:rPr>
      </w:pPr>
    </w:p>
    <w:p>
      <w:pPr>
        <w:ind w:left="1280" w:right="5760" w:hanging="732"/>
        <w:spacing w:after="0" w:line="286" w:lineRule="auto"/>
        <w:tabs>
          <w:tab w:leader="none" w:pos="128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dispose or to direct the disposition of: </w:t>
      </w:r>
      <w:r>
        <w:rPr>
          <w:rFonts w:ascii="Times New Roman" w:cs="Times New Roman" w:eastAsia="Times New Roman" w:hAnsi="Times New Roman"/>
          <w:sz w:val="18"/>
          <w:szCs w:val="18"/>
          <w:color w:val="auto"/>
        </w:rPr>
        <w:t>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5.Ownership of Five Percent or Less of a Class.</w:t>
      </w:r>
    </w:p>
    <w:p>
      <w:pPr>
        <w:spacing w:after="0" w:line="31" w:lineRule="exact"/>
        <w:rPr>
          <w:sz w:val="20"/>
          <w:szCs w:val="20"/>
          <w:color w:val="auto"/>
        </w:rPr>
      </w:pPr>
    </w:p>
    <w:p>
      <w:pPr>
        <w:ind w:left="540"/>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6.Ownership of more than Five Percent on Behalf of Another Person.</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w:t>
      </w:r>
    </w:p>
    <w:p>
      <w:pPr>
        <w:spacing w:after="0" w:line="203" w:lineRule="exact"/>
        <w:rPr>
          <w:sz w:val="20"/>
          <w:szCs w:val="20"/>
          <w:color w:val="auto"/>
        </w:rPr>
      </w:pPr>
    </w:p>
    <w:p>
      <w:pPr>
        <w:ind w:left="540" w:hanging="539"/>
        <w:spacing w:after="0" w:line="263" w:lineRule="auto"/>
        <w:rPr>
          <w:sz w:val="20"/>
          <w:szCs w:val="20"/>
          <w:color w:val="auto"/>
        </w:rPr>
      </w:pPr>
      <w:r>
        <w:rPr>
          <w:rFonts w:ascii="Times New Roman" w:cs="Times New Roman" w:eastAsia="Times New Roman" w:hAnsi="Times New Roman"/>
          <w:sz w:val="18"/>
          <w:szCs w:val="18"/>
          <w:b w:val="1"/>
          <w:bCs w:val="1"/>
          <w:color w:val="auto"/>
        </w:rPr>
        <w:t>Item 7.Identification and classification of the subsidiary which acquired the security being reported on by the parent holding company or control person.</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8.Identification and classification of members of the group.</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9.Notice of Dissolution of Group.</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w:t>
      </w:r>
    </w:p>
    <w:p>
      <w:pPr>
        <w:spacing w:after="0" w:line="20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Item</w:t>
        <w:tab/>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198" w:lineRule="exact"/>
        <w:rPr>
          <w:sz w:val="20"/>
          <w:szCs w:val="20"/>
          <w:color w:val="auto"/>
        </w:rPr>
      </w:pPr>
    </w:p>
    <w:p>
      <w:pPr>
        <w:ind w:left="20" w:hanging="2"/>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2/3/21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Amy Tarlowe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Amy Tarlowe</w:t>
      </w:r>
    </w:p>
    <w:p>
      <w:pPr>
        <w:spacing w:after="0"/>
        <w:rPr>
          <w:sz w:val="20"/>
          <w:szCs w:val="20"/>
          <w:color w:val="auto"/>
        </w:rPr>
      </w:pPr>
      <w:r>
        <w:rPr>
          <w:rFonts w:ascii="Times New Roman" w:cs="Times New Roman" w:eastAsia="Times New Roman" w:hAnsi="Times New Roman"/>
          <w:sz w:val="22"/>
          <w:szCs w:val="22"/>
          <w:color w:val="auto"/>
        </w:rPr>
        <w:t>Title: Chief Operating Officer</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Attention: Intentional misstatements or omissions of fact constitute Federal criminal violations (See 18 U.S.C. 1001).</w:t>
      </w:r>
    </w:p>
    <w:sectPr>
      <w:pgSz w:w="11900" w:h="16838" w:orient="portrait"/>
      <w:cols w:equalWidth="0" w:num="1">
        <w:col w:w="11240"/>
      </w:cols>
      <w:pgMar w:left="320" w:top="3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2021-02-03T10:18:39Z</dcterms:created>
  <dcterms:modified xsi:type="dcterms:W3CDTF">2021-02-03T10:18:39Z</dcterms:modified>
</cp:coreProperties>
</file>