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Surdykowski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Intercontinental Exchange, Inc., 5660 New Northside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770-857-4700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Rory O'Halloran &amp; Cody Wright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Allen Overy Shearman Sterling US LLP,, 599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1,111,294 shares of Class A common stock, par value $0.0001 per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share ("Class A Common Stock"), of Bakkt Holdings, Inc. (the "Issuer") and (ii) 6,803,178 shares of Class V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par value $0.0001 per share ("Class V Common Stock", and together with the Class A Common Stock,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"Common Stock"), of the Issuer beneficially owned by the Reporting Person as of the date hereof. This amount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includes 461,360 shares of Class A Common Stock (the "Warrant Shares") underlying the Acquired Warrants (as</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defined in Item 6 of the Amended Schedule 13D) that became exercisable on September 4, 2024, as described further in Item 6 of the Amended Schedule 13D. The Reporting Persons will not have the power to vote the Warrant Shares unless, and to the extent, Intercontinental Exchange Holdings, Inc. ("ICEH"), a wholly owned subsidiary of Intercontinental Exchange, Inc. ("ICE"), exercises its right to acquire Warrant Shares in accordance with the terms of the Acquired Warrants. The percentage calculated in Row 13 is based on a total of 23,111,213 shares of Common Stock, consisting of 15,934,137 shares of Class A Common Stock and 7,177,076 shares of Class V Common Stock outstanding as of September 3, 2025, as reported in the Issuer's Definitive Proxy Statement filed with the Securities and Exchange Commission (the "SEC") on September 9, 2025. As of the date hereof, the Reporting Person beneficially owns 6.8% of the outstanding shares of Class A Common Stock (including the Warrant Shares but excluding any shares of Class V Common Stock).</w:t>
      </w:r>
    </w:p>
    <w:p>
      <w:pPr>
        <w:sectPr>
          <w:pgSz w:w="11900" w:h="16838" w:orient="portrait"/>
          <w:cols w:equalWidth="0" w:num="1">
            <w:col w:w="11240"/>
          </w:cols>
          <w:pgMar w:left="320" w:top="63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639"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pacing w:after="0" w:line="200" w:lineRule="exact"/>
        <w:rPr>
          <w:sz w:val="20"/>
          <w:szCs w:val="20"/>
          <w:color w:val="auto"/>
        </w:rPr>
      </w:pP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1,111,294 shares of Class A Common Stock and (ii) 6,803,178</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Class V Common Stock beneficially owned by the Reporting Person as of the date hereof. This amount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includes the Warrant Shares underlying the Acquired Warrants that became exercisable on September 4, 2024, as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described further in Item 6 of the Amended Schedule 13D. The percentage calculated in Row 13 is based on a total of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23,111,213 shares of Common Stock, consisting of 15,934,137 shares of Class A Common Stock and 7,177,076 shares</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of Class V Common Stock outstanding as of September 3, 2025, as reported in the Issuer's Definitive Proxy Statement filed with the SEC on September 9, 2025. As of the date hereof, the Reporting Person beneficially owns 6.8% of the outstanding shares of Class A Common Stock (including the Warrant Shares but excluding any shares of Class V Common Stock).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ectPr>
          <w:pgSz w:w="11900" w:h="16838" w:orient="portrait"/>
          <w:cols w:equalWidth="0" w:num="1">
            <w:col w:w="11240"/>
          </w:cols>
          <w:pgMar w:left="320" w:top="108" w:right="339" w:bottom="0" w:gutter="0" w:footer="0" w:header="0"/>
        </w:sectPr>
      </w:pPr>
    </w:p>
    <w:bookmarkStart w:id="3" w:name="page4"/>
    <w:bookmarkEnd w:id="3"/>
    <w:p>
      <w:pPr>
        <w:ind w:left="920" w:right="8440" w:hanging="912"/>
        <w:spacing w:after="0" w:line="389"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 Bakkt Holdings, Inc.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10000 Avalon Boulevard, Suite 1000, Alpharetta, GEORGIA , 30009.</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9 (this "Amendment") is being jointly filed on behalf of: (a) Intercontinental Exchange, Inc., a</w:t>
      </w:r>
    </w:p>
    <w:p>
      <w:pPr>
        <w:spacing w:after="0" w:line="18" w:lineRule="exact"/>
        <w:rPr>
          <w:sz w:val="20"/>
          <w:szCs w:val="20"/>
          <w:color w:val="auto"/>
        </w:rPr>
      </w:pPr>
    </w:p>
    <w:p>
      <w:pPr>
        <w:jc w:val="both"/>
        <w:ind w:left="960" w:hanging="951"/>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Delaware corporation ("ICE"), and (b) Intercontinental Exchange Holdings, Inc., a Delaware corporation ("ICEH",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together with ICE, the "Reporting Persons" and each a "Reporting Person"), and amends the Statement on Schedule 13D filed by the Reporting Persons on October 21, 2021 ("Initial Schedule 13D"), as previously amended by (i) Amendment No. 1 to the Initial Schedule 13D filed by the Reporting Persons on May 5, 2022 ("Amendment No. 1"), (ii) Amendment No. 2 to the Initial Schedule 13D filed by the Reporting Persons on April 28, 2023 ("Amendment No. 2"), (iii) Amendment No. 3 to the Initial Schedule 13D filed by the Reporting Persons on March 4, 2024 ("Amendment No. 3"), (iv) Amendment No. 4 to the Initial Schedule 13D filed by the Reporting Persons on April 29, 2024 ("Amendment No. 4"), (v) Amendment No. 5 to the Initial Schedule 13D filed by the Reporting Persons on July 9, 2024 ("Amendment No. 5"), (vi) Amendment No. 6 to the Initial Schedule 13D filed by the Reporting Persons on July 1 and 2, 2025 ("Amendment No. 6"), (vii) Amendment No. 7 to the Initial Schedule 13D filed by the Reporting Persons on July 17, 2025 ("Amendment No. 7") and (viii) Amendment No. 8 to the Initial Schedule 13D filed by the Reporting Persons on July 30, 2025 ("Amendment No. 8", and the Initial Schedule 13D as so amended, the "Amended Schedule 13D"), which relates to the shares of Class A common stock, par value $0.0001 per share ("Class A Common Stock"), of Bakkt Holdings, Inc., a Delaware corporation (the "Issuer"). Information given in response to each item of this Amendment shall be deemed incorporated by reference in all other items, as applicable. Each common unit of Bakkt Opco Holdings, LLC, a Delaware limited liability company ("Bakkt Opco") (a "Bakkt Opco Common Unit", and together with one share of Class V Common Stock, par value $0.0001 per share (the "Class V Common Stock"), of the Issuer, a "Paired Interest") is exchangeable (along with the cancelation of a corresponding number of paired shares of Class V Common Stock) for one share of Class A Common Stock pursuant to the A&amp;R Exchange Agreement (as defined in Item 6 of the Amended Schedule 13D, subject to adjustment as set forth in the A&amp;R Exchange Agreement). The Class A Common Stock and the Class V Common Stock are collectively referred to herein as the "Common Stock". Capitalized terms used and not otherwise defined in this Amendment have the same meanings ascribed to them in the Amended Schedule 13D.</w:t>
      </w:r>
    </w:p>
    <w:p>
      <w:pPr>
        <w:spacing w:after="0" w:line="2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20"/>
        <w:spacing w:after="0" w:line="256" w:lineRule="auto"/>
        <w:rPr>
          <w:sz w:val="20"/>
          <w:szCs w:val="20"/>
          <w:color w:val="auto"/>
        </w:rPr>
      </w:pPr>
      <w:r>
        <w:rPr>
          <w:rFonts w:ascii="Times New Roman" w:cs="Times New Roman" w:eastAsia="Times New Roman" w:hAnsi="Times New Roman"/>
          <w:sz w:val="22"/>
          <w:szCs w:val="22"/>
          <w:color w:val="auto"/>
        </w:rPr>
        <w:t>Item 4 of the Amended Schedule 13D is hereby supplemented and amended to add the information contained in Item 6 of this Amendment, which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hanging="912"/>
        <w:spacing w:after="0" w:line="242"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percentage of beneficial ownership in this Amendment is based on: (i) with respect to the total amount of securities issued and outstanding, an aggregate of 15,934,137 shares of Class A Common Stock and 7,177,076 shares of Class V Common Stock outstanding as of September 3, 2025, as reported in the Issuer's Definitive Proxy Statement filed with the Securities and Exchange Commission (the "SEC") on September 9, 2025, as adjusted pursuant to Rule 13d-3(d)(1)(i) under the Exchange Act to include the 461,360 shares of Class A Common Stock (the "Warrant Shares") underlying the Acquired Warrants (as defined in Item 6 of the Amended Schedule 13D), and (ii) with respect to the securities beneficially owned by the Reporting Persons, 649,934 shares of Class A Common Stock, the 461,360 Warrant Shares and 6,803,178 shares of Class A Common Stock underlying the Paired Interests (consisting of 6,803,178 Bakkt Opco Common Units and 6,803,178 shares of Class V Common Stock) beneficially owned by the Reporting Persons as of the date hereof. 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 Pursuant to the terms of the A&amp;R Exchange Agreement (as defined in Item 6 of Amendment No. 1), Bakkt Opco Common Units, when coupled with an equivalent number of shares of Class V Common Stock, may be exchanged at the discretion of the holder for shares of Class A Common Stock on a one-for-one basis (subject to adjustment as set forth in the A&amp;R Exchange Agreement), or, at the option of the Issuer, cash, subject to the following exceptions: (i) no holder of Bakkt Opco Common Units may exchange less than 1,000 Bakkt Opco Common Units in any single exchange unless exchanging all of their Bakkt Opco Common Units; and (ii) such exchange can only occur (a) upon a Permitted Exchange Event (as defined in the A&amp;R Exchange Agreement) or (b) on (1) the last trading day of the second week of the first month of each quarter, (2) the last trading day of the first month of each quarter, (3) the third full trading day occurring after the Issuer publicly announces its results for a quarter and (4) the last trading day of the second month of each quarter. The Warrant Shares will not have voting power unless, and to the extent, ICEH exercises its right to acquire Warrant Shares in accordance with the terms of the Acquired Warrants and such shares become issued and outstanding. To the best knowledge of the Reporting Persons, the following persons beneficially own or may be deemed to beneficially own the shares of Class A Common Stock, Class V Common Stock and Bakkt Opco Common Units set forth below: o Hon. Sharon Y. Bowen, Director, ICE, beneficially owns 20,118 shares of Class A Common Stock, 926 shares of Class V Common Stock and 926 Bakkt Opco Common Units. o Thomas E. Noonan, Director, ICE, beneficially owns 529 shares of Class V Common Stock and 529 Bakkt Opco Common Units. o Jeffrey C. Sprecher, Director (Chairman) and Chief Executive Officer, ICE, may be deemed to beneficially own 146,366 shares of Class V Common Stock and 146,366 Bakkt Opco Common Units, which shares and units are beneficially owned</w:t>
      </w:r>
    </w:p>
    <w:p>
      <w:pPr>
        <w:sectPr>
          <w:pgSz w:w="11900" w:h="16838" w:orient="portrait"/>
          <w:cols w:equalWidth="0" w:num="1">
            <w:col w:w="11160"/>
          </w:cols>
          <w:pgMar w:left="360" w:top="112" w:right="379" w:bottom="0" w:gutter="0" w:footer="0" w:header="0"/>
        </w:sectPr>
      </w:pPr>
    </w:p>
    <w:bookmarkStart w:id="4" w:name="page5"/>
    <w:bookmarkEnd w:id="4"/>
    <w:p>
      <w:pPr>
        <w:ind w:left="920" w:right="60"/>
        <w:spacing w:after="0" w:line="235" w:lineRule="auto"/>
        <w:rPr>
          <w:sz w:val="20"/>
          <w:szCs w:val="20"/>
          <w:color w:val="auto"/>
        </w:rPr>
      </w:pPr>
      <w:r>
        <w:rPr>
          <w:rFonts w:ascii="Times New Roman" w:cs="Times New Roman" w:eastAsia="Times New Roman" w:hAnsi="Times New Roman"/>
          <w:sz w:val="22"/>
          <w:szCs w:val="22"/>
          <w:color w:val="auto"/>
        </w:rPr>
        <w:t>by his spouse through her holdings of vested incentive units in Bakkt Management. Mr. Sprecher disclaims beneficial ownership of the shares and units held indirectly by his spouse. The Reporting Persons specifically disclaim beneficial ownership over such shares and units held by the persons listed above. Except for the shares of Class A Common Stock beneficially owned by Ms. Bowen, the beneficial ownership information set forth above is with respect to shares of Class V Common Stock and Bakkt Opco Common Units indirectly acquired by Ms. Bowen, Mr. Noonan, and Mr. Sprecher's spouse in connection with the Closing in respect of incentive units held by such individuals under the Bakkt equity incentive plan in effect prior to the Closing and held directly by Bakkt Management LLC ("Bakkt Management").</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 5(a) of this Statement is incorporated herein by reference. Pursuant to the terms of the Up-C Collapse Waiver (as</w:t>
      </w:r>
    </w:p>
    <w:p>
      <w:pPr>
        <w:spacing w:after="0" w:line="26" w:lineRule="exact"/>
        <w:rPr>
          <w:sz w:val="20"/>
          <w:szCs w:val="20"/>
          <w:color w:val="auto"/>
        </w:rPr>
      </w:pPr>
    </w:p>
    <w:p>
      <w:pPr>
        <w:ind w:left="920" w:right="18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defined in Item 6 of this Amendment), ICEH has agreed not to transfer the Acquired Warrants until the earlier of (a) the consummation by the Issuer of the Up-C Collapse (as defined in Item 6 of this Amendment) and (b) November 14, 2025.</w:t>
      </w:r>
    </w:p>
    <w:p>
      <w:pPr>
        <w:spacing w:after="0" w:line="18" w:lineRule="exact"/>
        <w:rPr>
          <w:rFonts w:ascii="Times New Roman" w:cs="Times New Roman" w:eastAsia="Times New Roman" w:hAnsi="Times New Roman"/>
          <w:sz w:val="42"/>
          <w:szCs w:val="42"/>
          <w:color w:val="auto"/>
          <w:vertAlign w:val="subscript"/>
        </w:rPr>
      </w:pPr>
    </w:p>
    <w:p>
      <w:pPr>
        <w:ind w:left="92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This Amendment is being filed to report the entry by ICEH into the TRA Amendment, the Contribution Agreement and the Up-C Collapse Waiver (each as defined in Item 6 of this Amendment), and to update the aggregate percentage</w:t>
      </w:r>
    </w:p>
    <w:p>
      <w:pPr>
        <w:ind w:left="920" w:right="80" w:hanging="912"/>
        <w:spacing w:after="0" w:line="189"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the Common Stock owned by the Reporting Persons due to dilution caused by the Issuer's issuance of additional shares of its Class A Common Stock since the date of the filing of Amendment No. 8, and not in connection with any acquisition or disposition of any shares of Common Stock by the Reporting Persons. The Reporting Persons have not effected any transactions in Class A Common Stock or Class V Common Stock during the past 60 days.</w:t>
      </w:r>
    </w:p>
    <w:p>
      <w:pPr>
        <w:spacing w:after="0" w:line="14" w:lineRule="exact"/>
        <w:rPr>
          <w:rFonts w:ascii="Times New Roman" w:cs="Times New Roman" w:eastAsia="Times New Roman" w:hAnsi="Times New Roman"/>
          <w:sz w:val="43"/>
          <w:szCs w:val="43"/>
          <w:color w:val="auto"/>
          <w:vertAlign w:val="subscript"/>
        </w:rPr>
      </w:pPr>
    </w:p>
    <w:p>
      <w:pPr>
        <w:ind w:left="920" w:right="2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Item 6 of the Amended Schedule 13D is hereby further supplemented and amended to add the following information: Up-C Collapse and Related Agreements On October 16, 2025, the Issuer announced plans for a reorganization of certain of its entities that would result in the elimination of its umbrella partnership-C-corporation structure and the Issuer becoming a wholly owned subsidiary of a new holding company ("NewCo") that will replace the Issuer as the public company trading on the New York Stock Exchange (the "Up-C Collapse"). In connection with the Up-C Collapse, (i) holders of shares of Class A Common Stock, including ICEH, will cease to hold such shares and will receive an equivalent number of shares of Class A common stock of NewCo ("NewCo Class A Common Stock") that have the same voting and economic rights as the Class A Common Stock, (ii) holders of shares of Class V Common Stock, including ICEH, will cease to hold such shares and will receive an equivalent number of shares of Class V common stock of NewCo ("NewCo Class V Common Stock") that have the same voting and economic rights as the Class V Common Stock, and (iii) holders of Bakkt Opco Common Units, each coupled with one share of NewCo Class V Common Stock, will cease to hold such Bakkt Opco Common Units and shares of NewCo Class V Common Stock and will receive an equivalent number of shares of NewCo Class A Common Stock. Upon consummation of the Up-C Collapse, NewCo will have only one class of outstanding common stock, the NewCo Class A Common Stock. On October 16, 2025, in connection with the Up-C Collapse, the Issuer, ICEH and Akshay Naheta, the Issuer's Chief Executive Officer ("Mr. Naheta"), entered into an amendment to the Tax Receivable Agreement (the "TRA Amendment") and a Contribution Agreement (the "Contribution Agreement"), and the Issuer and ICEH also entered into a waiver, acknowledgment and consent in respect of the Acquired Warrants (the "Up-C Collapse Waiver"). Pursuant to the TRA Amendment and the Contribution Agreement, ICEH and Mr. Naheta agreed that they would, at the closing of the Up-C Collapse, (i) contribute their rights under the Tax Receivable Agreement to NewCo in exchange for a cash payment from NewCo equal to the respective amount to which ICEH and Mr. Naheta would otherwise be entitled under the Tax Receivable Agreement (as amended) and (ii) contribute such cash to NewCo in exchange for shares of NewCo Class A Common Stock, and further agreed that the respective obligations of ICEH and Mr. Naheta, on the one hand, and NewCo, on the other hand, to transfer the foregoing cash amounts will be net-settled and offset against one another. The number of shares of NewCo Class A Common Stock to be issued pursuant to the contribution in the foregoing clause (ii) will be issued based on a purchase price of $39.34, representing the "Minimum Price" as defined in NYSE Rule 312.04(h). Assuming a Class A Common Stock trading price of $38.00 for calculating the payment that would otherwise be owed to ICEH under the Tax Receivable Agreement (as amended) in accordance with the foregoing clause (i), the Issuer has estimated that approximately 655,500 shares of NewCo Class A Common Stock would be issued to ICEH at that Minimum Price. In addition, the TRA Amendment sets the discount rate to be used in calculating payments owed under the Tax Receivable Agreement to all TRA Parties (as defined in the Tax Receivable Agreement), including ICEH and Mr. Naheta, at 18%, calculated as of the date of consummation of the Up-C Collapse, except that for ICEH and Mr. Naheta only, the value of such payments is capped at the value of such payments calculated as of the date of the TRA Amendment. Pursuant to the Up-C Collapse Waiver, ICEH agreed to waive its right to treat the Up-C Collapse as a Fundamental Change (as defined in the Acquired Warrants) and to exchange the Acquired Warrants for equivalent warrants to purchase shares of NewCo Class A Common Stock upon consummation of the Up-C Collapse. In the Up-C Collapse Waiver, ICEH also agreed not to transfer the Acquired Warrants until the earlier of the consummation of the Up-C Collapse and November 14, 2025. The Up-C Collapse Waiver will terminate if the Up-C Collapse is not consummated on or before November 14,</w:t>
      </w:r>
    </w:p>
    <w:p>
      <w:pPr>
        <w:spacing w:after="0" w:line="5" w:lineRule="exact"/>
        <w:rPr>
          <w:sz w:val="20"/>
          <w:szCs w:val="20"/>
          <w:color w:val="auto"/>
        </w:rPr>
      </w:pPr>
    </w:p>
    <w:p>
      <w:pPr>
        <w:ind w:left="920" w:right="380"/>
        <w:spacing w:after="0" w:line="234" w:lineRule="auto"/>
        <w:rPr>
          <w:sz w:val="20"/>
          <w:szCs w:val="20"/>
          <w:color w:val="auto"/>
        </w:rPr>
      </w:pPr>
      <w:r>
        <w:rPr>
          <w:rFonts w:ascii="Times New Roman" w:cs="Times New Roman" w:eastAsia="Times New Roman" w:hAnsi="Times New Roman"/>
          <w:sz w:val="22"/>
          <w:szCs w:val="22"/>
          <w:color w:val="auto"/>
        </w:rPr>
        <w:t>2025. The foregoing descriptions of the TRA Amendment, the Contribution Agreement and the Up-C Collapse Waiver are qualified in their entirety by reference to the full text of the TRA Amendment, the Contribution Agreement and the Up-C Collapse Waiver, which are filed as Exhibits 99.24, 99.25 and 99.26, respectively, to the Amended Schedule 13D and incorporated herein by reference.</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ectPr>
          <w:pgSz w:w="11900" w:h="16838" w:orient="portrait"/>
          <w:cols w:equalWidth="0" w:num="1">
            <w:col w:w="11140"/>
          </w:cols>
          <w:pgMar w:left="360" w:top="112" w:right="39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Exhibit 99.1* Joint Filing Agreement, dated as of October 21, 2021, by and among the Reporting Persons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to Exhibit 99.1 to the Schedule 13D filed by the Reporting Persons with the SEC on</w:t>
      </w:r>
    </w:p>
    <w:p>
      <w:pPr>
        <w:spacing w:after="0" w:line="230" w:lineRule="auto"/>
        <w:rPr>
          <w:sz w:val="20"/>
          <w:szCs w:val="20"/>
          <w:color w:val="auto"/>
        </w:rPr>
      </w:pPr>
      <w:r>
        <w:rPr>
          <w:rFonts w:ascii="Times New Roman" w:cs="Times New Roman" w:eastAsia="Times New Roman" w:hAnsi="Times New Roman"/>
          <w:sz w:val="22"/>
          <w:szCs w:val="22"/>
          <w:color w:val="auto"/>
        </w:rPr>
        <w:t>October 21, 2021). https://www.sec.gov/Archives/edgar/data/1571949/000119312521304172/d367825dex991.htm</w:t>
      </w:r>
    </w:p>
    <w:p>
      <w:pPr>
        <w:spacing w:after="0" w:line="231" w:lineRule="auto"/>
        <w:rPr>
          <w:sz w:val="20"/>
          <w:szCs w:val="20"/>
          <w:color w:val="auto"/>
        </w:rPr>
      </w:pPr>
      <w:r>
        <w:rPr>
          <w:rFonts w:ascii="Times New Roman" w:cs="Times New Roman" w:eastAsia="Times New Roman" w:hAnsi="Times New Roman"/>
          <w:sz w:val="22"/>
          <w:szCs w:val="22"/>
          <w:color w:val="auto"/>
        </w:rPr>
        <w:t>Exhibit 99.2 Agreement and Plan of Merger (incorporated by reference to Exhibit 2.1 to the Issuer's Current Report</w:t>
      </w:r>
    </w:p>
    <w:p>
      <w:pPr>
        <w:spacing w:after="0" w:line="230" w:lineRule="auto"/>
        <w:rPr>
          <w:sz w:val="20"/>
          <w:szCs w:val="20"/>
          <w:color w:val="auto"/>
        </w:rPr>
      </w:pPr>
      <w:r>
        <w:rPr>
          <w:rFonts w:ascii="Times New Roman" w:cs="Times New Roman" w:eastAsia="Times New Roman" w:hAnsi="Times New Roman"/>
          <w:sz w:val="22"/>
          <w:szCs w:val="22"/>
          <w:color w:val="auto"/>
        </w:rPr>
        <w:t>on Form 8-K filed on January 11, 2021).</w:t>
      </w:r>
    </w:p>
    <w:p>
      <w:pPr>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https://www.sec.gov/Archives/edgar/data/1820302/000119312521005832/d913171dex21.htm Exhibit 99.3</w:t>
      </w:r>
    </w:p>
    <w:p>
      <w:pPr>
        <w:spacing w:after="0"/>
        <w:rPr>
          <w:sz w:val="20"/>
          <w:szCs w:val="20"/>
          <w:color w:val="auto"/>
        </w:rPr>
      </w:pPr>
      <w:r>
        <w:rPr>
          <w:rFonts w:ascii="Times New Roman" w:cs="Times New Roman" w:eastAsia="Times New Roman" w:hAnsi="Times New Roman"/>
          <w:sz w:val="21"/>
          <w:szCs w:val="21"/>
          <w:color w:val="auto"/>
        </w:rPr>
        <w:t>Amendment to Agreement and Plan of Merger (incorporated by reference to Exhibit 2.1 to the Issuer's Current Report</w:t>
      </w:r>
    </w:p>
    <w:p>
      <w:pPr>
        <w:spacing w:after="0" w:line="231" w:lineRule="auto"/>
        <w:rPr>
          <w:sz w:val="20"/>
          <w:szCs w:val="20"/>
          <w:color w:val="auto"/>
        </w:rPr>
      </w:pPr>
      <w:r>
        <w:rPr>
          <w:rFonts w:ascii="Times New Roman" w:cs="Times New Roman" w:eastAsia="Times New Roman" w:hAnsi="Times New Roman"/>
          <w:sz w:val="22"/>
          <w:szCs w:val="22"/>
          <w:color w:val="auto"/>
        </w:rPr>
        <w:t>on Form 8-K filed on March 31, 2021).</w:t>
      </w:r>
    </w:p>
    <w:p>
      <w:pPr>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https://www.sec.gov/Archives/edgar/data/1820302/000119312521101249/d107545dex21.htm Exhibit 99.4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Amendment to Agreement and Plan of Merger (incorporated by reference to Exhibit 2.1 to the Issuer's Current Report</w:t>
      </w:r>
    </w:p>
    <w:p>
      <w:pPr>
        <w:spacing w:after="0" w:line="231" w:lineRule="auto"/>
        <w:rPr>
          <w:sz w:val="20"/>
          <w:szCs w:val="20"/>
          <w:color w:val="auto"/>
        </w:rPr>
      </w:pPr>
      <w:r>
        <w:rPr>
          <w:rFonts w:ascii="Times New Roman" w:cs="Times New Roman" w:eastAsia="Times New Roman" w:hAnsi="Times New Roman"/>
          <w:sz w:val="22"/>
          <w:szCs w:val="22"/>
          <w:color w:val="auto"/>
        </w:rPr>
        <w:t>on Form 8-K filed on September 30,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https://www.sec.gov/Archives/edgar/data/1820302/000119312521286927/d204551dex21.htm Exhibit 99.5 Certificate</w:t>
      </w:r>
    </w:p>
    <w:p>
      <w:pPr>
        <w:spacing w:after="0" w:line="231" w:lineRule="auto"/>
        <w:rPr>
          <w:sz w:val="20"/>
          <w:szCs w:val="20"/>
          <w:color w:val="auto"/>
        </w:rPr>
      </w:pPr>
      <w:r>
        <w:rPr>
          <w:rFonts w:ascii="Times New Roman" w:cs="Times New Roman" w:eastAsia="Times New Roman" w:hAnsi="Times New Roman"/>
          <w:sz w:val="22"/>
          <w:szCs w:val="22"/>
          <w:color w:val="auto"/>
        </w:rPr>
        <w:t>of Incorporation of the Issuer (incorporated by reference to Exhibit 3.1 to the Issuer's Current Report on Form 8-K</w:t>
      </w:r>
    </w:p>
    <w:p>
      <w:pPr>
        <w:spacing w:after="0" w:line="231" w:lineRule="auto"/>
        <w:rPr>
          <w:sz w:val="20"/>
          <w:szCs w:val="20"/>
          <w:color w:val="auto"/>
        </w:rPr>
      </w:pPr>
      <w:r>
        <w:rPr>
          <w:rFonts w:ascii="Times New Roman" w:cs="Times New Roman" w:eastAsia="Times New Roman" w:hAnsi="Times New Roman"/>
          <w:sz w:val="22"/>
          <w:szCs w:val="22"/>
          <w:color w:val="auto"/>
        </w:rPr>
        <w:t>filed on October 21,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https://www.sec.gov/Archives/edgar/data/1820302/000119312521303985/d219325dex31.htm Exhibit 99.6 Exchange</w:t>
      </w:r>
    </w:p>
    <w:p>
      <w:pPr>
        <w:spacing w:after="0" w:line="231" w:lineRule="auto"/>
        <w:rPr>
          <w:sz w:val="20"/>
          <w:szCs w:val="20"/>
          <w:color w:val="auto"/>
        </w:rPr>
      </w:pPr>
      <w:r>
        <w:rPr>
          <w:rFonts w:ascii="Times New Roman" w:cs="Times New Roman" w:eastAsia="Times New Roman" w:hAnsi="Times New Roman"/>
          <w:sz w:val="22"/>
          <w:szCs w:val="22"/>
          <w:color w:val="auto"/>
        </w:rPr>
        <w:t>Agreement (incorporated by reference to Exhibit 10.4 to the Issuer's Current Report on Form 8-K filed on October</w:t>
      </w:r>
    </w:p>
    <w:p>
      <w:pPr>
        <w:spacing w:after="0" w:line="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1"/>
          <w:szCs w:val="21"/>
          <w:color w:val="auto"/>
        </w:rPr>
        <w:t>21, 2021). https://www.sec.gov/Archives/edgar/data/1820302/000119312521303985/d219325dex104.htm Exhibit 99.7 Amended and Restated Limited Liability Company Agreement (incorporated by reference to Exhibit 4.3 to the Issuer's Current Report on Form 8-K filed on October 21, 2021). https://www.sec.gov/Archives/edgar/data/1820302/000119312521303985/d219325dex43.htm Exhibit 99.8 Voting Agreement (incorporated by reference to Exhibit 10.3 to the Issuer's Current Report on Form 8-K filed on October 21, 2021). https://www.sec.gov/Archives/edgar/data/1820302/000119312521303985/d219325dex103.htm Exhibit 99.9 Stockholders Agreement (incorporated by reference to Exhibit 10.2 to the Issuer's Current Report on Form 8-K</w:t>
      </w:r>
    </w:p>
    <w:p>
      <w:pPr>
        <w:spacing w:after="0" w:line="233" w:lineRule="auto"/>
        <w:rPr>
          <w:sz w:val="20"/>
          <w:szCs w:val="20"/>
          <w:color w:val="auto"/>
        </w:rPr>
      </w:pPr>
      <w:r>
        <w:rPr>
          <w:rFonts w:ascii="Times New Roman" w:cs="Times New Roman" w:eastAsia="Times New Roman" w:hAnsi="Times New Roman"/>
          <w:sz w:val="22"/>
          <w:szCs w:val="22"/>
          <w:color w:val="auto"/>
        </w:rPr>
        <w:t>filed on October 21, 2021).</w:t>
      </w:r>
    </w:p>
    <w:p>
      <w:pPr>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https://www.sec.gov/Archives/edgar/data/1820302/000119312521303985/d219325dex102.htm Exhibit 99.10</w:t>
      </w:r>
    </w:p>
    <w:p>
      <w:pPr>
        <w:spacing w:after="0"/>
        <w:rPr>
          <w:sz w:val="20"/>
          <w:szCs w:val="20"/>
          <w:color w:val="auto"/>
        </w:rPr>
      </w:pPr>
      <w:r>
        <w:rPr>
          <w:rFonts w:ascii="Times New Roman" w:cs="Times New Roman" w:eastAsia="Times New Roman" w:hAnsi="Times New Roman"/>
          <w:sz w:val="21"/>
          <w:szCs w:val="21"/>
          <w:color w:val="auto"/>
        </w:rPr>
        <w:t>Registration Rights Agreement (incorporated by reference to Exhibit 10.1 to the Issuer's Current Report on Form 8-K</w:t>
      </w:r>
    </w:p>
    <w:p>
      <w:pPr>
        <w:spacing w:after="0" w:line="231" w:lineRule="auto"/>
        <w:rPr>
          <w:sz w:val="20"/>
          <w:szCs w:val="20"/>
          <w:color w:val="auto"/>
        </w:rPr>
      </w:pPr>
      <w:r>
        <w:rPr>
          <w:rFonts w:ascii="Times New Roman" w:cs="Times New Roman" w:eastAsia="Times New Roman" w:hAnsi="Times New Roman"/>
          <w:sz w:val="22"/>
          <w:szCs w:val="22"/>
          <w:color w:val="auto"/>
        </w:rPr>
        <w:t>filed on October 21, 2021).</w:t>
      </w:r>
    </w:p>
    <w:p>
      <w:pPr>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https://www.sec.gov/Archives/edgar/data/1820302/000119312521303985/d219325dex101.htm Exhibit 99.11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Receivable Agreement (incorporated by reference to Exhibit 10.5 to the Issuer's Current Report on Form 8-K filed on</w:t>
      </w:r>
    </w:p>
    <w:p>
      <w:pPr>
        <w:spacing w:after="0" w:line="231" w:lineRule="auto"/>
        <w:rPr>
          <w:sz w:val="20"/>
          <w:szCs w:val="20"/>
          <w:color w:val="auto"/>
        </w:rPr>
      </w:pPr>
      <w:r>
        <w:rPr>
          <w:rFonts w:ascii="Times New Roman" w:cs="Times New Roman" w:eastAsia="Times New Roman" w:hAnsi="Times New Roman"/>
          <w:sz w:val="22"/>
          <w:szCs w:val="22"/>
          <w:color w:val="auto"/>
        </w:rPr>
        <w:t>October 21, 2021). https://www.sec.gov/Archives/edgar/data/1820302/000119312521303985/d219325dex105.htm</w:t>
      </w:r>
    </w:p>
    <w:p>
      <w:pPr>
        <w:spacing w:after="0" w:line="231" w:lineRule="auto"/>
        <w:rPr>
          <w:sz w:val="20"/>
          <w:szCs w:val="20"/>
          <w:color w:val="auto"/>
        </w:rPr>
      </w:pPr>
      <w:r>
        <w:rPr>
          <w:rFonts w:ascii="Times New Roman" w:cs="Times New Roman" w:eastAsia="Times New Roman" w:hAnsi="Times New Roman"/>
          <w:sz w:val="22"/>
          <w:szCs w:val="22"/>
          <w:color w:val="auto"/>
        </w:rPr>
        <w:t>Exhibit 99.12* Amended and Restated Subscription Agreement (incorporated by reference to Exhibit 99.12 to the</w:t>
      </w:r>
    </w:p>
    <w:p>
      <w:pPr>
        <w:spacing w:after="0" w:line="231" w:lineRule="auto"/>
        <w:rPr>
          <w:sz w:val="20"/>
          <w:szCs w:val="20"/>
          <w:color w:val="auto"/>
        </w:rPr>
      </w:pPr>
      <w:r>
        <w:rPr>
          <w:rFonts w:ascii="Times New Roman" w:cs="Times New Roman" w:eastAsia="Times New Roman" w:hAnsi="Times New Roman"/>
          <w:sz w:val="22"/>
          <w:szCs w:val="22"/>
          <w:color w:val="auto"/>
        </w:rPr>
        <w:t>Schedule 13D filed by the Reporting Persons with the SEC on October 21, 2021).</w:t>
      </w:r>
    </w:p>
    <w:p>
      <w:pPr>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https://www.sec.gov/Archives/edgar/data/1571949/000119312521304172/d367825dex9912.htm Exhibit 99.13</w:t>
      </w:r>
    </w:p>
    <w:p>
      <w:pPr>
        <w:spacing w:after="0" w:line="231" w:lineRule="auto"/>
        <w:rPr>
          <w:sz w:val="20"/>
          <w:szCs w:val="20"/>
          <w:color w:val="auto"/>
        </w:rPr>
      </w:pPr>
      <w:r>
        <w:rPr>
          <w:rFonts w:ascii="Times New Roman" w:cs="Times New Roman" w:eastAsia="Times New Roman" w:hAnsi="Times New Roman"/>
          <w:sz w:val="22"/>
          <w:szCs w:val="22"/>
          <w:color w:val="auto"/>
        </w:rPr>
        <w:t>Cooperation Agreement (incorporated by reference to Exhibit 10.6 to the Issuer's Current Report on Form 8-K filed</w:t>
      </w:r>
    </w:p>
    <w:p>
      <w:pPr>
        <w:spacing w:after="0"/>
        <w:rPr>
          <w:sz w:val="20"/>
          <w:szCs w:val="20"/>
          <w:color w:val="auto"/>
        </w:rPr>
      </w:pPr>
      <w:r>
        <w:rPr>
          <w:rFonts w:ascii="Times New Roman" w:cs="Times New Roman" w:eastAsia="Times New Roman" w:hAnsi="Times New Roman"/>
          <w:sz w:val="21"/>
          <w:szCs w:val="21"/>
          <w:color w:val="auto"/>
        </w:rPr>
        <w:t>on October 21, 2021). https://www.sec.gov/Archives/edgar/data/1820302/000119312521303985/d219325dex106.htm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99.14 Amended and Restated Exchange Agreement (incorporated by reference to Exhibit 10.1 to the Issuer's</w:t>
      </w:r>
    </w:p>
    <w:p>
      <w:pPr>
        <w:spacing w:after="0" w:line="231" w:lineRule="auto"/>
        <w:rPr>
          <w:sz w:val="20"/>
          <w:szCs w:val="20"/>
          <w:color w:val="auto"/>
        </w:rPr>
      </w:pPr>
      <w:r>
        <w:rPr>
          <w:rFonts w:ascii="Times New Roman" w:cs="Times New Roman" w:eastAsia="Times New Roman" w:hAnsi="Times New Roman"/>
          <w:sz w:val="22"/>
          <w:szCs w:val="22"/>
          <w:color w:val="auto"/>
        </w:rPr>
        <w:t>Current Report on Form 8-K filed on May 4,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https://www.sec.gov/Archives/edgar/data/1820302/000182030222000015/a101amendedandrestatedexch.htm Exhibit</w:t>
      </w:r>
    </w:p>
    <w:p>
      <w:pPr>
        <w:spacing w:after="0" w:line="231" w:lineRule="auto"/>
        <w:rPr>
          <w:sz w:val="20"/>
          <w:szCs w:val="20"/>
          <w:color w:val="auto"/>
        </w:rPr>
      </w:pPr>
      <w:r>
        <w:rPr>
          <w:rFonts w:ascii="Times New Roman" w:cs="Times New Roman" w:eastAsia="Times New Roman" w:hAnsi="Times New Roman"/>
          <w:sz w:val="22"/>
          <w:szCs w:val="22"/>
          <w:color w:val="auto"/>
        </w:rPr>
        <w:t>99.15* Securities Purchase Agreement (incorporated by reference to Exhibit 99.15 to the Schedule 13D/A filed by</w:t>
      </w:r>
    </w:p>
    <w:p>
      <w:pPr>
        <w:spacing w:after="0" w:line="231" w:lineRule="auto"/>
        <w:rPr>
          <w:sz w:val="20"/>
          <w:szCs w:val="20"/>
          <w:color w:val="auto"/>
        </w:rPr>
      </w:pPr>
      <w:r>
        <w:rPr>
          <w:rFonts w:ascii="Times New Roman" w:cs="Times New Roman" w:eastAsia="Times New Roman" w:hAnsi="Times New Roman"/>
          <w:sz w:val="22"/>
          <w:szCs w:val="22"/>
          <w:color w:val="auto"/>
        </w:rPr>
        <w:t>the Reporting Persons with the SEC on March 4, 2024).</w:t>
      </w:r>
    </w:p>
    <w:p>
      <w:pPr>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https://www.sec.gov/Archives/edgar/data/1571949/000094787124000253/ss3098627_ex9915.htm Exhibit 99.16*</w:t>
      </w:r>
    </w:p>
    <w:p>
      <w:pPr>
        <w:spacing w:after="0"/>
        <w:rPr>
          <w:sz w:val="20"/>
          <w:szCs w:val="20"/>
          <w:color w:val="auto"/>
        </w:rPr>
      </w:pPr>
      <w:r>
        <w:rPr>
          <w:rFonts w:ascii="Times New Roman" w:cs="Times New Roman" w:eastAsia="Times New Roman" w:hAnsi="Times New Roman"/>
          <w:sz w:val="21"/>
          <w:szCs w:val="21"/>
          <w:color w:val="auto"/>
        </w:rPr>
        <w:t>Voting Support Agreement (incorporated by reference to Exhibit 99.16 to the Schedule 13D/A filed by the Reporting</w:t>
      </w:r>
    </w:p>
    <w:p>
      <w:pPr>
        <w:spacing w:after="0" w:line="231" w:lineRule="auto"/>
        <w:rPr>
          <w:sz w:val="20"/>
          <w:szCs w:val="20"/>
          <w:color w:val="auto"/>
        </w:rPr>
      </w:pPr>
      <w:r>
        <w:rPr>
          <w:rFonts w:ascii="Times New Roman" w:cs="Times New Roman" w:eastAsia="Times New Roman" w:hAnsi="Times New Roman"/>
          <w:sz w:val="22"/>
          <w:szCs w:val="22"/>
          <w:color w:val="auto"/>
        </w:rPr>
        <w:t>Persons with the SEC on March 4, 2024).</w:t>
      </w:r>
    </w:p>
    <w:p>
      <w:pPr>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https://www.sec.gov/Archives/edgar/data/1571949/000094787124000253/ss3098627_ex9916.htm Exhibit 99.17*</w:t>
      </w:r>
    </w:p>
    <w:p>
      <w:pPr>
        <w:spacing w:after="0" w:line="231" w:lineRule="auto"/>
        <w:rPr>
          <w:sz w:val="20"/>
          <w:szCs w:val="20"/>
          <w:color w:val="auto"/>
        </w:rPr>
      </w:pPr>
      <w:r>
        <w:rPr>
          <w:rFonts w:ascii="Times New Roman" w:cs="Times New Roman" w:eastAsia="Times New Roman" w:hAnsi="Times New Roman"/>
          <w:sz w:val="22"/>
          <w:szCs w:val="22"/>
          <w:color w:val="auto"/>
        </w:rPr>
        <w:t>Class 1 Warrant issued by the Issuer on March 4, 2024 (incorporated by reference to Exhibit 99.17 to the Schedule</w:t>
      </w:r>
    </w:p>
    <w:p>
      <w:pPr>
        <w:spacing w:after="0" w:line="230" w:lineRule="auto"/>
        <w:rPr>
          <w:sz w:val="20"/>
          <w:szCs w:val="20"/>
          <w:color w:val="auto"/>
        </w:rPr>
      </w:pPr>
      <w:r>
        <w:rPr>
          <w:rFonts w:ascii="Times New Roman" w:cs="Times New Roman" w:eastAsia="Times New Roman" w:hAnsi="Times New Roman"/>
          <w:sz w:val="22"/>
          <w:szCs w:val="22"/>
          <w:color w:val="auto"/>
        </w:rPr>
        <w:t>13D/A filed by the Reporting Persons with the SEC on March 4, 2024).</w:t>
      </w:r>
    </w:p>
    <w:p>
      <w:pPr>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https://www.sec.gov/Archives/edgar/data/1571949/000094787124000253/ss3098627_ex9917.htm Exhibit 99.18*</w:t>
      </w:r>
    </w:p>
    <w:p>
      <w:pPr>
        <w:spacing w:after="0" w:line="230" w:lineRule="auto"/>
        <w:rPr>
          <w:sz w:val="20"/>
          <w:szCs w:val="20"/>
          <w:color w:val="auto"/>
        </w:rPr>
      </w:pPr>
      <w:r>
        <w:rPr>
          <w:rFonts w:ascii="Times New Roman" w:cs="Times New Roman" w:eastAsia="Times New Roman" w:hAnsi="Times New Roman"/>
          <w:sz w:val="22"/>
          <w:szCs w:val="22"/>
          <w:color w:val="auto"/>
        </w:rPr>
        <w:t>Class 2 Warrant issued by the Issuer on March 4, 2024 (incorporated by reference to Exhibit 99.18 to the Schedule</w:t>
      </w:r>
    </w:p>
    <w:p>
      <w:pPr>
        <w:spacing w:after="0" w:line="231" w:lineRule="auto"/>
        <w:rPr>
          <w:sz w:val="20"/>
          <w:szCs w:val="20"/>
          <w:color w:val="auto"/>
        </w:rPr>
      </w:pPr>
      <w:r>
        <w:rPr>
          <w:rFonts w:ascii="Times New Roman" w:cs="Times New Roman" w:eastAsia="Times New Roman" w:hAnsi="Times New Roman"/>
          <w:sz w:val="22"/>
          <w:szCs w:val="22"/>
          <w:color w:val="auto"/>
        </w:rPr>
        <w:t>13D/A filed by the Reporting Persons with the SEC on March 4, 2024).</w:t>
      </w:r>
    </w:p>
    <w:p>
      <w:pPr>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https://www.sec.gov/Archives/edgar/data/1571949/000094787124000253/ss3098627_ex9918.htm Exhibit 99.19*</w:t>
      </w:r>
    </w:p>
    <w:p>
      <w:pPr>
        <w:spacing w:after="0" w:line="231" w:lineRule="auto"/>
        <w:rPr>
          <w:sz w:val="20"/>
          <w:szCs w:val="20"/>
          <w:color w:val="auto"/>
        </w:rPr>
      </w:pPr>
      <w:r>
        <w:rPr>
          <w:rFonts w:ascii="Times New Roman" w:cs="Times New Roman" w:eastAsia="Times New Roman" w:hAnsi="Times New Roman"/>
          <w:sz w:val="22"/>
          <w:szCs w:val="22"/>
          <w:color w:val="auto"/>
        </w:rPr>
        <w:t>Class 1 Warrant issued by the Issuer on April 25, 2024 (incorporated by reference to Exhibit 99.19 to the Schedule</w:t>
      </w:r>
    </w:p>
    <w:p>
      <w:pPr>
        <w:spacing w:after="0" w:line="230" w:lineRule="auto"/>
        <w:rPr>
          <w:sz w:val="20"/>
          <w:szCs w:val="20"/>
          <w:color w:val="auto"/>
        </w:rPr>
      </w:pPr>
      <w:r>
        <w:rPr>
          <w:rFonts w:ascii="Times New Roman" w:cs="Times New Roman" w:eastAsia="Times New Roman" w:hAnsi="Times New Roman"/>
          <w:sz w:val="22"/>
          <w:szCs w:val="22"/>
          <w:color w:val="auto"/>
        </w:rPr>
        <w:t>13D/A filed by the Reporting Persons with the SEC on April 29, 2024).</w:t>
      </w:r>
    </w:p>
    <w:p>
      <w:pPr>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https://www.sec.gov/Archives/edgar/data/1820302/000094787124000420/ss3319225_ex9919.htm Exhibit 99.20*</w:t>
      </w:r>
    </w:p>
    <w:p>
      <w:pPr>
        <w:spacing w:after="0" w:line="230" w:lineRule="auto"/>
        <w:rPr>
          <w:sz w:val="20"/>
          <w:szCs w:val="20"/>
          <w:color w:val="auto"/>
        </w:rPr>
      </w:pPr>
      <w:r>
        <w:rPr>
          <w:rFonts w:ascii="Times New Roman" w:cs="Times New Roman" w:eastAsia="Times New Roman" w:hAnsi="Times New Roman"/>
          <w:sz w:val="22"/>
          <w:szCs w:val="22"/>
          <w:color w:val="auto"/>
        </w:rPr>
        <w:t>Class 2 Warrant issued by the Issuer on April 25, 2024 (incorporated by reference to Exhibit 99.20 to the Schedule</w:t>
      </w:r>
    </w:p>
    <w:p>
      <w:pPr>
        <w:spacing w:after="0" w:line="231" w:lineRule="auto"/>
        <w:rPr>
          <w:sz w:val="20"/>
          <w:szCs w:val="20"/>
          <w:color w:val="auto"/>
        </w:rPr>
      </w:pPr>
      <w:r>
        <w:rPr>
          <w:rFonts w:ascii="Times New Roman" w:cs="Times New Roman" w:eastAsia="Times New Roman" w:hAnsi="Times New Roman"/>
          <w:sz w:val="22"/>
          <w:szCs w:val="22"/>
          <w:color w:val="auto"/>
        </w:rPr>
        <w:t>13D/A filed by the Reporting Persons with the SEC on April 29, 2024).</w:t>
      </w:r>
    </w:p>
    <w:p>
      <w:pPr>
        <w:spacing w:after="0"/>
        <w:rPr>
          <w:sz w:val="20"/>
          <w:szCs w:val="20"/>
          <w:color w:val="auto"/>
        </w:rPr>
      </w:pPr>
      <w:r>
        <w:rPr>
          <w:rFonts w:ascii="Times New Roman" w:cs="Times New Roman" w:eastAsia="Times New Roman" w:hAnsi="Times New Roman"/>
          <w:sz w:val="21"/>
          <w:szCs w:val="21"/>
          <w:color w:val="auto"/>
        </w:rPr>
        <w:t>https://www.sec.gov/Archives/edgar/data/1820302/000094787124000420/ss3319225_ex9920.htm Exhibit 99.21 First</w:t>
      </w:r>
    </w:p>
    <w:p>
      <w:pPr>
        <w:spacing w:after="0" w:line="231" w:lineRule="auto"/>
        <w:rPr>
          <w:sz w:val="20"/>
          <w:szCs w:val="20"/>
          <w:color w:val="auto"/>
        </w:rPr>
      </w:pPr>
      <w:r>
        <w:rPr>
          <w:rFonts w:ascii="Times New Roman" w:cs="Times New Roman" w:eastAsia="Times New Roman" w:hAnsi="Times New Roman"/>
          <w:sz w:val="22"/>
          <w:szCs w:val="22"/>
          <w:color w:val="auto"/>
        </w:rPr>
        <w:t>Amendment to the Third Amended and Restated Limited Liability Company Agreement (incorporated by reference</w:t>
      </w:r>
    </w:p>
    <w:p>
      <w:pPr>
        <w:spacing w:after="0" w:line="231" w:lineRule="auto"/>
        <w:rPr>
          <w:sz w:val="20"/>
          <w:szCs w:val="20"/>
          <w:color w:val="auto"/>
        </w:rPr>
      </w:pPr>
      <w:r>
        <w:rPr>
          <w:rFonts w:ascii="Times New Roman" w:cs="Times New Roman" w:eastAsia="Times New Roman" w:hAnsi="Times New Roman"/>
          <w:sz w:val="22"/>
          <w:szCs w:val="22"/>
          <w:color w:val="auto"/>
        </w:rPr>
        <w:t>to Exhibit 4.1 to the Issuer's Current Report on Form 8-K filed on April 29,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https://www.sec.gov/Archives/edgar/data/1820302/000182030224000080/ex41firstamendmentto3rdame.htm Exhibit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99.22* Share Increase Voting Support Agreement (incorporated by reference to Exhibit 99.22 to the Schedule 13D/A</w:t>
      </w:r>
    </w:p>
    <w:p>
      <w:pPr>
        <w:spacing w:after="0" w:line="231" w:lineRule="auto"/>
        <w:rPr>
          <w:sz w:val="20"/>
          <w:szCs w:val="20"/>
          <w:color w:val="auto"/>
        </w:rPr>
      </w:pPr>
      <w:r>
        <w:rPr>
          <w:rFonts w:ascii="Times New Roman" w:cs="Times New Roman" w:eastAsia="Times New Roman" w:hAnsi="Times New Roman"/>
          <w:sz w:val="22"/>
          <w:szCs w:val="22"/>
          <w:color w:val="auto"/>
        </w:rPr>
        <w:t>filed by the Reporting Persons with the SEC on July 17, 2025).</w:t>
      </w:r>
    </w:p>
    <w:p>
      <w:pPr>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https://www.sec.gov/Archives/edgar/data/1571949/000094787125000670/ss5091566_ex9922.htm Exhibit 99.23*</w:t>
      </w:r>
    </w:p>
    <w:p>
      <w:pPr>
        <w:spacing w:after="0" w:line="231" w:lineRule="auto"/>
        <w:rPr>
          <w:sz w:val="20"/>
          <w:szCs w:val="20"/>
          <w:color w:val="auto"/>
        </w:rPr>
      </w:pPr>
      <w:r>
        <w:rPr>
          <w:rFonts w:ascii="Times New Roman" w:cs="Times New Roman" w:eastAsia="Times New Roman" w:hAnsi="Times New Roman"/>
          <w:sz w:val="22"/>
          <w:szCs w:val="22"/>
          <w:color w:val="auto"/>
        </w:rPr>
        <w:t>Lock-Up Agreement (incorporated by reference to Exhibit 99.23 to the Schedule 13D/A filed by the Reporting</w:t>
      </w:r>
    </w:p>
    <w:p>
      <w:pPr>
        <w:spacing w:after="0" w:line="230" w:lineRule="auto"/>
        <w:rPr>
          <w:sz w:val="20"/>
          <w:szCs w:val="20"/>
          <w:color w:val="auto"/>
        </w:rPr>
      </w:pPr>
      <w:r>
        <w:rPr>
          <w:rFonts w:ascii="Times New Roman" w:cs="Times New Roman" w:eastAsia="Times New Roman" w:hAnsi="Times New Roman"/>
          <w:sz w:val="22"/>
          <w:szCs w:val="22"/>
          <w:color w:val="auto"/>
        </w:rPr>
        <w:t>Persons with the SEC on July 30, 2025).</w:t>
      </w:r>
    </w:p>
    <w:p>
      <w:pPr>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https://www.sec.gov/Archives/edgar/data/1571949/000094787125000710/ss5145903_ex9923.htm Exhibit 99.24</w:t>
      </w:r>
    </w:p>
    <w:p>
      <w:pPr>
        <w:spacing w:after="0"/>
        <w:rPr>
          <w:sz w:val="20"/>
          <w:szCs w:val="20"/>
          <w:color w:val="auto"/>
        </w:rPr>
      </w:pPr>
      <w:r>
        <w:rPr>
          <w:rFonts w:ascii="Times New Roman" w:cs="Times New Roman" w:eastAsia="Times New Roman" w:hAnsi="Times New Roman"/>
          <w:sz w:val="22"/>
          <w:szCs w:val="22"/>
          <w:color w:val="auto"/>
        </w:rPr>
        <w:t>TRA Amendment Exhibit 99.25 Contribution Agreement Exhibit 99.26 Up-C Collapse Waiver * Previously filed</w:t>
      </w:r>
    </w:p>
    <w:p>
      <w:pPr>
        <w:sectPr>
          <w:pgSz w:w="11900" w:h="16838" w:orient="portrait"/>
          <w:cols w:equalWidth="0" w:num="1">
            <w:col w:w="10200"/>
          </w:cols>
          <w:pgMar w:left="1280" w:top="111" w:right="419" w:bottom="89"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10/20/2025</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10/20/2025</w:t>
      </w:r>
    </w:p>
    <w:p>
      <w:pPr>
        <w:sectPr>
          <w:pgSz w:w="11900" w:h="16838" w:orient="portrait"/>
          <w:cols w:equalWidth="0" w:num="1">
            <w:col w:w="10920"/>
          </w:cols>
          <w:pgMar w:left="58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TAX RECEIVABLE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Amendment, dated as of October 16,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among Bakkt Holdings, Inc., a Delaware corporation (the “</w:t>
      </w:r>
      <w:r>
        <w:rPr>
          <w:rFonts w:ascii="Times New Roman" w:cs="Times New Roman" w:eastAsia="Times New Roman" w:hAnsi="Times New Roman"/>
          <w:sz w:val="18"/>
          <w:szCs w:val="18"/>
          <w:u w:val="single" w:color="auto"/>
          <w:color w:val="auto"/>
        </w:rPr>
        <w:t>Corporate Taxpayer</w:t>
      </w:r>
      <w:r>
        <w:rPr>
          <w:rFonts w:ascii="Times New Roman" w:cs="Times New Roman" w:eastAsia="Times New Roman" w:hAnsi="Times New Roman"/>
          <w:sz w:val="18"/>
          <w:szCs w:val="18"/>
          <w:color w:val="auto"/>
        </w:rPr>
        <w:t>”), and each of the other persons from time to time party hereto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to the Tax Receivable Agreement, dated as of October 15, 2021 (as amended or otherwise modified prior to the execution and delivery of this Amendment,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parties thereto agreed to the allocation of certain payments due in connection with Exchanges as provided in the Agreement. Capitalized terms used herein but not defined herein shall have the meanings assigned to such terms in the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promptly following the execution and delivery of this Amendment, the Corporate Taxpayer will publicly announce a reorganization of certain of its entities that, if consummated, will result in the elimination of its umbrella partnership-C-corporation structure and the Corporate Taxpayer becoming a wholly owned subsidiary of a new holding company that will replace the Corporate Taxpayer as the public company trading on the New York Stock Exchange (the “</w:t>
      </w:r>
      <w:r>
        <w:rPr>
          <w:rFonts w:ascii="Times New Roman" w:cs="Times New Roman" w:eastAsia="Times New Roman" w:hAnsi="Times New Roman"/>
          <w:sz w:val="18"/>
          <w:szCs w:val="18"/>
          <w:u w:val="single" w:color="auto"/>
          <w:color w:val="auto"/>
        </w:rPr>
        <w:t>Up-C Collapse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acknowledge and agree that the Up-C Collapse will constitute a Change of Control under the Agreement, resulting in all obligations under the Agreement being accelerated and calculated in accordance with Section 4.1(c) of the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hereby desire to make certain amendments to the Agreement, in each case to be effective only immediately prior and subject to the consummation of the Up-C Collapse;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all of the participating members of the audit committee of the board of directors of the Corporate Taxpayer, which are disinterested, have approved the Up-C Collapse and the transactions contemplated thereby, including this Amendment, in accordance with the Corporate Taxpayer’s related person transactions policy;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 majority of the disinterested members of the board of directors of the Corporate Taxpayer has approved the Up-C Collapse and the transactions contemplated thereby, including this Amendment.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5" w:lineRule="exact"/>
        <w:rPr>
          <w:sz w:val="20"/>
          <w:szCs w:val="20"/>
          <w:color w:val="auto"/>
        </w:rPr>
      </w:pPr>
    </w:p>
    <w:p>
      <w:pPr>
        <w:ind w:left="1280" w:hanging="624"/>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Section 1.1 of the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hanging="844"/>
        <w:spacing w:after="0"/>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“Early Termination Rate” in Section 1.1 of the Agreement is hereby deleted in its entirety and replaced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Rate</w:t>
      </w:r>
      <w:r>
        <w:rPr>
          <w:rFonts w:ascii="Times New Roman" w:cs="Times New Roman" w:eastAsia="Times New Roman" w:hAnsi="Times New Roman"/>
          <w:sz w:val="18"/>
          <w:szCs w:val="18"/>
          <w:color w:val="auto"/>
        </w:rPr>
        <w:t>” means 18% per annum, compounded annually.</w:t>
      </w:r>
    </w:p>
    <w:p>
      <w:pPr>
        <w:spacing w:after="0" w:line="225" w:lineRule="exact"/>
        <w:rPr>
          <w:sz w:val="20"/>
          <w:szCs w:val="20"/>
          <w:color w:val="auto"/>
        </w:rPr>
      </w:pPr>
    </w:p>
    <w:p>
      <w:pPr>
        <w:ind w:left="1320" w:hanging="66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is hereby added to Section 1.1 of the Agreement in proper alphabetical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TRA Parties</w:t>
      </w:r>
      <w:r>
        <w:rPr>
          <w:rFonts w:ascii="Times New Roman" w:cs="Times New Roman" w:eastAsia="Times New Roman" w:hAnsi="Times New Roman"/>
          <w:sz w:val="18"/>
          <w:szCs w:val="18"/>
          <w:color w:val="auto"/>
        </w:rPr>
        <w:t>” means Intercontinental Exchange Holdings, Inc. (“</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and Akshay Sudhir Naheta.</w:t>
      </w:r>
    </w:p>
    <w:p>
      <w:pPr>
        <w:spacing w:after="0" w:line="225" w:lineRule="exact"/>
        <w:rPr>
          <w:sz w:val="20"/>
          <w:szCs w:val="20"/>
          <w:color w:val="auto"/>
        </w:rPr>
      </w:pPr>
    </w:p>
    <w:p>
      <w:pPr>
        <w:ind w:left="1280" w:hanging="624"/>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Section 4.3 of the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704"/>
        <w:spacing w:after="0"/>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(b) of Section 4.3 of the Agreement shall be deleted in its entirety and replaced with the following:</w:t>
      </w:r>
    </w:p>
    <w:p>
      <w:pPr>
        <w:spacing w:after="0" w:line="22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Early Termination Payment</w:t>
      </w:r>
      <w:r>
        <w:rPr>
          <w:rFonts w:ascii="Times New Roman" w:cs="Times New Roman" w:eastAsia="Times New Roman" w:hAnsi="Times New Roman"/>
          <w:sz w:val="18"/>
          <w:szCs w:val="18"/>
          <w:color w:val="auto"/>
        </w:rPr>
        <w:t xml:space="preserve">” in respect of a TRA Party shall equal the present value, discounted at the Early Termination Rate as of the applicable Early Termination Date (which, for the avoidance of doubt, shall be the date on which the Change of Control is consummated in the event of a Change of Control), of all Tax Benefit Payments in respect of such TRA Party that would be required to be paid by the Corporate Taxpayer beginning from the Early Termination Date and assuming that (i) the Valuation Assumptions in respect of such TRA Party are applied and (ii) for each Taxable Year, the Tax Benefit Payment is paid on the due date (including extensions) under applicable law as of the Early Termination Date for filing of IRS Form 1120 (or any successor form) of the Corporate Taxpayer;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no event shall the amount of an Early Termination Payment made to a Majority TRA Party exceed the applicable Early Termination Payment Cap. For the avoidance of doubt, an Early Termination Payment shall be made to each applicable TRA Party regardless of whether such TRA Party has exchanged all of its Common Units as of the Early Termination Date.”</w:t>
      </w:r>
    </w:p>
    <w:p>
      <w:pPr>
        <w:spacing w:after="0" w:line="188" w:lineRule="exact"/>
        <w:rPr>
          <w:sz w:val="20"/>
          <w:szCs w:val="20"/>
          <w:color w:val="auto"/>
        </w:rPr>
      </w:pPr>
    </w:p>
    <w:p>
      <w:pPr>
        <w:ind w:left="1360" w:hanging="704"/>
        <w:spacing w:after="0"/>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(c) shall be added to Section 4.3 of the Agreement as follows: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Early Termination Payment Cap</w:t>
      </w:r>
      <w:r>
        <w:rPr>
          <w:rFonts w:ascii="Times New Roman" w:cs="Times New Roman" w:eastAsia="Times New Roman" w:hAnsi="Times New Roman"/>
          <w:sz w:val="18"/>
          <w:szCs w:val="18"/>
          <w:color w:val="auto"/>
        </w:rPr>
        <w:t>” means, in respect of a Majority TRA Party, the amount of an applicable Early Termination Payment in respect of such Majority TRA Party, calculated as if the applicable Early Termination Date is the date hereof.</w:t>
      </w:r>
    </w:p>
    <w:p>
      <w:pPr>
        <w:spacing w:after="0" w:line="162" w:lineRule="exact"/>
        <w:rPr>
          <w:sz w:val="20"/>
          <w:szCs w:val="20"/>
          <w:color w:val="auto"/>
        </w:rPr>
      </w:pPr>
    </w:p>
    <w:p>
      <w:pPr>
        <w:jc w:val="both"/>
        <w:ind w:firstLine="656"/>
        <w:spacing w:after="0" w:line="266" w:lineRule="auto"/>
        <w:tabs>
          <w:tab w:leader="none" w:pos="10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This Amendment shall only be effective immediately prior and subject to the consummation of the Up-C Collapse, in which case, except as contemplated hereby, all other terms and provisions of the Agreement shall remain in full force and effect. For the avoidance of doubt, if the Up-C Collapse is not consummated for any reason whatsoever, the Agreement shall remain unamended and in full force and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Pursuant to Section 7.6(b) of the Agreement, each of ICE and Akshay Sudhir Naheta hereby provide their written consent to amend the Agreement in accordance with the terms hereof, in each case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Amendment. The Corporate Taxpayer and ICE further agree that the foregoing consent shall also constitute ICE’s written consent in respect of the Up-C Collapse (and not in respect of any Termination Transaction other than the Up-C Collapse) pursuant to Section 10.8 of the Third Amended and Restated Limited Liability Company Agreement of Opco dated as of October 15, 2021, as amended, restated and/or amended and restated prior to the execution and delivery of this Amendment, including as amended as of April 26, 2024.</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firstLine="656"/>
        <w:spacing w:after="0" w:line="266" w:lineRule="auto"/>
        <w:tabs>
          <w:tab w:leader="none" w:pos="11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of this Amendment, each Party hereby agrees to promptly execute, acknowledge and deliver, or cause to be executed, acknowledged and delivered, such documents and other instruments, and to take, or cause to be taken, such further actions, in each case, as may be reasonably required to carry out the provisions of this Amendment.</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1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7.2, 7.4 through 7.9, 7.12, 7.13, 7.14 and 7.15 of the Agreement shall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No amendment to the Agreement shall be required to the extent any entity becomes a successor of any of the parties thereto.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 WITNESS WHEREOF, this Amendment has been duly executed and delivered by the undersigned as of the date first above written.</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0" w:lineRule="exact"/>
        <w:rPr>
          <w:sz w:val="20"/>
          <w:szCs w:val="20"/>
          <w:color w:val="auto"/>
        </w:rPr>
      </w:pPr>
    </w:p>
    <w:p>
      <w:pPr>
        <w:spacing w:after="0" w:line="245" w:lineRule="exact"/>
        <w:rPr>
          <w:sz w:val="20"/>
          <w:szCs w:val="20"/>
          <w:color w:val="auto"/>
        </w:rPr>
      </w:pPr>
    </w:p>
    <w:p>
      <w:pPr>
        <w:ind w:left="4960"/>
        <w:spacing w:after="0"/>
        <w:tabs>
          <w:tab w:leader="none" w:pos="5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3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-127635</wp:posOffset>
            </wp:positionV>
            <wp:extent cx="30346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INTERCONTINENTAL EXCHANGE HOLDINGS, INC.</w:t>
      </w:r>
    </w:p>
    <w:p>
      <w:pPr>
        <w:spacing w:after="0" w:line="200" w:lineRule="exact"/>
        <w:rPr>
          <w:sz w:val="20"/>
          <w:szCs w:val="20"/>
          <w:color w:val="auto"/>
        </w:rPr>
      </w:pPr>
    </w:p>
    <w:p>
      <w:pPr>
        <w:spacing w:after="0" w:line="245" w:lineRule="exact"/>
        <w:rPr>
          <w:sz w:val="20"/>
          <w:szCs w:val="20"/>
          <w:color w:val="auto"/>
        </w:rPr>
      </w:pPr>
    </w:p>
    <w:p>
      <w:pPr>
        <w:ind w:left="4960"/>
        <w:spacing w:after="0"/>
        <w:tabs>
          <w:tab w:leader="none" w:pos="5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Surdykowski</w:t>
      </w:r>
    </w:p>
    <w:p>
      <w:pPr>
        <w:spacing w:after="0" w:line="23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-127635</wp:posOffset>
            </wp:positionV>
            <wp:extent cx="30346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AKSHAY SUDHIR NAHETA</w:t>
      </w:r>
    </w:p>
    <w:p>
      <w:pPr>
        <w:spacing w:after="0" w:line="200" w:lineRule="exact"/>
        <w:rPr>
          <w:sz w:val="20"/>
          <w:szCs w:val="20"/>
          <w:color w:val="auto"/>
        </w:rPr>
      </w:pPr>
    </w:p>
    <w:p>
      <w:pPr>
        <w:spacing w:after="0" w:line="245"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Akshay Sudhir Naheta</w:t>
            </w:r>
          </w:p>
        </w:tc>
      </w:tr>
      <w:tr>
        <w:trPr>
          <w:trHeight w:val="216"/>
        </w:trPr>
        <w:tc>
          <w:tcPr>
            <w:tcW w:w="680" w:type="dxa"/>
            <w:vAlign w:val="bottom"/>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r>
      <w:tr>
        <w:trPr>
          <w:trHeight w:val="425"/>
        </w:trPr>
        <w:tc>
          <w:tcPr>
            <w:tcW w:w="680" w:type="dxa"/>
            <w:vAlign w:val="bottom"/>
          </w:tcPr>
          <w:p>
            <w:pPr>
              <w:spacing w:after="0"/>
              <w:rPr>
                <w:sz w:val="24"/>
                <w:szCs w:val="24"/>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Akshay Sudhir Naheta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[Signature Page to Amendment to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980" w:top="472" w:right="4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99.25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9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CONTRIBUTION AGREEMENT</w:t>
      </w:r>
    </w:p>
    <w:p>
      <w:pPr>
        <w:spacing w:after="0" w:line="229" w:lineRule="exact"/>
        <w:rPr>
          <w:sz w:val="20"/>
          <w:szCs w:val="20"/>
          <w:color w:val="auto"/>
        </w:rPr>
      </w:pPr>
    </w:p>
    <w:p>
      <w:pPr>
        <w:jc w:val="both"/>
        <w:ind w:left="8" w:right="320" w:firstLine="648"/>
        <w:spacing w:after="0" w:line="258" w:lineRule="auto"/>
        <w:rPr>
          <w:sz w:val="20"/>
          <w:szCs w:val="20"/>
          <w:color w:val="auto"/>
        </w:rPr>
      </w:pPr>
      <w:r>
        <w:rPr>
          <w:rFonts w:ascii="Times New Roman" w:cs="Times New Roman" w:eastAsia="Times New Roman" w:hAnsi="Times New Roman"/>
          <w:sz w:val="18"/>
          <w:szCs w:val="18"/>
          <w:color w:val="auto"/>
        </w:rPr>
        <w:t>This Contribution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16, 2025, is by and among Bakkt Holdings, Inc.(the “</w:t>
      </w:r>
      <w:r>
        <w:rPr>
          <w:rFonts w:ascii="Times New Roman" w:cs="Times New Roman" w:eastAsia="Times New Roman" w:hAnsi="Times New Roman"/>
          <w:sz w:val="18"/>
          <w:szCs w:val="18"/>
          <w:u w:val="single" w:color="auto"/>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Taxpayer</w:t>
      </w:r>
      <w:r>
        <w:rPr>
          <w:rFonts w:ascii="Times New Roman" w:cs="Times New Roman" w:eastAsia="Times New Roman" w:hAnsi="Times New Roman"/>
          <w:sz w:val="18"/>
          <w:szCs w:val="18"/>
          <w:color w:val="auto"/>
        </w:rPr>
        <w:t>”), Akshay Sudhir Naheta (“</w:t>
      </w:r>
      <w:r>
        <w:rPr>
          <w:rFonts w:ascii="Times New Roman" w:cs="Times New Roman" w:eastAsia="Times New Roman" w:hAnsi="Times New Roman"/>
          <w:sz w:val="18"/>
          <w:szCs w:val="18"/>
          <w:u w:val="single" w:color="auto"/>
          <w:color w:val="auto"/>
        </w:rPr>
        <w:t>AN</w:t>
      </w:r>
      <w:r>
        <w:rPr>
          <w:rFonts w:ascii="Times New Roman" w:cs="Times New Roman" w:eastAsia="Times New Roman" w:hAnsi="Times New Roman"/>
          <w:sz w:val="18"/>
          <w:szCs w:val="18"/>
          <w:color w:val="auto"/>
        </w:rPr>
        <w:t>”) and Intercontinental Exchange Holdings, Inc. (“</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and together with AN, the “</w:t>
      </w:r>
      <w:r>
        <w:rPr>
          <w:rFonts w:ascii="Times New Roman" w:cs="Times New Roman" w:eastAsia="Times New Roman" w:hAnsi="Times New Roman"/>
          <w:sz w:val="18"/>
          <w:szCs w:val="18"/>
          <w:u w:val="single" w:color="auto"/>
          <w:color w:val="auto"/>
        </w:rPr>
        <w:t>Contributors</w:t>
      </w:r>
      <w:r>
        <w:rPr>
          <w:rFonts w:ascii="Times New Roman" w:cs="Times New Roman" w:eastAsia="Times New Roman" w:hAnsi="Times New Roman"/>
          <w:sz w:val="18"/>
          <w:szCs w:val="18"/>
          <w:color w:val="auto"/>
        </w:rPr>
        <w:t>”). Unless context otherwise requires, capitalized terms used herein but not defined herein shall have the meanings assigned to such terms in the Tax Receivable Agreement, dated as of October 15, 2021 (as amended or otherwise modified prior to the execution and delivery of this Agreement, the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8" w:right="320" w:firstLine="648"/>
        <w:spacing w:after="0" w:line="261" w:lineRule="auto"/>
        <w:rPr>
          <w:sz w:val="20"/>
          <w:szCs w:val="20"/>
          <w:color w:val="auto"/>
        </w:rPr>
      </w:pPr>
      <w:r>
        <w:rPr>
          <w:rFonts w:ascii="Times New Roman" w:cs="Times New Roman" w:eastAsia="Times New Roman" w:hAnsi="Times New Roman"/>
          <w:sz w:val="18"/>
          <w:szCs w:val="18"/>
          <w:color w:val="auto"/>
        </w:rPr>
        <w:t>WHEREAS, promptly following the execution and delivery of this Agreement, the Corporate Taxpayer will publicly announce a reorganization of certain of its entities that, if consummated, will result in the elimination of its umbrella partnership-C-corporation structure and the Corporate Taxpayer becoming a wholly owned subsidiary of a new holding company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that will replace the Corporate Taxpayer as the public company trading on the New York Stock Exchange (the “</w:t>
      </w:r>
      <w:r>
        <w:rPr>
          <w:rFonts w:ascii="Times New Roman" w:cs="Times New Roman" w:eastAsia="Times New Roman" w:hAnsi="Times New Roman"/>
          <w:sz w:val="18"/>
          <w:szCs w:val="18"/>
          <w:u w:val="single" w:color="auto"/>
          <w:color w:val="auto"/>
        </w:rPr>
        <w:t>Up-C Collapse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8" w:right="320" w:firstLine="648"/>
        <w:spacing w:after="0" w:line="282" w:lineRule="auto"/>
        <w:rPr>
          <w:sz w:val="20"/>
          <w:szCs w:val="20"/>
          <w:color w:val="auto"/>
        </w:rPr>
      </w:pPr>
      <w:r>
        <w:rPr>
          <w:rFonts w:ascii="Times New Roman" w:cs="Times New Roman" w:eastAsia="Times New Roman" w:hAnsi="Times New Roman"/>
          <w:sz w:val="18"/>
          <w:szCs w:val="18"/>
          <w:color w:val="auto"/>
        </w:rPr>
        <w:t>WHEREAS, the Corporate Taxpayer intends that for U.S. federal income tax purposes the Up-C Collapse and the Contributions will qualify as a nonrecognition transaction under Section 351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8" w:right="320"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the Corporate Taxpayer and the Contributors are agreeing to certain amendments to the TRA, in each case to be effective only immediately prior to and subject to the consummation of the Up-C Collapse (the “</w:t>
      </w:r>
      <w:r>
        <w:rPr>
          <w:rFonts w:ascii="Times New Roman" w:cs="Times New Roman" w:eastAsia="Times New Roman" w:hAnsi="Times New Roman"/>
          <w:sz w:val="18"/>
          <w:szCs w:val="18"/>
          <w:u w:val="single" w:color="auto"/>
          <w:color w:val="auto"/>
        </w:rPr>
        <w:t>TRA Amendment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left="8" w:right="320" w:firstLine="648"/>
        <w:spacing w:after="0" w:line="261" w:lineRule="auto"/>
        <w:rPr>
          <w:sz w:val="20"/>
          <w:szCs w:val="20"/>
          <w:color w:val="auto"/>
        </w:rPr>
      </w:pPr>
      <w:r>
        <w:rPr>
          <w:rFonts w:ascii="Times New Roman" w:cs="Times New Roman" w:eastAsia="Times New Roman" w:hAnsi="Times New Roman"/>
          <w:sz w:val="18"/>
          <w:szCs w:val="18"/>
          <w:color w:val="auto"/>
        </w:rPr>
        <w:t>WHEREAS, the Contributors are TRA Parties and, along with the Corporate Taxpayer, desire to enter into this Agreement, pursuant to which the Contributors agree that immediately prior to the effectiveness of the TRA Amendment, the Contributors shall contribute the Contributed Rights to NewCo in exchange for cash and shall contribute such cash to NewCo in exchange for newly issued common shares of NewCo, in each case upon the terms described herein and on a net-settled basis (the “</w:t>
      </w: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8" w:right="3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terms and conditions set forth herein, and for other good and valuable consideration, the receipt and sufficiency of which are hereby acknowledged, the parties hereto agree as follows:</w:t>
      </w:r>
    </w:p>
    <w:p>
      <w:pPr>
        <w:spacing w:after="0" w:line="162" w:lineRule="exact"/>
        <w:rPr>
          <w:sz w:val="20"/>
          <w:szCs w:val="20"/>
          <w:color w:val="auto"/>
        </w:rPr>
      </w:pPr>
    </w:p>
    <w:p>
      <w:pPr>
        <w:jc w:val="both"/>
        <w:ind w:left="648" w:hanging="648"/>
        <w:spacing w:after="0" w:line="258"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On the terms and subject to the conditions set forth in this Agreement, (i) each Contributor hereby agrees to transfer to NewCo, and NewCo agrees to acquire and accept from each Contributor, all of such Contributor’s respective rights, title, interests, and obligations under the TRA (the “</w:t>
      </w:r>
      <w:r>
        <w:rPr>
          <w:rFonts w:ascii="Times New Roman" w:cs="Times New Roman" w:eastAsia="Times New Roman" w:hAnsi="Times New Roman"/>
          <w:sz w:val="18"/>
          <w:szCs w:val="18"/>
          <w:u w:val="single" w:color="auto"/>
          <w:color w:val="auto"/>
        </w:rPr>
        <w:t>Contributed Rights</w:t>
      </w:r>
      <w:r>
        <w:rPr>
          <w:rFonts w:ascii="Times New Roman" w:cs="Times New Roman" w:eastAsia="Times New Roman" w:hAnsi="Times New Roman"/>
          <w:sz w:val="18"/>
          <w:szCs w:val="18"/>
          <w:color w:val="auto"/>
        </w:rPr>
        <w:t>”) in exchange for a payment to such Contributor by NewCo of cash in an amount equal to the Early Termination Payment to which such Contributor would otherwise be entitled under the TRA (provided, the amount of such Early Termination Payment shall not exceed the applicable Early Termination Payment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290830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12" w:name="page13"/>
    <w:bookmarkEnd w:id="12"/>
    <w:p>
      <w:pPr>
        <w:jc w:val="both"/>
        <w:ind w:left="648"/>
        <w:spacing w:after="0" w:line="254" w:lineRule="auto"/>
        <w:rPr>
          <w:sz w:val="20"/>
          <w:szCs w:val="20"/>
          <w:color w:val="auto"/>
        </w:rPr>
      </w:pPr>
      <w:r>
        <w:rPr>
          <w:rFonts w:ascii="Times New Roman" w:cs="Times New Roman" w:eastAsia="Times New Roman" w:hAnsi="Times New Roman"/>
          <w:sz w:val="18"/>
          <w:szCs w:val="18"/>
          <w:color w:val="auto"/>
        </w:rPr>
        <w:t xml:space="preserve">and (ii) each Contributor agrees to contribute such amount of cash to NewCo, and NewCo agrees to issue to such Contributor in exchange therefor, such number of shares of Class A Common Stock of NewCo as shall be equal to the quotient of (A) the Early Termination Payment to which such Contributor would otherwise be entitled under the TRA (provided, the amount of such Early Termination Payment shall not exceed the applicable Early Termination Payment Cap) divided by (B) the “Minimum Price” as defined in NYSE Rule 312.04(h);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purposes of determining the amount of the Early Termination Payment pursuant to this Section 1(a), the Early Termination Rate means 18% per annum, compounded annually;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parties hereto agree that the respective obligations of each Contributor and NewCo to transfer cash to each other in clauses (i) and (ii) above shall be net-settled and offset against one another. “</w:t>
      </w:r>
      <w:r>
        <w:rPr>
          <w:rFonts w:ascii="Times New Roman" w:cs="Times New Roman" w:eastAsia="Times New Roman" w:hAnsi="Times New Roman"/>
          <w:sz w:val="18"/>
          <w:szCs w:val="18"/>
          <w:u w:val="single" w:color="auto"/>
          <w:color w:val="auto"/>
        </w:rPr>
        <w:t>Early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Cap</w:t>
      </w:r>
      <w:r>
        <w:rPr>
          <w:rFonts w:ascii="Times New Roman" w:cs="Times New Roman" w:eastAsia="Times New Roman" w:hAnsi="Times New Roman"/>
          <w:sz w:val="18"/>
          <w:szCs w:val="18"/>
          <w:color w:val="auto"/>
        </w:rPr>
        <w:t>” means, in respect of a Contributor, the amount of an applicable Early Termination Payment in respect of such Contributor, calculated as if the applicable Early Termination Date is the date of the TRA Amendment.</w:t>
      </w:r>
    </w:p>
    <w:p>
      <w:pPr>
        <w:spacing w:after="0" w:line="188" w:lineRule="exact"/>
        <w:rPr>
          <w:sz w:val="20"/>
          <w:szCs w:val="20"/>
          <w:color w:val="auto"/>
        </w:rPr>
      </w:pPr>
    </w:p>
    <w:p>
      <w:pPr>
        <w:jc w:val="both"/>
        <w:ind w:left="648" w:hanging="648"/>
        <w:spacing w:after="0" w:line="266"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The Corporate Taxpayer and the Contributors intend that for U.S. federal income tax purposes the Contributions will qualify for nonrecognition treatment under Section 351 of the Code, and agree to file all tax returns and information returns consistently with such treatment except as otherwise required by applicable law or as otherwise agreed between the parties.</w:t>
      </w:r>
    </w:p>
    <w:p>
      <w:pPr>
        <w:spacing w:after="0" w:line="17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Contributions shall be effective immediately prior to the effectiveness of the TRA Amendment.</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Contributors</w:t>
      </w:r>
      <w:r>
        <w:rPr>
          <w:rFonts w:ascii="Times New Roman" w:cs="Times New Roman" w:eastAsia="Times New Roman" w:hAnsi="Times New Roman"/>
          <w:sz w:val="18"/>
          <w:szCs w:val="18"/>
          <w:color w:val="auto"/>
        </w:rPr>
        <w:t>. Each Contributor hereby represents and warrants to the Corporate Taxpayer as follows:</w:t>
      </w:r>
    </w:p>
    <w:p>
      <w:pPr>
        <w:spacing w:after="0" w:line="225" w:lineRule="exact"/>
        <w:rPr>
          <w:rFonts w:ascii="Times New Roman" w:cs="Times New Roman" w:eastAsia="Times New Roman" w:hAnsi="Times New Roman"/>
          <w:sz w:val="18"/>
          <w:szCs w:val="18"/>
          <w:color w:val="auto"/>
        </w:rPr>
      </w:pPr>
    </w:p>
    <w:p>
      <w:pPr>
        <w:jc w:val="both"/>
        <w:ind w:left="1288" w:hanging="654"/>
        <w:spacing w:after="0" w:line="261"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Such Contributor has all requisite power and authority to execute and deliver this Agreement, to carry out its obligations hereunder, and to consummate the transactions contemplated hereby. This Agreement has been duly executed and delivered by such Contributor and (assuming due authorization, execution and delivery by the Corporate Taxpayer and the other Contributor) shall constitute such Contributor’s legal, valid and binding obligation, enforceable against it in accordance with its terms.</w:t>
      </w:r>
    </w:p>
    <w:p>
      <w:pPr>
        <w:spacing w:after="0" w:line="179" w:lineRule="exact"/>
        <w:rPr>
          <w:rFonts w:ascii="Times New Roman" w:cs="Times New Roman" w:eastAsia="Times New Roman" w:hAnsi="Times New Roman"/>
          <w:sz w:val="18"/>
          <w:szCs w:val="18"/>
          <w:color w:val="auto"/>
        </w:rPr>
      </w:pPr>
    </w:p>
    <w:p>
      <w:pPr>
        <w:ind w:left="648" w:right="20" w:hanging="648"/>
        <w:spacing w:after="0" w:line="282"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Corporate Taxpayer</w:t>
      </w:r>
      <w:r>
        <w:rPr>
          <w:rFonts w:ascii="Times New Roman" w:cs="Times New Roman" w:eastAsia="Times New Roman" w:hAnsi="Times New Roman"/>
          <w:sz w:val="18"/>
          <w:szCs w:val="18"/>
          <w:color w:val="auto"/>
        </w:rPr>
        <w:t>. The Corporate Taxpayer hereby represents and warrants to each Contributor as follows:</w:t>
      </w:r>
    </w:p>
    <w:p>
      <w:pPr>
        <w:spacing w:after="0" w:line="161" w:lineRule="exact"/>
        <w:rPr>
          <w:rFonts w:ascii="Times New Roman" w:cs="Times New Roman" w:eastAsia="Times New Roman" w:hAnsi="Times New Roman"/>
          <w:sz w:val="18"/>
          <w:szCs w:val="18"/>
          <w:color w:val="auto"/>
        </w:rPr>
      </w:pPr>
    </w:p>
    <w:p>
      <w:pPr>
        <w:ind w:left="1288" w:hanging="654"/>
        <w:spacing w:after="0" w:line="282"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of the Corporate Taxpayer</w:t>
      </w:r>
      <w:r>
        <w:rPr>
          <w:rFonts w:ascii="Times New Roman" w:cs="Times New Roman" w:eastAsia="Times New Roman" w:hAnsi="Times New Roman"/>
          <w:sz w:val="18"/>
          <w:szCs w:val="18"/>
          <w:color w:val="auto"/>
        </w:rPr>
        <w:t>. The Corporate Taxpayer is a corporation duly organized, validly existing and in good standing under the laws of the State of Delaware.</w:t>
      </w:r>
    </w:p>
    <w:p>
      <w:pPr>
        <w:spacing w:after="0" w:line="161" w:lineRule="exact"/>
        <w:rPr>
          <w:rFonts w:ascii="Times New Roman" w:cs="Times New Roman" w:eastAsia="Times New Roman" w:hAnsi="Times New Roman"/>
          <w:sz w:val="18"/>
          <w:szCs w:val="18"/>
          <w:color w:val="auto"/>
        </w:rPr>
      </w:pPr>
    </w:p>
    <w:p>
      <w:pPr>
        <w:jc w:val="both"/>
        <w:ind w:left="1288" w:hanging="654"/>
        <w:spacing w:after="0" w:line="261"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Corporate Taxpayer has all requisite power and authority to execute and deliver this Agreement, to carry out its obligations hereunder, and to consummate the transactions contemplated hereby. The Corporate Taxpayer has obtained all necessary corporate approvals for the execution and delivery of this Agreement, the performance of its obligations hereunder, and the consummation of the transactions contemplated hereby.</w:t>
      </w:r>
    </w:p>
    <w:p>
      <w:pPr>
        <w:spacing w:after="0" w:line="180"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3" w:name="page14"/>
    <w:bookmarkEnd w:id="13"/>
    <w:p>
      <w:pPr>
        <w:jc w:val="both"/>
        <w:ind w:left="1288" w:firstLine="3"/>
        <w:spacing w:after="0" w:line="266" w:lineRule="auto"/>
        <w:rPr>
          <w:sz w:val="20"/>
          <w:szCs w:val="20"/>
          <w:color w:val="auto"/>
        </w:rPr>
      </w:pPr>
      <w:r>
        <w:rPr>
          <w:rFonts w:ascii="Times New Roman" w:cs="Times New Roman" w:eastAsia="Times New Roman" w:hAnsi="Times New Roman"/>
          <w:sz w:val="18"/>
          <w:szCs w:val="18"/>
          <w:color w:val="auto"/>
        </w:rPr>
        <w:t>This Agreement has been duly executed and delivered by the Corporate Taxpayer and (assuming due authorization, execution and delivery by the Contributors) shall constitute the Corporate Taxpayer’s legal, valid and binding obligation, enforceable against it in accordance with its terms.</w:t>
      </w:r>
    </w:p>
    <w:p>
      <w:pPr>
        <w:spacing w:after="0" w:line="176" w:lineRule="exact"/>
        <w:rPr>
          <w:sz w:val="20"/>
          <w:szCs w:val="20"/>
          <w:color w:val="auto"/>
        </w:rPr>
      </w:pPr>
    </w:p>
    <w:p>
      <w:pPr>
        <w:jc w:val="both"/>
        <w:ind w:left="648" w:hanging="648"/>
        <w:spacing w:after="0" w:line="266"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of this Agreement, each party hereto hereby agrees to promptly execute, acknowledge and deliver, or cause to be executed, acknowledged and delivered, such documents and other instruments, and to take, or cause to be taken, such further actions, in each case, as may be reasonably required to carry out the provisions of this Agreement.</w:t>
      </w:r>
    </w:p>
    <w:p>
      <w:pPr>
        <w:spacing w:after="0" w:line="173" w:lineRule="exact"/>
        <w:rPr>
          <w:rFonts w:ascii="Times New Roman" w:cs="Times New Roman" w:eastAsia="Times New Roman" w:hAnsi="Times New Roman"/>
          <w:sz w:val="18"/>
          <w:szCs w:val="18"/>
          <w:color w:val="auto"/>
        </w:rPr>
      </w:pPr>
    </w:p>
    <w:p>
      <w:pPr>
        <w:ind w:left="648" w:hanging="648"/>
        <w:spacing w:after="0" w:line="284"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7.2, 7.4 through 7.9, 7.12, 7.13 and 7.15 of the TRA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No amendment to the TRA shall be required to the extent any entity becomes a successor of any of the parties thereto.</w:t>
      </w:r>
    </w:p>
    <w:p>
      <w:pPr>
        <w:spacing w:after="0" w:line="16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the undersigned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0" w:lineRule="exact"/>
        <w:rPr>
          <w:sz w:val="20"/>
          <w:szCs w:val="20"/>
          <w:color w:val="auto"/>
        </w:rPr>
      </w:pPr>
    </w:p>
    <w:p>
      <w:pPr>
        <w:spacing w:after="0" w:line="245" w:lineRule="exact"/>
        <w:rPr>
          <w:sz w:val="20"/>
          <w:szCs w:val="20"/>
          <w:color w:val="auto"/>
        </w:rPr>
      </w:pPr>
    </w:p>
    <w:p>
      <w:pPr>
        <w:ind w:left="4640"/>
        <w:spacing w:after="0"/>
        <w:tabs>
          <w:tab w:leader="none" w:pos="5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-127635</wp:posOffset>
            </wp:positionV>
            <wp:extent cx="30346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INTERCONTINENTAL EXCHANGE HOLDINGS, INC.</w:t>
      </w:r>
    </w:p>
    <w:p>
      <w:pPr>
        <w:spacing w:after="0" w:line="200" w:lineRule="exact"/>
        <w:rPr>
          <w:sz w:val="20"/>
          <w:szCs w:val="20"/>
          <w:color w:val="auto"/>
        </w:rPr>
      </w:pPr>
    </w:p>
    <w:p>
      <w:pPr>
        <w:spacing w:after="0" w:line="245" w:lineRule="exact"/>
        <w:rPr>
          <w:sz w:val="20"/>
          <w:szCs w:val="20"/>
          <w:color w:val="auto"/>
        </w:rPr>
      </w:pPr>
    </w:p>
    <w:p>
      <w:pPr>
        <w:ind w:left="4640"/>
        <w:spacing w:after="0"/>
        <w:tabs>
          <w:tab w:leader="none" w:pos="5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Surdykowski</w:t>
      </w:r>
    </w:p>
    <w:p>
      <w:pPr>
        <w:spacing w:after="0" w:line="2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-127635</wp:posOffset>
            </wp:positionV>
            <wp:extent cx="30346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AKSHAY SUDHIR NAHETA</w:t>
      </w:r>
    </w:p>
    <w:p>
      <w:pPr>
        <w:spacing w:after="0" w:line="200" w:lineRule="exact"/>
        <w:rPr>
          <w:sz w:val="20"/>
          <w:szCs w:val="20"/>
          <w:color w:val="auto"/>
        </w:rPr>
      </w:pPr>
    </w:p>
    <w:p>
      <w:pPr>
        <w:spacing w:after="0" w:line="245" w:lineRule="exact"/>
        <w:rPr>
          <w:sz w:val="20"/>
          <w:szCs w:val="20"/>
          <w:color w:val="auto"/>
        </w:rPr>
      </w:pPr>
    </w:p>
    <w:tbl>
      <w:tblPr>
        <w:tblLayout w:type="fixed"/>
        <w:tblInd w:w="46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Akshay Sudhir Naheta</w:t>
            </w:r>
          </w:p>
        </w:tc>
      </w:tr>
      <w:tr>
        <w:trPr>
          <w:trHeight w:val="216"/>
        </w:trPr>
        <w:tc>
          <w:tcPr>
            <w:tcW w:w="680" w:type="dxa"/>
            <w:vAlign w:val="bottom"/>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r>
      <w:tr>
        <w:trPr>
          <w:trHeight w:val="425"/>
        </w:trPr>
        <w:tc>
          <w:tcPr>
            <w:tcW w:w="680" w:type="dxa"/>
            <w:vAlign w:val="bottom"/>
          </w:tcPr>
          <w:p>
            <w:pPr>
              <w:spacing w:after="0"/>
              <w:rPr>
                <w:sz w:val="24"/>
                <w:szCs w:val="24"/>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Akshay Sudhir Naheta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Contribution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300" w:top="688" w:right="4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w w:val="97"/>
              </w:rPr>
              <w:t>Exhibit 99.26</w:t>
            </w:r>
          </w:p>
        </w:tc>
      </w:tr>
      <w:tr>
        <w:trPr>
          <w:trHeight w:val="608"/>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WAIVER, ACKNOWLEDGMENT AND CONSENT</w:t>
            </w:r>
          </w:p>
        </w:tc>
      </w:tr>
      <w:tr>
        <w:trPr>
          <w:trHeight w:val="453"/>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October 16, 2025</w:t>
            </w:r>
          </w:p>
        </w:tc>
        <w:tc>
          <w:tcPr>
            <w:tcW w:w="4080" w:type="dxa"/>
            <w:vAlign w:val="bottom"/>
            <w:tcBorders>
              <w:top w:val="single" w:sz="8" w:color="auto"/>
            </w:tcBorders>
            <w:gridSpan w:val="10"/>
          </w:tcPr>
          <w:p>
            <w:pPr>
              <w:spacing w:after="0"/>
              <w:rPr>
                <w:sz w:val="24"/>
                <w:szCs w:val="24"/>
                <w:color w:val="auto"/>
              </w:rPr>
            </w:pPr>
          </w:p>
        </w:tc>
        <w:tc>
          <w:tcPr>
            <w:tcW w:w="3580" w:type="dxa"/>
            <w:vAlign w:val="bottom"/>
            <w:gridSpan w:val="5"/>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Common Stock Purchase Warrants (Class 1) exercisable for shares of Class A Common Stock (the “Common Stock”) of Bakkt</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Holdings, Inc. (the “Company”) (the “First Tranche Class 1 Warrants”) and Common Stock Purchase Warrants (Class 2)</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exercisable for shares of Common Stock (the “First Tranche Class 2 Warrants” and together with the First Tranche Class 1</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Warrants, the “First Tranche Warrants”), each issued on March 4, 2024 to Intercontinental Exchange Holdings, Inc. (the</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“Holder”) and exercisable until September 4, 2029, and Common Stock Purchase Warrants (Class 1) exercisable for shares of</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 (the “Second Tranche Class 1 Warrants”) and Common Stock Purchase Warrants (Class 2) exercisable for shares</w:t>
            </w:r>
          </w:p>
        </w:tc>
      </w:tr>
      <w:tr>
        <w:trPr>
          <w:trHeight w:val="20"/>
        </w:trPr>
        <w:tc>
          <w:tcPr>
            <w:tcW w:w="130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20" w:type="dxa"/>
            <w:vAlign w:val="bottom"/>
            <w:gridSpan w:val="6"/>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of Common Stock (the “Second Tranche Class 2 Warrants” and together with the Second Tranche Class 1 Warrants, the “Second</w:t>
            </w:r>
          </w:p>
        </w:tc>
      </w:tr>
      <w:tr>
        <w:trPr>
          <w:trHeight w:val="20"/>
        </w:trPr>
        <w:tc>
          <w:tcPr>
            <w:tcW w:w="130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0" w:type="dxa"/>
            <w:vAlign w:val="bottom"/>
            <w:gridSpan w:val="7"/>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Tranche Warrants&amp;dquo; and together with the First Tranche Warrants, the “Warrants”), each issued on April 25, 2024 to the</w:t>
            </w:r>
          </w:p>
        </w:tc>
      </w:tr>
      <w:tr>
        <w:trPr>
          <w:trHeight w:val="20"/>
        </w:trPr>
        <w:tc>
          <w:tcPr>
            <w:tcW w:w="1300" w:type="dxa"/>
            <w:vAlign w:val="bottom"/>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4740" w:type="dxa"/>
            <w:vAlign w:val="bottom"/>
            <w:gridSpan w:val="11"/>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Holder and exercisable until September 4, 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context otherwise requires, capitalized terms used but not defined herein shall have the corresponding meanings assigned to them in the 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this Waiver, Acknowledgment and Consent, the Company is publicly announcing a reorganization of certain of its corporate entities that, if consummated, will result in the elimination of its umbrella partnership-C-corporation structure and the Company becoming a wholly owned subsidiary of a new holding company (“</w:t>
      </w:r>
      <w:r>
        <w:rPr>
          <w:rFonts w:ascii="Times New Roman" w:cs="Times New Roman" w:eastAsia="Times New Roman" w:hAnsi="Times New Roman"/>
          <w:sz w:val="18"/>
          <w:szCs w:val="18"/>
          <w:u w:val="single" w:color="auto"/>
          <w:color w:val="auto"/>
        </w:rPr>
        <w:t>New Pubco</w:t>
      </w:r>
      <w:r>
        <w:rPr>
          <w:rFonts w:ascii="Times New Roman" w:cs="Times New Roman" w:eastAsia="Times New Roman" w:hAnsi="Times New Roman"/>
          <w:sz w:val="18"/>
          <w:szCs w:val="18"/>
          <w:color w:val="auto"/>
        </w:rPr>
        <w:t>”) that will replace the Company as the public company trading on the New York Stock Exchange (the “</w:t>
      </w:r>
      <w:r>
        <w:rPr>
          <w:rFonts w:ascii="Times New Roman" w:cs="Times New Roman" w:eastAsia="Times New Roman" w:hAnsi="Times New Roman"/>
          <w:sz w:val="18"/>
          <w:szCs w:val="18"/>
          <w:u w:val="single" w:color="auto"/>
          <w:color w:val="auto"/>
        </w:rPr>
        <w:t>Up-C Collapse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Up-C Collapse would constitute a Fundamental Transaction entitling the Holder to certain rights under the Warrants. The Holder hereby irrevocably waives any rights to which the Holder is or may be entitled under Section 3(d) of each of the Warrants in connection with the Up-C Collapse. For the avoidance of doubt, the Holder reserves, and does not waive, all rights which the Holder has under Section 3(d) of each of the Warrants in connection with any Fundamental Transaction other than the Up-C Collapse. Except as contemplated hereby, all other terms and provisions of the Warrants are and shall remain in full force and effect.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Holder and the Company hereby acknowledges and agrees that the waiver set forth herein is conditioned upon the receipt by Holder, upon consummation of the Up-C Collapse, of an equivalent warrant in New Pubco, substantially consistent in form and substance with the respective Warrant, subject to mutually agreed modifications, in exchange for each Warrant outstanding at such time (the “</w:t>
      </w:r>
      <w:r>
        <w:rPr>
          <w:rFonts w:ascii="Times New Roman" w:cs="Times New Roman" w:eastAsia="Times New Roman" w:hAnsi="Times New Roman"/>
          <w:sz w:val="18"/>
          <w:szCs w:val="18"/>
          <w:u w:val="single" w:color="auto"/>
          <w:color w:val="auto"/>
        </w:rPr>
        <w:t>Warrant Exchange</w:t>
      </w:r>
      <w:r>
        <w:rPr>
          <w:rFonts w:ascii="Times New Roman" w:cs="Times New Roman" w:eastAsia="Times New Roman" w:hAnsi="Times New Roman"/>
          <w:sz w:val="18"/>
          <w:szCs w:val="18"/>
          <w:color w:val="auto"/>
        </w:rPr>
        <w:t>”). The Company hereby undertakes to issue, or cause to be issued, to the Holder such equivalent warrants in New Pubco to effect the Warrant Exchange upon consummation of the Up-C Collapse.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The Holder hereby agrees that, until the earlier of (a) the consummation by the Company of the Up-C Collapse and (b) November 14, 2025, it will not transfer the Warrants.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Holder and the Company hereby acknowledges and agrees that (i) the Warrant Exchange is intended to qualify for nonrecognition treatment as part of a reorganization pursuant to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(ii) the Holder’s receipt of New PubCo common stock in exchange for its limited liability company units in Bakkt Opco Holdings, LLC and its rights under the tax receivable agreement between the Holder and the Company are intended to qualify for nonrecognition treatment pursuant to Section 351 of the Code, in each case, for U.S. federal and applicable state and local income tax purposes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the Company and its affiliates shall use reasonable best efforts to structure the foregoing transactions in a manner consistent with the Intended Tax Treatment. The Holder and the Company and their respective affiliates shall prepare and file, and cause their respective affiliates to prepare and file, all tax returns in a manner consistent with the Intended Tax Treatment.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this Waiver, Acknowledgment and Consent, each of the Holder and the Company hereby agrees to promptly execute, acknowledge and deliver, or cause to be executed, acknowledged and delivered, such documents and other instruments, and to take, or cause to be taken, such further actions, in each case, as may be reasonably required to carry out the provisions of this Waiver, Acknowledgment and Consent.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Waiver, Acknowledgment and Consent shall terminate and be of no further force and effect if the Up-C Collapse is not consummated on or before November 14,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Waiver, Acknowledgment and Consent may be executed in several counterparts and by the Holder and the Company on separate counterparts, each of which when so executed and delivered shall be an original, and all of which together shall constitute one instrument. An executed facsimile or electronic copy of this Waiver, Acknowledgment and Consent shall be effective for all purposes as an original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IN WITNESS WHEREOF, the Holder and the Company have caused this Waiver, Acknowledgment and Consent effective as of the date first above written.</w:t>
      </w:r>
    </w:p>
    <w:p>
      <w:pPr>
        <w:spacing w:after="0" w:line="37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INTERCONTINENTAL EXCHANGE HOLDINGS, INC.</w:t>
      </w:r>
    </w:p>
    <w:p>
      <w:pPr>
        <w:spacing w:after="0" w:line="200" w:lineRule="exact"/>
        <w:rPr>
          <w:sz w:val="20"/>
          <w:szCs w:val="20"/>
          <w:color w:val="auto"/>
        </w:rPr>
      </w:pPr>
    </w:p>
    <w:p>
      <w:pPr>
        <w:spacing w:after="0" w:line="2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-7620</wp:posOffset>
            </wp:positionV>
            <wp:extent cx="15074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Andrew Surdykowski</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Number of First Tranche Class 1 Warrants Owned: 55,240</w:t>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Number of First Tranche Class 2 Warrants Owned: 55,240</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Number of Second Tranche Class 1 Warrants Owned: 175,440</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Number of Second Tranche Class 2 Warrants Owned: 175,440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0" w:lineRule="exact"/>
        <w:rPr>
          <w:sz w:val="20"/>
          <w:szCs w:val="20"/>
          <w:color w:val="auto"/>
        </w:rPr>
      </w:pPr>
    </w:p>
    <w:p>
      <w:pPr>
        <w:spacing w:after="0" w:line="2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-7620</wp:posOffset>
            </wp:positionV>
            <wp:extent cx="13487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Waiver, Acknowledgment and Consent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1)"/>
      <w:numFmt w:val="lowerLetter"/>
      <w:start w:val="2"/>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2"/>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2"/>
    </w:lvl>
  </w:abstractNum>
  <w:abstractNum w:abstractNumId="10">
    <w:nsid w:val="7FDCC233"/>
    <w:multiLevelType w:val="hybridMultilevel"/>
    <w:lvl w:ilvl="0">
      <w:lvlJc w:val="left"/>
      <w:lvlText w:val="%1."/>
      <w:numFmt w:val="decimal"/>
      <w:start w:val="2"/>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decimal"/>
      <w:start w:val="3"/>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2"/>
    </w:lvl>
    <w:lvl w:ilvl="1">
      <w:lvlJc w:val="left"/>
      <w:lvlText w:val="(%2)"/>
      <w:numFmt w:val="lowerLetter"/>
      <w:start w:val="1"/>
    </w:lvl>
  </w:abstractNum>
  <w:abstractNum w:abstractNumId="17">
    <w:nsid w:val="431BD7B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2025-10-20T17:52:48Z</dcterms:created>
  <dcterms:modified xsi:type="dcterms:W3CDTF">2025-10-20T17:52:48Z</dcterms:modified>
</cp:coreProperties>
</file>