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36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Alexander Karen</w:t>
              </w:r>
            </w:hyperlink>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Bakkt Holdings,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BKKT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360" w:type="dxa"/>
            <w:vAlign w:val="bottom"/>
            <w:gridSpan w:val="3"/>
            <w:vMerge w:val="continue"/>
          </w:tcPr>
          <w:p>
            <w:pPr>
              <w:spacing w:after="0"/>
              <w:rPr>
                <w:sz w:val="5"/>
                <w:szCs w:val="5"/>
                <w:color w:val="auto"/>
              </w:rPr>
            </w:pPr>
          </w:p>
        </w:tc>
        <w:tc>
          <w:tcPr>
            <w:tcW w:w="12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760" w:type="dxa"/>
            <w:vAlign w:val="bottom"/>
            <w:tcBorders>
              <w:top w:val="single" w:sz="8" w:color="0000EE"/>
            </w:tcBorders>
          </w:tcPr>
          <w:p>
            <w:pPr>
              <w:spacing w:after="0"/>
              <w:rPr>
                <w:sz w:val="5"/>
                <w:szCs w:val="5"/>
                <w:color w:val="auto"/>
              </w:rPr>
            </w:pPr>
          </w:p>
        </w:tc>
        <w:tc>
          <w:tcPr>
            <w:tcW w:w="1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680" w:type="dxa"/>
            <w:vAlign w:val="bottom"/>
            <w:tcBorders>
              <w:top w:val="single" w:sz="8" w:color="0000EE"/>
              <w:bottom w:val="single" w:sz="8" w:color="9A9A9A"/>
            </w:tcBorders>
          </w:tcPr>
          <w:p>
            <w:pPr>
              <w:spacing w:after="0"/>
              <w:rPr>
                <w:sz w:val="16"/>
                <w:szCs w:val="16"/>
                <w:color w:val="auto"/>
              </w:rPr>
            </w:pPr>
          </w:p>
        </w:tc>
        <w:tc>
          <w:tcPr>
            <w:tcW w:w="900" w:type="dxa"/>
            <w:vAlign w:val="bottom"/>
            <w:tcBorders>
              <w:bottom w:val="single" w:sz="8" w:color="9A9A9A"/>
            </w:tcBorders>
          </w:tcPr>
          <w:p>
            <w:pPr>
              <w:spacing w:after="0"/>
              <w:rPr>
                <w:sz w:val="16"/>
                <w:szCs w:val="16"/>
                <w:color w:val="auto"/>
              </w:rPr>
            </w:pPr>
          </w:p>
        </w:tc>
        <w:tc>
          <w:tcPr>
            <w:tcW w:w="12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80" w:type="dxa"/>
            <w:vAlign w:val="bottom"/>
            <w:tcBorders>
              <w:top w:val="single" w:sz="8" w:color="EEEEEE"/>
            </w:tcBorders>
          </w:tcPr>
          <w:p>
            <w:pPr>
              <w:spacing w:after="0"/>
              <w:rPr>
                <w:sz w:val="2"/>
                <w:szCs w:val="2"/>
                <w:color w:val="auto"/>
              </w:rPr>
            </w:pPr>
          </w:p>
        </w:tc>
        <w:tc>
          <w:tcPr>
            <w:tcW w:w="90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280" w:type="dxa"/>
            <w:vAlign w:val="bottom"/>
          </w:tcPr>
          <w:p>
            <w:pPr>
              <w:ind w:left="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3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BAKKT HOLDINGS, INC.</w:t>
            </w:r>
          </w:p>
        </w:tc>
        <w:tc>
          <w:tcPr>
            <w:tcW w:w="1280" w:type="dxa"/>
            <w:vAlign w:val="bottom"/>
          </w:tcPr>
          <w:p>
            <w:pPr>
              <w:spacing w:after="0"/>
              <w:rPr>
                <w:sz w:val="19"/>
                <w:szCs w:val="19"/>
                <w:color w:val="auto"/>
              </w:rPr>
            </w:pPr>
          </w:p>
        </w:tc>
        <w:tc>
          <w:tcPr>
            <w:tcW w:w="192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02/24/2023</w:t>
            </w: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360" w:type="dxa"/>
            <w:vAlign w:val="bottom"/>
            <w:gridSpan w:val="3"/>
            <w:vMerge w:val="continue"/>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9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10000 AVALON BOULEVARD, SUITE 1000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08"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80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8"/>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20" w:type="dxa"/>
            <w:vAlign w:val="bottom"/>
            <w:gridSpan w:val="7"/>
            <w:vMerge w:val="restart"/>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ALPHARETTE GA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30009</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2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3"/>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02/24/2023</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140,992</w:t>
            </w:r>
            <w:r>
              <w:rPr>
                <w:rFonts w:ascii="Times New Roman" w:cs="Times New Roman" w:eastAsia="Times New Roman" w:hAnsi="Times New Roman"/>
                <w:sz w:val="22"/>
                <w:szCs w:val="22"/>
                <w:color w:val="008000"/>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right"/>
              <w:ind w:right="95"/>
              <w:spacing w:after="0" w:line="319" w:lineRule="exact"/>
              <w:rPr>
                <w:sz w:val="20"/>
                <w:szCs w:val="20"/>
                <w:color w:val="auto"/>
              </w:rPr>
            </w:pPr>
            <w:r>
              <w:rPr>
                <w:rFonts w:ascii="Arial" w:cs="Arial" w:eastAsia="Arial" w:hAnsi="Arial"/>
                <w:sz w:val="34"/>
                <w:szCs w:val="34"/>
                <w:color w:val="000000"/>
                <w:vertAlign w:val="subscript"/>
              </w:rPr>
              <w:t>$</w:t>
            </w:r>
            <w:r>
              <w:rPr>
                <w:rFonts w:ascii="Times New Roman" w:cs="Times New Roman" w:eastAsia="Times New Roman" w:hAnsi="Times New Roman"/>
                <w:sz w:val="34"/>
                <w:szCs w:val="34"/>
                <w:color w:val="0000FF"/>
                <w:vertAlign w:val="subscript"/>
              </w:rPr>
              <w:t>0</w:t>
            </w:r>
            <w:r>
              <w:rPr>
                <w:rFonts w:ascii="Times New Roman" w:cs="Times New Roman" w:eastAsia="Times New Roman" w:hAnsi="Times New Roman"/>
                <w:sz w:val="11"/>
                <w:szCs w:val="11"/>
                <w:color w:val="008000"/>
              </w:rPr>
              <w:t>(1)</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335,880</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02/24/2023</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50,000</w:t>
            </w:r>
            <w:r>
              <w:rPr>
                <w:rFonts w:ascii="Times New Roman" w:cs="Times New Roman" w:eastAsia="Times New Roman" w:hAnsi="Times New Roman"/>
                <w:sz w:val="22"/>
                <w:szCs w:val="22"/>
                <w:color w:val="008000"/>
                <w:vertAlign w:val="superscript"/>
              </w:rPr>
              <w:t>(3)</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right"/>
              <w:ind w:right="95"/>
              <w:spacing w:after="0" w:line="319" w:lineRule="exact"/>
              <w:rPr>
                <w:sz w:val="20"/>
                <w:szCs w:val="20"/>
                <w:color w:val="auto"/>
              </w:rPr>
            </w:pPr>
            <w:r>
              <w:rPr>
                <w:rFonts w:ascii="Arial" w:cs="Arial" w:eastAsia="Arial" w:hAnsi="Arial"/>
                <w:sz w:val="34"/>
                <w:szCs w:val="34"/>
                <w:color w:val="000000"/>
                <w:vertAlign w:val="subscript"/>
              </w:rPr>
              <w:t>$</w:t>
            </w:r>
            <w:r>
              <w:rPr>
                <w:rFonts w:ascii="Times New Roman" w:cs="Times New Roman" w:eastAsia="Times New Roman" w:hAnsi="Times New Roman"/>
                <w:sz w:val="34"/>
                <w:szCs w:val="34"/>
                <w:color w:val="0000FF"/>
                <w:vertAlign w:val="subscript"/>
              </w:rPr>
              <w:t>0</w:t>
            </w:r>
            <w:r>
              <w:rPr>
                <w:rFonts w:ascii="Times New Roman" w:cs="Times New Roman" w:eastAsia="Times New Roman" w:hAnsi="Times New Roman"/>
                <w:sz w:val="11"/>
                <w:szCs w:val="11"/>
                <w:color w:val="008000"/>
              </w:rPr>
              <w:t>(3)</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385,880</w:t>
            </w:r>
            <w:r>
              <w:rPr>
                <w:rFonts w:ascii="Times New Roman" w:cs="Times New Roman" w:eastAsia="Times New Roman" w:hAnsi="Times New Roman"/>
                <w:sz w:val="22"/>
                <w:szCs w:val="22"/>
                <w:color w:val="008000"/>
                <w:vertAlign w:val="superscript"/>
              </w:rPr>
              <w:t>(4)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5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restricted stock units ("RSUs"). Each RSU represents a contingent right to receive one share of the issuer's Class A Common Stock. The RSUs shall vest in three equal annual installments on the first three anniversaries of February 13, 2023, provided that the reporting person continues to be employed by the issuer as of each vesting date.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315,546 shares of Class A Common Stock subject to RSU awards that remain subject to vesting.</w:t>
      </w:r>
    </w:p>
    <w:p>
      <w:pPr>
        <w:spacing w:after="0" w:line="50" w:lineRule="exact"/>
        <w:rPr>
          <w:rFonts w:ascii="Times New Roman" w:cs="Times New Roman" w:eastAsia="Times New Roman" w:hAnsi="Times New Roman"/>
          <w:sz w:val="13"/>
          <w:szCs w:val="13"/>
          <w:color w:val="008000"/>
        </w:rPr>
      </w:pPr>
    </w:p>
    <w:p>
      <w:pPr>
        <w:ind w:left="40" w:right="4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RSUs. Each RSU represents a contingent right to receive one share of the issuer's Class A Common Stock. The RSUs shall vest in two equal annual installments on the first two anniversaries of February 13, 2023, provided that the reporting person continues to be employed by the issuer as of each vesting date.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365,546 shares of Class A Common Stock subject to RSU awards that remain subject to vesting.</w:t>
      </w:r>
    </w:p>
    <w:p>
      <w:pPr>
        <w:spacing w:after="0" w:line="7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Marc D'Annunzio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239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2392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Karen</w:t>
      </w:r>
      <w:r>
        <w:rPr>
          <w:sz w:val="20"/>
          <w:szCs w:val="20"/>
          <w:color w:val="auto"/>
        </w:rPr>
        <w:tab/>
      </w:r>
      <w:r>
        <w:rPr>
          <w:rFonts w:ascii="Times New Roman" w:cs="Times New Roman" w:eastAsia="Times New Roman" w:hAnsi="Times New Roman"/>
          <w:sz w:val="17"/>
          <w:szCs w:val="17"/>
          <w:color w:val="0000FF"/>
        </w:rPr>
        <w:t>02/28/2023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Alexander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578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5783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70910" TargetMode="External"/><Relationship Id="rId13"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2023-03-01T09:55:24Z</dcterms:created>
  <dcterms:modified xsi:type="dcterms:W3CDTF">2023-03-01T09:55:24Z</dcterms:modified>
</cp:coreProperties>
</file>