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9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bidi w:val="0"/>
        <w:spacing w:lineRule="auto" w:line="271"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001-39544</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469" w:type="dxa"/>
        <w:jc w:val="left"/>
        <w:tblInd w:w="0" w:type="dxa"/>
        <w:tblLayout w:type="fixed"/>
        <w:tblCellMar>
          <w:top w:w="28" w:type="dxa"/>
          <w:left w:w="28" w:type="dxa"/>
          <w:bottom w:w="28" w:type="dxa"/>
          <w:right w:w="28" w:type="dxa"/>
        </w:tblCellMar>
      </w:tblPr>
      <w:tblGrid>
        <w:gridCol w:w="1165"/>
        <w:gridCol w:w="1023"/>
        <w:gridCol w:w="1036"/>
        <w:gridCol w:w="364"/>
        <w:gridCol w:w="364"/>
        <w:gridCol w:w="517"/>
      </w:tblGrid>
      <w:tr>
        <w:trPr/>
        <w:tc>
          <w:tcPr>
            <w:tcW w:w="116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98-1550750</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bidi w:val="0"/>
              <w:spacing w:lineRule="auto" w:line="240" w:before="0" w:after="15"/>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40" w:before="0" w:after="15"/>
              <w:jc w:val="center"/>
              <w:rPr>
                <w:rFonts w:ascii="Times New Roman;sans-serif" w:hAnsi="Times New Roman;sans-serif"/>
                <w:b/>
                <w:color w:val="000000"/>
                <w:sz w:val="20"/>
              </w:rPr>
            </w:pPr>
            <w:r>
              <w:rPr>
                <w:rFonts w:ascii="Times New Roman;sans-serif" w:hAnsi="Times New Roman;sans-serif"/>
                <w:b/>
                <w:color w:val="000000"/>
                <w:sz w:val="20"/>
              </w:rPr>
              <w:t xml:space="preserve">Alpharetta, Georgia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40" w:before="8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76"/>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p>
      <w:pPr>
        <w:pStyle w:val="TextBody"/>
        <w:bidi w:val="0"/>
        <w:spacing w:before="0" w:after="0"/>
        <w:jc w:val="left"/>
        <w:rPr/>
      </w:pPr>
      <w:r>
        <w:rPr/>
      </w:r>
    </w:p>
    <w:tbl>
      <w:tblPr>
        <w:tblW w:w="9412" w:type="dxa"/>
        <w:jc w:val="left"/>
        <w:tblInd w:w="0" w:type="dxa"/>
        <w:tblLayout w:type="fixed"/>
        <w:tblCellMar>
          <w:top w:w="28" w:type="dxa"/>
          <w:left w:w="28" w:type="dxa"/>
          <w:bottom w:w="28" w:type="dxa"/>
          <w:right w:w="28" w:type="dxa"/>
        </w:tblCellMar>
      </w:tblPr>
      <w:tblGrid>
        <w:gridCol w:w="1426"/>
        <w:gridCol w:w="1251"/>
        <w:gridCol w:w="1268"/>
        <w:gridCol w:w="109"/>
        <w:gridCol w:w="109"/>
        <w:gridCol w:w="109"/>
        <w:gridCol w:w="499"/>
        <w:gridCol w:w="499"/>
        <w:gridCol w:w="501"/>
        <w:gridCol w:w="109"/>
        <w:gridCol w:w="109"/>
        <w:gridCol w:w="109"/>
        <w:gridCol w:w="970"/>
        <w:gridCol w:w="970"/>
        <w:gridCol w:w="137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Common Stock, par value $0.0001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BKKT</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New York Stock Exchange</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Warrants to purchase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BKKT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New York Stock Exchange</w:t>
            </w:r>
          </w:p>
        </w:tc>
      </w:tr>
    </w:tbl>
    <w:p>
      <w:pPr>
        <w:pStyle w:val="TextBody"/>
        <w:bidi w:val="0"/>
        <w:spacing w:lineRule="auto" w:line="240" w:before="80" w:after="283"/>
        <w:ind w:left="0" w:right="0" w:firstLine="576"/>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p>
    <w:p>
      <w:pPr>
        <w:pStyle w:val="TextBody"/>
        <w:bidi w:val="0"/>
        <w:spacing w:lineRule="auto" w:line="240" w:before="80" w:after="283"/>
        <w:ind w:left="0" w:right="0" w:firstLine="576"/>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p>
    <w:p>
      <w:pPr>
        <w:pStyle w:val="TextBody"/>
        <w:bidi w:val="0"/>
        <w:spacing w:lineRule="auto" w:line="240" w:before="80" w:after="283"/>
        <w:ind w:left="0" w:right="0" w:firstLine="576"/>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ind w:left="0" w:right="0" w:firstLine="576"/>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80" w:after="283"/>
        <w:ind w:left="0" w:right="0" w:firstLine="576"/>
        <w:jc w:val="left"/>
        <w:rPr/>
      </w:pPr>
      <w:r>
        <w:rPr>
          <w:rFonts w:ascii="Times New Roman;sans-serif" w:hAnsi="Times New Roman;sans-serif"/>
          <w:b w:val="false"/>
          <w:color w:val="000000"/>
          <w:sz w:val="18"/>
        </w:rPr>
        <w:t xml:space="preserve">Indicate by check mark whether the registrant is a shell company (as defined in Rule 12b-2 of the Exchange Act).Yes ☐ No </w:t>
      </w:r>
      <w:r>
        <w:rPr>
          <w:color w:val="000000"/>
        </w:rPr>
        <w:t>☒</w:t>
      </w:r>
    </w:p>
    <w:p>
      <w:pPr>
        <w:pStyle w:val="TextBody"/>
        <w:bidi w:val="0"/>
        <w:spacing w:lineRule="auto" w:line="240" w:before="80" w:after="283"/>
        <w:ind w:left="0" w:right="0" w:firstLine="576"/>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8, 2024, there were 6,476,386 shares of the registrant’s Class A Common Stock, 7,194,941 shares of Class V Common Stock, and 7,140,508 public warrants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tbl>
      <w:tblPr>
        <w:tblW w:w="9404" w:type="dxa"/>
        <w:jc w:val="left"/>
        <w:tblInd w:w="0" w:type="dxa"/>
        <w:tblLayout w:type="fixed"/>
        <w:tblCellMar>
          <w:top w:w="28" w:type="dxa"/>
          <w:left w:w="28" w:type="dxa"/>
          <w:bottom w:w="28" w:type="dxa"/>
          <w:right w:w="28" w:type="dxa"/>
        </w:tblCellMar>
      </w:tblPr>
      <w:tblGrid>
        <w:gridCol w:w="320"/>
        <w:gridCol w:w="281"/>
        <w:gridCol w:w="283"/>
        <w:gridCol w:w="2668"/>
        <w:gridCol w:w="2668"/>
        <w:gridCol w:w="2673"/>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3">
              <w:r>
                <w:rPr>
                  <w:rStyle w:val="InternetLink"/>
                  <w:rFonts w:ascii="Times New Roman;sans-serif" w:hAnsi="Times New Roman;sans-serif"/>
                  <w:b w:val="false"/>
                  <w:color w:val="0E32E1"/>
                  <w:sz w:val="20"/>
                  <w:u w:val="single"/>
                </w:rPr>
                <w:t>FINANCIAL INFORMATION</w:t>
              </w:r>
            </w:hyperlink>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6">
              <w:r>
                <w:rPr>
                  <w:rStyle w:val="InternetLink"/>
                  <w:rFonts w:ascii="Times New Roman;sans-serif" w:hAnsi="Times New Roman;sans-serif"/>
                  <w:b w:val="false"/>
                  <w:color w:val="0E32E1"/>
                  <w:sz w:val="20"/>
                  <w:u w:val="single"/>
                </w:rPr>
                <w:t>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6">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9">
              <w:r>
                <w:rPr>
                  <w:rStyle w:val="InternetLink"/>
                  <w:rFonts w:ascii="Times New Roman;sans-serif" w:hAnsi="Times New Roman;sans-serif"/>
                  <w:b w:val="false"/>
                  <w:color w:val="0E32E1"/>
                  <w:sz w:val="20"/>
                  <w:u w:val="single"/>
                </w:rPr>
                <w:t>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9">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22">
              <w:r>
                <w:rPr>
                  <w:rStyle w:val="InternetLink"/>
                  <w:rFonts w:ascii="Times New Roman;sans-serif" w:hAnsi="Times New Roman;sans-serif"/>
                  <w:b w:val="false"/>
                  <w:color w:val="0E32E1"/>
                  <w:sz w:val="20"/>
                  <w:u w:val="single"/>
                </w:rPr>
                <w:t>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22">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25">
              <w:r>
                <w:rPr>
                  <w:rStyle w:val="InternetLink"/>
                  <w:rFonts w:ascii="Times New Roman;sans-serif" w:hAnsi="Times New Roman;sans-serif"/>
                  <w:b w:val="false"/>
                  <w:color w:val="0E32E1"/>
                  <w:sz w:val="20"/>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25">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28">
              <w:r>
                <w:rPr>
                  <w:rStyle w:val="InternetLink"/>
                  <w:rFonts w:ascii="Times New Roman;sans-serif" w:hAnsi="Times New Roman;sans-serif"/>
                  <w:b w:val="false"/>
                  <w:color w:val="0E32E1"/>
                  <w:sz w:val="20"/>
                  <w:u w:val="single"/>
                </w:rPr>
                <w:t>Consolidated Statements of Changes in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28">
              <w:r>
                <w:rPr>
                  <w:rStyle w:val="InternetLink"/>
                  <w:rFonts w:ascii="Times New Roman;sans-serif" w:hAnsi="Times New Roman;sans-serif"/>
                  <w:b w:val="false"/>
                  <w:strike w:val="false"/>
                  <w:dstrike w:val="false"/>
                  <w:color w:val="000000"/>
                  <w:sz w:val="20"/>
                  <w:u w:val="none"/>
                  <w:effect w:val="none"/>
                </w:rPr>
                <w:t>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31">
              <w:r>
                <w:rPr>
                  <w:rStyle w:val="InternetLink"/>
                  <w:rFonts w:ascii="Times New Roman;sans-serif" w:hAnsi="Times New Roman;sans-serif"/>
                  <w:b w:val="false"/>
                  <w:color w:val="0E32E1"/>
                  <w:sz w:val="20"/>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34">
              <w:r>
                <w:rPr>
                  <w:rStyle w:val="InternetLink"/>
                  <w:rFonts w:ascii="Times New Roman;sans-serif" w:hAnsi="Times New Roman;sans-serif"/>
                  <w:b w:val="false"/>
                  <w:color w:val="0E32E1"/>
                  <w:sz w:val="20"/>
                  <w:u w:val="single"/>
                </w:rPr>
                <w:t>Notes to Unaudited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34">
              <w:r>
                <w:rPr>
                  <w:rStyle w:val="InternetLink"/>
                  <w:rFonts w:ascii="Times New Roman;sans-serif" w:hAnsi="Times New Roman;sans-serif"/>
                  <w:b w:val="false"/>
                  <w:strike w:val="false"/>
                  <w:dstrike w:val="false"/>
                  <w:color w:val="000000"/>
                  <w:sz w:val="20"/>
                  <w:u w:val="none"/>
                  <w:effect w:val="none"/>
                </w:rPr>
                <w:t>11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06">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06">
              <w:r>
                <w:rPr>
                  <w:rStyle w:val="InternetLink"/>
                  <w:rFonts w:ascii="Times New Roman;sans-serif" w:hAnsi="Times New Roman;sans-serif"/>
                  <w:b w:val="false"/>
                  <w:strike w:val="false"/>
                  <w:dstrike w:val="false"/>
                  <w:color w:val="000000"/>
                  <w:sz w:val="20"/>
                  <w:u w:val="none"/>
                  <w:effect w:val="none"/>
                </w:rPr>
                <w:t>39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39">
              <w:r>
                <w:rPr>
                  <w:rStyle w:val="InternetLink"/>
                  <w:rFonts w:ascii="Times New Roman;sans-serif" w:hAnsi="Times New Roman;sans-serif"/>
                  <w:b w:val="false"/>
                  <w:color w:val="0E32E1"/>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39">
              <w:r>
                <w:rPr>
                  <w:rStyle w:val="InternetLink"/>
                  <w:rFonts w:ascii="Times New Roman;sans-serif" w:hAnsi="Times New Roman;sans-serif"/>
                  <w:b w:val="false"/>
                  <w:strike w:val="false"/>
                  <w:dstrike w:val="false"/>
                  <w:color w:val="000000"/>
                  <w:sz w:val="20"/>
                  <w:u w:val="none"/>
                  <w:effect w:val="none"/>
                </w:rPr>
                <w:t>59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42">
              <w:r>
                <w:rPr>
                  <w:rStyle w:val="InternetLink"/>
                  <w:rFonts w:ascii="Times New Roman;sans-serif" w:hAnsi="Times New Roman;sans-serif"/>
                  <w:b w:val="false"/>
                  <w:color w:val="0E32E1"/>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42">
              <w:r>
                <w:rPr>
                  <w:rStyle w:val="InternetLink"/>
                  <w:rFonts w:ascii="Times New Roman;sans-serif" w:hAnsi="Times New Roman;sans-serif"/>
                  <w:b w:val="false"/>
                  <w:strike w:val="false"/>
                  <w:dstrike w:val="false"/>
                  <w:color w:val="000000"/>
                  <w:sz w:val="20"/>
                  <w:u w:val="none"/>
                  <w:effect w:val="none"/>
                </w:rPr>
                <w:t>59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45">
              <w:r>
                <w:rPr>
                  <w:rStyle w:val="InternetLink"/>
                  <w:rFonts w:ascii="Times New Roman;sans-serif" w:hAnsi="Times New Roman;sans-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48">
              <w:r>
                <w:rPr>
                  <w:rStyle w:val="InternetLink"/>
                  <w:rFonts w:ascii="Times New Roman;sans-serif" w:hAnsi="Times New Roman;sans-serif"/>
                  <w:b w:val="false"/>
                  <w:color w:val="0E32E1"/>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48">
              <w:r>
                <w:rPr>
                  <w:rStyle w:val="InternetLink"/>
                  <w:rFonts w:ascii="Times New Roman;sans-serif" w:hAnsi="Times New Roman;sans-serif"/>
                  <w:b w:val="false"/>
                  <w:strike w:val="false"/>
                  <w:dstrike w:val="false"/>
                  <w:color w:val="000000"/>
                  <w:sz w:val="20"/>
                  <w:u w:val="none"/>
                  <w:effect w:val="none"/>
                </w:rPr>
                <w:t>61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51">
              <w:r>
                <w:rPr>
                  <w:rStyle w:val="InternetLink"/>
                  <w:rFonts w:ascii="Times New Roman;sans-serif" w:hAnsi="Times New Roman;sans-serif"/>
                  <w:b w:val="false"/>
                  <w:color w:val="0E32E1"/>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51">
              <w:r>
                <w:rPr>
                  <w:rStyle w:val="InternetLink"/>
                  <w:rFonts w:ascii="Times New Roman;sans-serif" w:hAnsi="Times New Roman;sans-serif"/>
                  <w:b w:val="false"/>
                  <w:strike w:val="false"/>
                  <w:dstrike w:val="false"/>
                  <w:color w:val="000000"/>
                  <w:sz w:val="20"/>
                  <w:u w:val="none"/>
                  <w:effect w:val="none"/>
                </w:rPr>
                <w:t>61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54">
              <w:r>
                <w:rPr>
                  <w:rStyle w:val="InternetLink"/>
                  <w:rFonts w:ascii="Times New Roman;sans-serif" w:hAnsi="Times New Roman;sans-serif"/>
                  <w:b w:val="false"/>
                  <w:color w:val="000080"/>
                  <w:sz w:val="20"/>
                  <w:u w:val="single"/>
                </w:rPr>
                <w:t>Unregistered Sales of Equity Securities, Use of Proceeds</w:t>
              </w:r>
            </w:hyperlink>
            <w:r>
              <w:rPr>
                <w:rFonts w:ascii="Times New Roman;sans-serif" w:hAnsi="Times New Roman;sans-serif"/>
                <w:b w:val="false"/>
                <w:color w:val="0E32E1"/>
                <w:sz w:val="20"/>
                <w:u w:val="single"/>
              </w:rPr>
              <w:t>, and Issuer Purchases of Equity Securities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54">
              <w:r>
                <w:rPr>
                  <w:rStyle w:val="InternetLink"/>
                  <w:rFonts w:ascii="Times New Roman;sans-serif" w:hAnsi="Times New Roman;sans-serif"/>
                  <w:b w:val="false"/>
                  <w:strike w:val="false"/>
                  <w:dstrike w:val="false"/>
                  <w:color w:val="000000"/>
                  <w:sz w:val="20"/>
                  <w:u w:val="none"/>
                  <w:effect w:val="none"/>
                </w:rPr>
                <w:t>64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57">
              <w:r>
                <w:rPr>
                  <w:rStyle w:val="InternetLink"/>
                  <w:rFonts w:ascii="Times New Roman;sans-serif" w:hAnsi="Times New Roman;sans-serif"/>
                  <w:b w:val="false"/>
                  <w:color w:val="0E32E1"/>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57">
              <w:r>
                <w:rPr>
                  <w:rStyle w:val="InternetLink"/>
                  <w:rFonts w:ascii="Times New Roman;sans-serif" w:hAnsi="Times New Roman;sans-serif"/>
                  <w:b w:val="false"/>
                  <w:strike w:val="false"/>
                  <w:dstrike w:val="false"/>
                  <w:color w:val="000000"/>
                  <w:sz w:val="20"/>
                  <w:u w:val="none"/>
                  <w:effect w:val="none"/>
                </w:rPr>
                <w:t>64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60">
              <w:r>
                <w:rPr>
                  <w:rStyle w:val="InternetLink"/>
                  <w:rFonts w:ascii="Times New Roman;sans-serif" w:hAnsi="Times New Roman;sans-serif"/>
                  <w:b w:val="false"/>
                  <w:color w:val="0E32E1"/>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60">
              <w:r>
                <w:rPr>
                  <w:rStyle w:val="InternetLink"/>
                  <w:rFonts w:ascii="Times New Roman;sans-serif" w:hAnsi="Times New Roman;sans-serif"/>
                  <w:b w:val="false"/>
                  <w:strike w:val="false"/>
                  <w:dstrike w:val="false"/>
                  <w:color w:val="000000"/>
                  <w:sz w:val="20"/>
                  <w:u w:val="none"/>
                  <w:effect w:val="none"/>
                </w:rPr>
                <w:t>65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63">
              <w:r>
                <w:rPr>
                  <w:rStyle w:val="InternetLink"/>
                  <w:rFonts w:ascii="Times New Roman;sans-serif" w:hAnsi="Times New Roman;sans-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63">
              <w:r>
                <w:rPr>
                  <w:rStyle w:val="InternetLink"/>
                  <w:rFonts w:ascii="Times New Roman;sans-serif" w:hAnsi="Times New Roman;sans-serif"/>
                  <w:b w:val="false"/>
                  <w:strike w:val="false"/>
                  <w:dstrike w:val="false"/>
                  <w:color w:val="000000"/>
                  <w:sz w:val="20"/>
                  <w:u w:val="none"/>
                  <w:effect w:val="none"/>
                </w:rPr>
                <w:t>65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66">
              <w:r>
                <w:rPr>
                  <w:rStyle w:val="InternetLink"/>
                  <w:rFonts w:ascii="Times New Roman;sans-serif" w:hAnsi="Times New Roman;sans-serif"/>
                  <w:b w:val="false"/>
                  <w:color w:val="0E32E1"/>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66">
              <w:r>
                <w:rPr>
                  <w:rStyle w:val="InternetLink"/>
                  <w:rFonts w:ascii="Times New Roman;sans-serif" w:hAnsi="Times New Roman;sans-serif"/>
                  <w:b w:val="false"/>
                  <w:strike w:val="false"/>
                  <w:dstrike w:val="false"/>
                  <w:color w:val="000000"/>
                  <w:sz w:val="20"/>
                  <w:u w:val="none"/>
                  <w:effect w:val="none"/>
                </w:rPr>
                <w:t>66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67ee405857468aba5525035215b338_169">
              <w:r>
                <w:rPr>
                  <w:rStyle w:val="InternetLink"/>
                  <w:rFonts w:ascii="Times New Roman;sans-serif" w:hAnsi="Times New Roman;sans-serif"/>
                  <w:b w:val="false"/>
                  <w:color w:val="0E32E1"/>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67ee405857468aba5525035215b338_169">
              <w:r>
                <w:rPr>
                  <w:rStyle w:val="InternetLink"/>
                  <w:rFonts w:ascii="Times New Roman;sans-serif" w:hAnsi="Times New Roman;sans-serif"/>
                  <w:b w:val="false"/>
                  <w:strike w:val="false"/>
                  <w:dstrike w:val="false"/>
                  <w:color w:val="000000"/>
                  <w:sz w:val="20"/>
                  <w:u w:val="none"/>
                  <w:effect w:val="none"/>
                </w:rPr>
                <w:t>67</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24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NOTE REGARDING FORWARD-LOOKING STATEMENTS</w:t>
      </w:r>
    </w:p>
    <w:p>
      <w:pPr>
        <w:pStyle w:val="TextBody"/>
        <w:bidi w:val="0"/>
        <w:spacing w:lineRule="auto" w:line="333"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all references to “Bakkt,” “we,” “us,” “our,” or the “Company” in this Quarterly Report on Form 10-Q (this “Report”) refer to Bakkt Holdings, Inc. and its subsidiaries.</w:t>
      </w:r>
    </w:p>
    <w:p>
      <w:pPr>
        <w:pStyle w:val="TextBody"/>
        <w:bidi w:val="0"/>
        <w:spacing w:lineRule="auto" w:line="333" w:before="2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pStyle w:val="TextBody"/>
        <w:bidi w:val="0"/>
        <w:spacing w:lineRule="auto" w:line="333" w:before="120" w:after="283"/>
        <w:ind w:left="0" w:right="0" w:hanging="360"/>
        <w:jc w:val="both"/>
        <w:rPr>
          <w:color w:val="231F20"/>
        </w:rPr>
      </w:pPr>
      <w:r>
        <w:rPr>
          <w:color w:val="231F20"/>
        </w:rPr>
        <w:t>•    </w:t>
      </w:r>
      <w:r>
        <w:rPr>
          <w:rFonts w:ascii="Times New Roman;sans-serif" w:hAnsi="Times New Roman;sans-serif"/>
          <w:b w:val="false"/>
          <w:color w:val="231F20"/>
          <w:sz w:val="20"/>
        </w:rPr>
        <w:t>our future financial performance;</w:t>
      </w:r>
    </w:p>
    <w:p>
      <w:pPr>
        <w:pStyle w:val="TextBody"/>
        <w:bidi w:val="0"/>
        <w:spacing w:lineRule="auto" w:line="333" w:before="120" w:after="283"/>
        <w:ind w:left="0" w:right="0" w:hanging="360"/>
        <w:jc w:val="both"/>
        <w:rPr>
          <w:color w:val="231F20"/>
        </w:rPr>
      </w:pPr>
      <w:r>
        <w:rPr>
          <w:color w:val="231F20"/>
        </w:rPr>
        <w:t>•    </w:t>
      </w:r>
      <w:r>
        <w:rPr>
          <w:rFonts w:ascii="Times New Roman;sans-serif" w:hAnsi="Times New Roman;sans-serif"/>
          <w:b w:val="false"/>
          <w:color w:val="231F20"/>
          <w:sz w:val="20"/>
        </w:rPr>
        <w:t>changes in the market for our products and services;</w:t>
      </w:r>
    </w:p>
    <w:p>
      <w:pPr>
        <w:pStyle w:val="TextBody"/>
        <w:bidi w:val="0"/>
        <w:spacing w:lineRule="auto" w:line="333" w:before="120" w:after="283"/>
        <w:ind w:left="0" w:right="0" w:hanging="360"/>
        <w:jc w:val="both"/>
        <w:rPr>
          <w:color w:val="231F20"/>
        </w:rPr>
      </w:pPr>
      <w:r>
        <w:rPr>
          <w:color w:val="231F20"/>
        </w:rPr>
        <w:t>•    </w:t>
      </w:r>
      <w:r>
        <w:rPr>
          <w:rFonts w:ascii="Times New Roman;sans-serif" w:hAnsi="Times New Roman;sans-serif"/>
          <w:b w:val="false"/>
          <w:color w:val="231F20"/>
          <w:sz w:val="20"/>
        </w:rPr>
        <w:t>our restructuring initiative and future potential reductions of expenses; and</w:t>
      </w:r>
    </w:p>
    <w:p>
      <w:pPr>
        <w:pStyle w:val="TextBody"/>
        <w:bidi w:val="0"/>
        <w:spacing w:lineRule="auto" w:line="333" w:before="120" w:after="283"/>
        <w:ind w:left="0" w:right="0" w:hanging="360"/>
        <w:jc w:val="both"/>
        <w:rPr>
          <w:color w:val="231F20"/>
        </w:rPr>
      </w:pPr>
      <w:r>
        <w:rPr>
          <w:color w:val="231F20"/>
        </w:rPr>
        <w:t>•    </w:t>
      </w:r>
      <w:r>
        <w:rPr>
          <w:rFonts w:ascii="Times New Roman;sans-serif" w:hAnsi="Times New Roman;sans-serif"/>
          <w:b w:val="false"/>
          <w:color w:val="231F20"/>
          <w:sz w:val="20"/>
        </w:rPr>
        <w:t xml:space="preserve">expansion plans and opportunities. </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These forward-looking statements are based on information available as of the date of this </w:t>
      </w:r>
      <w:r>
        <w:rPr>
          <w:rFonts w:ascii="Times New Roman;sans-serif" w:hAnsi="Times New Roman;sans-serif"/>
          <w:b w:val="false"/>
          <w:color w:val="000000"/>
          <w:sz w:val="20"/>
          <w:shd w:fill="FFFFFF" w:val="clear"/>
        </w:rPr>
        <w:t>Report</w:t>
      </w:r>
      <w:r>
        <w:rPr>
          <w:color w:val="231F20"/>
        </w:rPr>
        <w:t xml:space="preserve"> </w:t>
      </w:r>
      <w:r>
        <w:rPr>
          <w:rFonts w:ascii="Times New Roman;sans-serif" w:hAnsi="Times New Roman;sans-serif"/>
          <w:b w:val="false"/>
          <w:color w:val="231F20"/>
          <w:sz w:val="20"/>
        </w:rPr>
        <w:t>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grow and manage growth profitably;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continue as a going concern;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our business strategy;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the markets in which we compete, including with respect to our competitive landscape, technology evolution or changes in applicable laws or regulations;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the markets that we target;</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disruptions in the crypto market that subject us to additional risks, including the risk that banks may not provide banking services to us;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possibility that we may be adversely affected by other economic, business, and/or competitive factors;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inability to launch new services and products or to profitably expand into new markets and services, or the inability to continue offering existing services or products;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inability to execute our growth strategies, including identifying and executing acquisitions and our initiatives to add new clients;</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our ability to maintain and grow our existing customer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 xml:space="preserve">our ability to reach definitive agreements with our expected commercial counterparties; </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achieve the expected benefits from the acquisition of Bakkt Crypto (as defined below);</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inability to reduce cash expenses and align headcount and employee-related costs with our budget priorities;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failure to comply with extensive government regulation, oversight, licensure and appraisals;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uncertain regulatory regime governing blockchain technologies and crypto;</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remediate the material weakness in and establish and maintain effective internal controls and procedures;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exposure to any liability, protracted and costly litigation, settlement expenses or reputational damage relating to legal proceedings or our data security;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impact of any goodwill or other intangible assets impairments on our operating results;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impact of any pandemics or other public health emergencies;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maintain the listing of our securities on the NYSE;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231F20"/>
          <w:sz w:val="20"/>
        </w:rPr>
        <w:t>other risks and uncertainties indicated in this Report, including those set forth under “</w:t>
      </w:r>
      <w:r>
        <w:rPr>
          <w:rFonts w:ascii="Times New Roman;sans-serif" w:hAnsi="Times New Roman;sans-serif"/>
          <w:b w:val="false"/>
          <w:i/>
          <w:color w:val="231F20"/>
          <w:sz w:val="20"/>
        </w:rPr>
        <w:t>Risk</w:t>
      </w:r>
      <w:r>
        <w:rPr>
          <w:color w:val="000000"/>
        </w:rPr>
        <w:t xml:space="preserve"> </w:t>
      </w:r>
      <w:r>
        <w:rPr>
          <w:rFonts w:ascii="Times New Roman;sans-serif" w:hAnsi="Times New Roman;sans-serif"/>
          <w:b w:val="false"/>
          <w:i/>
          <w:color w:val="231F20"/>
          <w:sz w:val="20"/>
        </w:rPr>
        <w:t>Factors</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Item 1.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Bakkt Holdings, Inc.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136" w:type="dxa"/>
        <w:jc w:val="left"/>
        <w:tblInd w:w="0" w:type="dxa"/>
        <w:tblLayout w:type="fixed"/>
        <w:tblCellMar>
          <w:top w:w="28" w:type="dxa"/>
          <w:left w:w="28" w:type="dxa"/>
          <w:bottom w:w="28" w:type="dxa"/>
          <w:right w:w="28" w:type="dxa"/>
        </w:tblCellMar>
      </w:tblPr>
      <w:tblGrid>
        <w:gridCol w:w="2421"/>
        <w:gridCol w:w="2132"/>
        <w:gridCol w:w="2167"/>
        <w:gridCol w:w="257"/>
        <w:gridCol w:w="1145"/>
        <w:gridCol w:w="143"/>
        <w:gridCol w:w="109"/>
        <w:gridCol w:w="109"/>
        <w:gridCol w:w="109"/>
        <w:gridCol w:w="277"/>
        <w:gridCol w:w="1047"/>
        <w:gridCol w:w="220"/>
      </w:tblGrid>
      <w:tr>
        <w:trPr/>
        <w:tc>
          <w:tcPr>
            <w:tcW w:w="2421"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2024</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31,838 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32,925 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Available-for-sale securities</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29,664 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insurance</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Safeguarding asset for crypto</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938,695 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701,556 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1,097,795 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882,644 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software, net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1,182,729 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966,867 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55,379 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 payable</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32,925 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current</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related party</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Safeguarding obligation for crypto</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938,695 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701,556 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Unsettled crypto trades</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1,041,949 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802,074 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noncurrent</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liability</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1,080,736 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831,153 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14)</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Class A Common Stock ($0.0001 par value, 30,000,000 shares authorized, 6,465,776 shares </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issued and outstanding as of September 30, 2024 and 3,793,837 shares issued and outstanding </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December 31, 2023)</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Class V Common Stock ($0.0001 par value, 10,000,000 shares authorized, 7,194,941 shares </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issued and outstanding as of September 30, 2024 and 7,200,064 shares issued and outstanding </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December 31, 2023)</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829,477 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799,683 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(778,783)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(751,301)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50,473 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48,282 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87,432 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101,993 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135,714 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1,182,729 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966,867 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12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03"/>
        <w:gridCol w:w="990"/>
        <w:gridCol w:w="996"/>
        <w:gridCol w:w="274"/>
        <w:gridCol w:w="1032"/>
        <w:gridCol w:w="152"/>
        <w:gridCol w:w="109"/>
        <w:gridCol w:w="109"/>
        <w:gridCol w:w="109"/>
        <w:gridCol w:w="274"/>
        <w:gridCol w:w="1032"/>
        <w:gridCol w:w="152"/>
        <w:gridCol w:w="109"/>
        <w:gridCol w:w="109"/>
        <w:gridCol w:w="109"/>
        <w:gridCol w:w="243"/>
        <w:gridCol w:w="1083"/>
        <w:gridCol w:w="135"/>
        <w:gridCol w:w="109"/>
        <w:gridCol w:w="109"/>
        <w:gridCol w:w="109"/>
        <w:gridCol w:w="261"/>
        <w:gridCol w:w="984"/>
        <w:gridCol w:w="213"/>
      </w:tblGrid>
      <w:tr>
        <w:trPr/>
        <w:tc>
          <w:tcPr>
            <w:tcW w:w="140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2023</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Crypto services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1,654,814 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Loyalty services, net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38,096 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328,419 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204,774 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1,692,899 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565,622 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Crypto costs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1,636,514 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521,601 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Execution, clearing and brokerage fees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communication</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expenses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 impairments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355,802 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257,634 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1,774,136 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715,018 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(81,237)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(149,396)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from change in fair value of warrant liability</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(62,962)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(146,718)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(63,078)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(147,119)</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(98,964)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Bakkt Holdings, Inc.</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(48,155)</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Class A Common Stockholders: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Consolidated Statements of Comprehensive Loss </w:t>
      </w:r>
    </w:p>
    <w:p>
      <w:pPr>
        <w:pStyle w:val="TextBody"/>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w:t>
      </w:r>
    </w:p>
    <w:p>
      <w:pPr>
        <w:pStyle w:val="TextBody"/>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76"/>
        <w:gridCol w:w="1163"/>
        <w:gridCol w:w="946"/>
        <w:gridCol w:w="299"/>
        <w:gridCol w:w="964"/>
        <w:gridCol w:w="166"/>
        <w:gridCol w:w="109"/>
        <w:gridCol w:w="109"/>
        <w:gridCol w:w="109"/>
        <w:gridCol w:w="280"/>
        <w:gridCol w:w="1008"/>
        <w:gridCol w:w="155"/>
        <w:gridCol w:w="109"/>
        <w:gridCol w:w="109"/>
        <w:gridCol w:w="109"/>
        <w:gridCol w:w="270"/>
        <w:gridCol w:w="970"/>
        <w:gridCol w:w="149"/>
        <w:gridCol w:w="109"/>
        <w:gridCol w:w="109"/>
        <w:gridCol w:w="109"/>
        <w:gridCol w:w="251"/>
        <w:gridCol w:w="1020"/>
        <w:gridCol w:w="207"/>
      </w:tblGrid>
      <w:tr>
        <w:trPr/>
        <w:tc>
          <w:tcPr>
            <w:tcW w:w="137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2023</w:t>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(63,078)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(147,119)</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 net of tax</w:t>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on available-for-sale securities, net of tax</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(6,040)</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(52,130)</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(63,447)</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(147,135)</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noncontrolling interest</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(35,847)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(98,977)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Bakkt Holdings, Inc.</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(17,461)</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(27,600)</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(48,158)</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Changes in Stockholders’ Equity</w:t>
      </w:r>
    </w:p>
    <w:p>
      <w:pPr>
        <w:pStyle w:val="TextBody"/>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except share data) </w:t>
      </w:r>
    </w:p>
    <w:p>
      <w:pPr>
        <w:pStyle w:val="TextBody"/>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tbl>
      <w:tblPr>
        <w:tblW w:w="12535" w:type="dxa"/>
        <w:jc w:val="left"/>
        <w:tblInd w:w="0" w:type="dxa"/>
        <w:tblLayout w:type="fixed"/>
        <w:tblCellMar>
          <w:top w:w="28" w:type="dxa"/>
          <w:left w:w="28" w:type="dxa"/>
          <w:bottom w:w="28" w:type="dxa"/>
          <w:right w:w="28" w:type="dxa"/>
        </w:tblCellMar>
      </w:tblPr>
      <w:tblGrid>
        <w:gridCol w:w="1250"/>
        <w:gridCol w:w="215"/>
        <w:gridCol w:w="216"/>
        <w:gridCol w:w="323"/>
        <w:gridCol w:w="323"/>
        <w:gridCol w:w="151"/>
        <w:gridCol w:w="109"/>
        <w:gridCol w:w="109"/>
        <w:gridCol w:w="109"/>
        <w:gridCol w:w="166"/>
        <w:gridCol w:w="406"/>
        <w:gridCol w:w="109"/>
        <w:gridCol w:w="109"/>
        <w:gridCol w:w="109"/>
        <w:gridCol w:w="109"/>
        <w:gridCol w:w="323"/>
        <w:gridCol w:w="323"/>
        <w:gridCol w:w="151"/>
        <w:gridCol w:w="109"/>
        <w:gridCol w:w="109"/>
        <w:gridCol w:w="109"/>
        <w:gridCol w:w="180"/>
        <w:gridCol w:w="226"/>
        <w:gridCol w:w="109"/>
        <w:gridCol w:w="109"/>
        <w:gridCol w:w="109"/>
        <w:gridCol w:w="109"/>
        <w:gridCol w:w="166"/>
        <w:gridCol w:w="556"/>
        <w:gridCol w:w="109"/>
        <w:gridCol w:w="109"/>
        <w:gridCol w:w="109"/>
        <w:gridCol w:w="109"/>
        <w:gridCol w:w="166"/>
        <w:gridCol w:w="541"/>
        <w:gridCol w:w="109"/>
        <w:gridCol w:w="109"/>
        <w:gridCol w:w="109"/>
        <w:gridCol w:w="109"/>
        <w:gridCol w:w="250"/>
        <w:gridCol w:w="500"/>
        <w:gridCol w:w="166"/>
        <w:gridCol w:w="109"/>
        <w:gridCol w:w="109"/>
        <w:gridCol w:w="109"/>
        <w:gridCol w:w="174"/>
        <w:gridCol w:w="521"/>
        <w:gridCol w:w="116"/>
        <w:gridCol w:w="109"/>
        <w:gridCol w:w="109"/>
        <w:gridCol w:w="109"/>
        <w:gridCol w:w="187"/>
        <w:gridCol w:w="560"/>
        <w:gridCol w:w="124"/>
        <w:gridCol w:w="109"/>
        <w:gridCol w:w="109"/>
        <w:gridCol w:w="109"/>
        <w:gridCol w:w="166"/>
        <w:gridCol w:w="55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V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as of December 31,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3,793,837</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7,200,064</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799,683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(751,301)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(101)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48,282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87,432</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135,714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upon vesting of share-based awards, net of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118,593 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offerings,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1,955,924 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V shares for Class A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(4,725)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Unrealized losses on available-for-sale securities,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as of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5,873,079</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7,195,339</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816,768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(759,466)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(321)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56,983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73,900</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130,883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2,406 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2,406 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upon vesting of share-based awards, net of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86,178 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Exercise of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offerings,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350,881 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V shares for Class A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Unrealized losses on available-for-sale securities,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(19,088)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as of June 30,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6,310,548</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7,194,941</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824,023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(775,890)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(341)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47,794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54,785</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102,579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2,630 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upon vesting of share-based awards, net of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Exercise of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144,175 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Unrealized losses on available-for-sale securities,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as of September 30,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6,465,776</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7,194,941</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829,477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(778,783)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(223)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50,473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51,520</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101,993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tbl>
      <w:tblPr>
        <w:tblW w:w="12505" w:type="dxa"/>
        <w:jc w:val="center"/>
        <w:tblInd w:w="0" w:type="dxa"/>
        <w:tblLayout w:type="fixed"/>
        <w:tblCellMar>
          <w:top w:w="28" w:type="dxa"/>
          <w:left w:w="28" w:type="dxa"/>
          <w:bottom w:w="28" w:type="dxa"/>
          <w:right w:w="28" w:type="dxa"/>
        </w:tblCellMar>
      </w:tblPr>
      <w:tblGrid>
        <w:gridCol w:w="1220"/>
        <w:gridCol w:w="215"/>
        <w:gridCol w:w="216"/>
        <w:gridCol w:w="323"/>
        <w:gridCol w:w="323"/>
        <w:gridCol w:w="151"/>
        <w:gridCol w:w="109"/>
        <w:gridCol w:w="109"/>
        <w:gridCol w:w="109"/>
        <w:gridCol w:w="166"/>
        <w:gridCol w:w="406"/>
        <w:gridCol w:w="109"/>
        <w:gridCol w:w="109"/>
        <w:gridCol w:w="109"/>
        <w:gridCol w:w="109"/>
        <w:gridCol w:w="323"/>
        <w:gridCol w:w="323"/>
        <w:gridCol w:w="151"/>
        <w:gridCol w:w="109"/>
        <w:gridCol w:w="109"/>
        <w:gridCol w:w="109"/>
        <w:gridCol w:w="180"/>
        <w:gridCol w:w="226"/>
        <w:gridCol w:w="109"/>
        <w:gridCol w:w="109"/>
        <w:gridCol w:w="109"/>
        <w:gridCol w:w="109"/>
        <w:gridCol w:w="166"/>
        <w:gridCol w:w="556"/>
        <w:gridCol w:w="109"/>
        <w:gridCol w:w="109"/>
        <w:gridCol w:w="109"/>
        <w:gridCol w:w="109"/>
        <w:gridCol w:w="166"/>
        <w:gridCol w:w="541"/>
        <w:gridCol w:w="109"/>
        <w:gridCol w:w="109"/>
        <w:gridCol w:w="109"/>
        <w:gridCol w:w="109"/>
        <w:gridCol w:w="250"/>
        <w:gridCol w:w="500"/>
        <w:gridCol w:w="166"/>
        <w:gridCol w:w="109"/>
        <w:gridCol w:w="109"/>
        <w:gridCol w:w="109"/>
        <w:gridCol w:w="174"/>
        <w:gridCol w:w="521"/>
        <w:gridCol w:w="116"/>
        <w:gridCol w:w="109"/>
        <w:gridCol w:w="109"/>
        <w:gridCol w:w="109"/>
        <w:gridCol w:w="173"/>
        <w:gridCol w:w="582"/>
        <w:gridCol w:w="116"/>
        <w:gridCol w:w="109"/>
        <w:gridCol w:w="109"/>
        <w:gridCol w:w="109"/>
        <w:gridCol w:w="166"/>
        <w:gridCol w:w="556"/>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V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as of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3,237,074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7,339,310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773,000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(676,447)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(290)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96,264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239,811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336,075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Unit-based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upon vesting of share-based awards, net of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59,801 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V shares for Class A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8,115 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(8,115)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Unrealized loss on available-for-sale securities,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(13,976)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(30,883)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as of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3,304,990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7,331,195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780,058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(690,423)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(355)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89,281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208,983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298,264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4,614 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4,614 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Unit-based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upon vesting of share-based awards, net of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100,828 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in connection with Apex acquisition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245,624 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Unrealized losses on available-for-sale securities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(16,848)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(33,663)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as of June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3,651,442</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7,331,195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791,232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(707,271)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(166)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83,796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176,080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259,876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2,957 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2,957 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Unit-based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Forfeiture and cancellation of common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upon vesting of share-based awards, net of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V shares for Class A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Unrealized losses on available-for-sale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(17,331)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(34,418)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as of September 30,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3,656,594</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7,330,364</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794,226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(724,602)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(293)</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69,332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141,743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2"/>
              </w:rPr>
              <w:t>211,075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Cash Flows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tbl>
      <w:tblPr>
        <w:tblW w:w="10205" w:type="dxa"/>
        <w:jc w:val="center"/>
        <w:tblInd w:w="0" w:type="dxa"/>
        <w:tblLayout w:type="fixed"/>
        <w:tblCellMar>
          <w:top w:w="28" w:type="dxa"/>
          <w:left w:w="28" w:type="dxa"/>
          <w:bottom w:w="28" w:type="dxa"/>
          <w:right w:w="28" w:type="dxa"/>
        </w:tblCellMar>
      </w:tblPr>
      <w:tblGrid>
        <w:gridCol w:w="2588"/>
        <w:gridCol w:w="2237"/>
        <w:gridCol w:w="2247"/>
        <w:gridCol w:w="109"/>
        <w:gridCol w:w="109"/>
        <w:gridCol w:w="109"/>
        <w:gridCol w:w="242"/>
        <w:gridCol w:w="827"/>
        <w:gridCol w:w="145"/>
        <w:gridCol w:w="109"/>
        <w:gridCol w:w="109"/>
        <w:gridCol w:w="109"/>
        <w:gridCol w:w="226"/>
        <w:gridCol w:w="843"/>
        <w:gridCol w:w="196"/>
      </w:tblGrid>
      <w:tr>
        <w:trPr/>
        <w:tc>
          <w:tcPr>
            <w:tcW w:w="2588"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w:t>
              <w:br/>
              <w:t>September 30, 2023</w:t>
            </w:r>
          </w:p>
        </w:tc>
      </w:tr>
      <w:tr>
        <w:trPr/>
        <w:tc>
          <w:tcPr>
            <w:tcW w:w="7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(63,078)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(147,119)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Forfeiture and cancellation of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 and intangible assets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loss from 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(13,916)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Deposits with clearing 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(13,636)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Unsettled crypto trades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Due to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Customer funds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(52,605)</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(53,891)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internal-use software development costs and other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(25,986)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settlement of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163,165 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Bumped Financial,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Apex Crypto LLC,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(44,320)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7,895 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65,710 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Concurrent Offerings,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46,505 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4"/>
              </w:rPr>
              <w:t xml:space="preserve">Proceeds from the exercise of warrants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44,078 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exchange rate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(decrease) increase in cash, cash equivalents, restricted cash, customer funds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(1,005)</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restricted cash, customer funds and deposits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118,498 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restricted cash, customer funds and deposits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117,493 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124,704 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operating lease right-of-use asset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non-cash investing and financing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internal-use software development costs and other capital expenditures included in 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Reconciliation of cash, cash equivalents, restricted cash, customer funds and deposits to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68,219 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35,306 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Customer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51,550 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Deposits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cash, cash equivalents, restricted cash and customer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117,493 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124,704 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33"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1.Organization and Description of Business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provides, “we,” “us,” “our,” “Bakkt,” the “Company” and like terms refer to Bakkt Holdings, Inc. and its subsidiaries, including Opco.</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2023 we completed the acquisition of 100% of the ownership interests of Apex Crypto LLC ("Apex Crypto") and subsequently changed the name of the legal entity to Bakkt Crypto Solutions, LLC ("Bakkt Crypto Solutions"), effective June 12, 2023. On March 20, 2024, Bakkt Crypto Solutions merged with and into Bakkt Marketplace, LLC ("Bakkt Marketplace"), with Bakkt Marketplace as the surviving entity in the merger. Bakkt Marketplace was then renamed to Bakkt Crypto Solutions, LLC ("Bakkt Crypto"). </w:t>
      </w: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Description of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or are working to provide, simplified solutions focused in the following areas:</w:t>
      </w:r>
    </w:p>
    <w:p>
      <w:pPr>
        <w:pStyle w:val="TextBody"/>
        <w:bidi w:val="0"/>
        <w:spacing w:lineRule="auto" w:line="333"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Crypto</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C0C0C"/>
          <w:sz w:val="20"/>
        </w:rPr>
        <w:t>Custody.</w:t>
      </w:r>
      <w:r>
        <w:rPr>
          <w:color w:val="0C0C0C"/>
        </w:rPr>
        <w:t xml:space="preserve"> </w:t>
      </w:r>
      <w:r>
        <w:rPr>
          <w:rFonts w:ascii="Times New Roman;sans-serif" w:hAnsi="Times New Roman;sans-serif"/>
          <w:b w:val="false"/>
          <w:color w:val="0C0C0C"/>
          <w:sz w:val="20"/>
        </w:rPr>
        <w:t>Our institutional-grade qualified custody solution is primarily provided by our subsidiary, Bakkt Trust Company LLC (“Bakkt Trust”), a limited purpose trust company that is supervised by the New York State Department of Financial Services (“NYDFS”) and governed by an independent Board of Managers. In connection to the acquisition of Apex Crypto, we acquired third-party custodial relationships with BitGo and Coinbase Custody, which are currently used by Bakkt Crypto for custody and coin transfers, where applicable. In addition, Bakkt Crypto also self-custodies select coins to facilitate consumer withdrawals. Refer to Note 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hanging="360"/>
        <w:jc w:val="both"/>
        <w:rPr/>
      </w:pPr>
      <w:r>
        <w:rPr>
          <w:color w:val="000000"/>
          <w:shd w:fill="FFFFFF" w:val="clear"/>
        </w:rPr>
        <w:t>•</w:t>
      </w:r>
      <w:r>
        <w:rPr>
          <w:rFonts w:ascii="Times New Roman;sans-serif" w:hAnsi="Times New Roman;sans-serif"/>
          <w:b/>
          <w:i/>
          <w:color w:val="0C0C0C"/>
          <w:sz w:val="20"/>
        </w:rPr>
        <w:t>Trading.</w:t>
      </w:r>
      <w:r>
        <w:rPr>
          <w:color w:val="0C0C0C"/>
        </w:rPr>
        <w:t xml:space="preserve"> </w:t>
      </w:r>
      <w:r>
        <w:rPr>
          <w:rFonts w:ascii="Times New Roman;sans-serif" w:hAnsi="Times New Roman;sans-serif"/>
          <w:b w:val="false"/>
          <w:color w:val="0C0C0C"/>
          <w:sz w:val="20"/>
        </w:rPr>
        <w:t>Our platform provides customers with the ability to buy, sell and store crypto via application programming interfaces or embedded web experience. We enable clients in various industries to provide their customers with the ability to transact in crypto directly in their trusted environments. In September 2024, we added nine coins to our crypto trading offering. As of September 30, 2024, w</w:t>
      </w:r>
      <w:r>
        <w:rPr>
          <w:rFonts w:ascii="Times New Roman;sans-serif" w:hAnsi="Times New Roman;sans-serif"/>
          <w:b w:val="false"/>
          <w:color w:val="000000"/>
          <w:sz w:val="20"/>
        </w:rPr>
        <w:t>e currently facilitate transactions in the crypto assets listed in the table below.</w:t>
      </w:r>
    </w:p>
    <w:p>
      <w:pPr>
        <w:pStyle w:val="TextBody"/>
        <w:bidi w:val="0"/>
        <w:spacing w:before="0" w:after="0"/>
        <w:jc w:val="left"/>
        <w:rPr/>
      </w:pPr>
      <w:r>
        <w:rPr/>
      </w:r>
    </w:p>
    <w:tbl>
      <w:tblPr>
        <w:tblW w:w="2698" w:type="dxa"/>
        <w:jc w:val="center"/>
        <w:tblInd w:w="0" w:type="dxa"/>
        <w:tblLayout w:type="fixed"/>
        <w:tblCellMar>
          <w:top w:w="28" w:type="dxa"/>
          <w:left w:w="28" w:type="dxa"/>
          <w:bottom w:w="28" w:type="dxa"/>
          <w:right w:w="28" w:type="dxa"/>
        </w:tblCellMar>
      </w:tblPr>
      <w:tblGrid>
        <w:gridCol w:w="647"/>
        <w:gridCol w:w="569"/>
        <w:gridCol w:w="571"/>
        <w:gridCol w:w="266"/>
        <w:gridCol w:w="266"/>
        <w:gridCol w:w="379"/>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op w:val="single" w:sz="8" w:space="0" w:color="000000"/>
              <w:left w:val="single" w:sz="8" w:space="0" w:color="000000"/>
            </w:tcBorders>
            <w:shd w:fill="EEECE1" w:val="clear"/>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 Asset</w:t>
            </w:r>
          </w:p>
        </w:tc>
        <w:tc>
          <w:tcPr>
            <w:tcW w:w="911" w:type="dxa"/>
            <w:gridSpan w:val="3"/>
            <w:tcBorders>
              <w:top w:val="single" w:sz="8" w:space="0" w:color="000000"/>
              <w:left w:val="single" w:sz="8" w:space="0" w:color="000000"/>
              <w:right w:val="single" w:sz="8" w:space="0" w:color="000000"/>
            </w:tcBorders>
            <w:shd w:fill="EEECE1" w:val="clear"/>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Symbol</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Algorand*</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ALGL</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Avalanche*</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AVAX</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BTC</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 Cash</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BCH</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Cardano*</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Chainlink*</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LINK</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Cosmos*</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ATOM</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Ethereum Classic</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ETC</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LTC</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Pepe Coin*</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PEPE</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Polkadot*</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DOT</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Ripple*</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XRP</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Solana*</w:t>
            </w:r>
          </w:p>
        </w:tc>
        <w:tc>
          <w:tcPr>
            <w:tcW w:w="9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w:t>
            </w:r>
          </w:p>
        </w:tc>
      </w:tr>
      <w:tr>
        <w:trPr/>
        <w:tc>
          <w:tcPr>
            <w:tcW w:w="17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 Coin</w:t>
            </w:r>
          </w:p>
        </w:tc>
        <w:tc>
          <w:tcPr>
            <w:tcW w:w="91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w:t>
            </w:r>
          </w:p>
        </w:tc>
      </w:tr>
      <w:tr>
        <w:trPr/>
        <w:tc>
          <w:tcPr>
            <w:tcW w:w="26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*New coin as of September 30, 2024</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Bakkt Trust's custody solution has the capability to provide support to Bakkt Crypto with respect to certain of the crypto assets supported by the Company. Additionally, until October 2, 2023, Bakkt Trust operated, in conjunction with Intercontinental Exchange, Inc. ("ICE"), regulated infrastructure for trading, clearing, and custody services for physically delivered bitcoin futures. Refer to Note 8 for a description of a recent delisting of certain Bakkt Bitcoin futures and option contracts by </w:t>
      </w:r>
      <w:r>
        <w:rPr>
          <w:rFonts w:ascii="Times New Roman;sans-serif" w:hAnsi="Times New Roman;sans-serif"/>
          <w:b w:val="false"/>
          <w:color w:val="000000"/>
          <w:sz w:val="20"/>
        </w:rPr>
        <w:t>ICE Futures U.S., Inc. ("IFUS")</w:t>
      </w:r>
      <w:r>
        <w:rPr>
          <w:rFonts w:ascii="Times New Roman;sans-serif" w:hAnsi="Times New Roman;sans-serif"/>
          <w:b w:val="false"/>
          <w:color w:val="231F20"/>
          <w:sz w:val="20"/>
        </w:rPr>
        <w:t>. Bakkt Crypto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offer crypto services in the U.S. and in select markets in Latin America, Europe and Asia. </w:t>
      </w:r>
    </w:p>
    <w:p>
      <w:pPr>
        <w:pStyle w:val="TextBody"/>
        <w:bidi w:val="0"/>
        <w:spacing w:lineRule="auto" w:line="240"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Loyalty</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We offer a full spectrum of supplier content through configurable, white-label e-commerce storefronts that end users can acquire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customers’ loyalty strategies and user experience for their loyalty programs. Our platform’s functionality includes a mobile-optimized user interface, numerous configurations to support diverse program needs, promotional campaign services, comprehensive fraud protection capabilities and the ability to split payments across both loyalty points and credit cards.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accounting policies are as set forth in the notes to our Annual Report on Form 10-K for the year ended December 31, 2023 (our "Form 10-K").</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 </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In the opinion of management, all adjustments (consisting of normal recurring accruals), considered necessary for a fair presentation have been included. The interim results for the </w:t>
      </w:r>
      <w:r>
        <w:rPr>
          <w:rFonts w:ascii="Times New Roman;sans-serif" w:hAnsi="Times New Roman;sans-serif"/>
          <w:b w:val="false"/>
          <w:color w:val="000000"/>
          <w:sz w:val="20"/>
          <w:shd w:fill="FFFFFF" w:val="clear"/>
        </w:rPr>
        <w:t>three and nine</w:t>
      </w:r>
      <w:r>
        <w:rPr>
          <w:color w:val="000000"/>
        </w:rPr>
        <w:t xml:space="preserve"> </w:t>
      </w:r>
      <w:r>
        <w:rPr>
          <w:rFonts w:ascii="Times New Roman;sans-serif" w:hAnsi="Times New Roman;sans-serif"/>
          <w:b w:val="false"/>
          <w:color w:val="000000"/>
          <w:sz w:val="20"/>
        </w:rPr>
        <w:t>months ended September 30, 2024 are not necessarily indicative of the results that may be expected for the year ending December 31, 2024, or for any other future annual or interim period. These unaudited interim consolidated financial statements should be read in conjunction with the Company’s audited financial statements and accompanying notes thereto included in our Form 10-K.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2024, following approval by our stockholders and Board of Directors,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Our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Quarterly Report on Form 10-Q (unless otherwise noted).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and assumptions that affect the amounts reported in the financial statements and accompanying notes. We base our estimates and assumptions on historical experience and various judgments that we believe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our issued warrants, and fair market value of stock-based awards. Actual results and outcomes may differ from management’s estimates and assumptions and such differences may be material to our audited consolidated financial statements.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Going Concern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recorded asset amounts or the amounts and classification of liabilities that might result from the outcome of the uncertainties described below.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reporting period, in accordance with U.S. GAAP, we evaluate whether there are conditions or events that raise substantial doubt about our ability to continue as a going concern within one year after the date the financial statements are issued. In accordance with U.S. GAAP,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our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Evaluation in conjunction with the issuance of the September 30, 2024 unaudited Consolidated Financial Statements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and consumed cash flow from operations since our inception and incurred losses and consumed cash through the date of this filing in excess of our cash inflows from operations and fundraising. Due to these ongoing losses and a limited supply of remaining cash and available-for-sale securities, we have been executing a strategic plan to optimize our capital allocation and expense base since the fourth quarter of 2022, which has reduced our annual cash expenses year over year and which we expect will continue to reduce our cash expenses in 2024. As a part of those plans, we have and expect to continue to align headcount and employee-related costs to further reduce cash expenses. This expense restructuring initiative is expected to result in aggregate cash savings of approximately $13.0 million, excluding severance, over the next 12 months. We completed a reduction in force on October 28, 2024 that is expected to result in aggregate cash savings of approximately $3.4 million, excluding severance, over the next 12 months. We expect to enact additional personnel and discretionary spending cuts such as incentive compensation, marketing, professional services and administrative travel to preserve cash to fund operations.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we incurred a net loss of $63.1 million and consumed $52.6 million of cash in operations. We have historically relied on our existing cash and available-for-sale securities portfolio to fund operations. As of September 30, 2024, we had $29.0 million of available cash and cash equivalents that was not restricted or required to be held for regulatory capital (Note 13) and $6.7 million in available-for-sale securities. We do not have any long-term debt to service but have commitments under long-term cloud computing and lease contracts as described in Notes 14 and 17. We expect to continue to incur losses and consume cash for the foreseeable future. As discussed in Note 8, Opco executed a secured revolving credit facility with Intercontinental Exchange Holdings, Inc. (the “Lender”; the credit facility herein referred to as the “ICE Credit Facility”), with Bakkt and certain subsidiaries of Bakkt as guarantors, which provides the Company with a $40.0 million secured revolving line of credit that matures on December 31, 2026. The $40.0 million ICE Credit Facility is available in defined commitment amounts at specified dates in the future. We believe that our cash, short-term securities and access to the ICE Credit Facility will be sufficient to fund our operations for the next 12 months from the date of these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there were no significant changes to the recently adopted accounting pronouncements applicable to us from those disclosed in Note 2 to the consolidated financial statements included in our Form 10-K.</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Not Yet Adopted</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In November 2023, the Financial Accounting Standards Board ("FASB") issued Accounting Standards Update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expands annual and interim disclosure requirements for reportable segments, primarily through enhanced disclosures about significant segment expenses. The updated standard will be effective for our annual periods beginning in fiscal 2024 and interim periods beginning in the first quarter of fiscal 2025. Early adoption is permitted. We are currently evaluating the impact that the updated standard will have on our financial statement disclosures.</w:t>
      </w:r>
    </w:p>
    <w:p>
      <w:pPr>
        <w:pStyle w:val="TextBody"/>
        <w:bidi w:val="0"/>
        <w:spacing w:lineRule="auto" w:line="333" w:before="240" w:after="240"/>
        <w:ind w:left="0" w:right="0" w:firstLine="72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will require additional tax disclosures, predominantly related to the effective income tax rate reconciliation and income taxes paid. The updated standard will be effective for our annual periods beginning in fiscal 2025. Early adoption is permitted. We are currently evaluating the impact that the updated standard will have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3.Revenue from Contracts with Customers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revenue by service type and by platform as follows (in thousands):</w:t>
      </w:r>
    </w:p>
    <w:tbl>
      <w:tblPr>
        <w:tblW w:w="10205" w:type="dxa"/>
        <w:jc w:val="left"/>
        <w:tblInd w:w="0" w:type="dxa"/>
        <w:tblLayout w:type="fixed"/>
        <w:tblCellMar>
          <w:top w:w="28" w:type="dxa"/>
          <w:left w:w="28" w:type="dxa"/>
          <w:bottom w:w="28" w:type="dxa"/>
          <w:right w:w="28" w:type="dxa"/>
        </w:tblCellMar>
      </w:tblPr>
      <w:tblGrid>
        <w:gridCol w:w="911"/>
        <w:gridCol w:w="786"/>
        <w:gridCol w:w="759"/>
        <w:gridCol w:w="109"/>
        <w:gridCol w:w="109"/>
        <w:gridCol w:w="109"/>
        <w:gridCol w:w="299"/>
        <w:gridCol w:w="1172"/>
        <w:gridCol w:w="154"/>
        <w:gridCol w:w="109"/>
        <w:gridCol w:w="109"/>
        <w:gridCol w:w="109"/>
        <w:gridCol w:w="299"/>
        <w:gridCol w:w="1172"/>
        <w:gridCol w:w="154"/>
        <w:gridCol w:w="109"/>
        <w:gridCol w:w="109"/>
        <w:gridCol w:w="109"/>
        <w:gridCol w:w="258"/>
        <w:gridCol w:w="1195"/>
        <w:gridCol w:w="133"/>
        <w:gridCol w:w="109"/>
        <w:gridCol w:w="109"/>
        <w:gridCol w:w="109"/>
        <w:gridCol w:w="283"/>
        <w:gridCol w:w="1109"/>
        <w:gridCol w:w="213"/>
      </w:tblGrid>
      <w:tr>
        <w:trPr/>
        <w:tc>
          <w:tcPr>
            <w:tcW w:w="9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2023</w:t>
            </w:r>
          </w:p>
        </w:tc>
      </w:tr>
      <w:tr>
        <w:trPr/>
        <w:tc>
          <w:tcPr>
            <w:tcW w:w="2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548,774 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1,692,899 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565,622 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5"/>
        <w:gridCol w:w="778"/>
        <w:gridCol w:w="785"/>
        <w:gridCol w:w="109"/>
        <w:gridCol w:w="109"/>
        <w:gridCol w:w="109"/>
        <w:gridCol w:w="299"/>
        <w:gridCol w:w="1173"/>
        <w:gridCol w:w="154"/>
        <w:gridCol w:w="109"/>
        <w:gridCol w:w="109"/>
        <w:gridCol w:w="109"/>
        <w:gridCol w:w="299"/>
        <w:gridCol w:w="1173"/>
        <w:gridCol w:w="154"/>
        <w:gridCol w:w="109"/>
        <w:gridCol w:w="109"/>
        <w:gridCol w:w="109"/>
        <w:gridCol w:w="258"/>
        <w:gridCol w:w="1196"/>
        <w:gridCol w:w="133"/>
        <w:gridCol w:w="109"/>
        <w:gridCol w:w="109"/>
        <w:gridCol w:w="109"/>
        <w:gridCol w:w="283"/>
        <w:gridCol w:w="1111"/>
        <w:gridCol w:w="216"/>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2023</w:t>
            </w:r>
          </w:p>
        </w:tc>
      </w:tr>
      <w:tr>
        <w:trPr/>
        <w:tc>
          <w:tcPr>
            <w:tcW w:w="2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Loyalty redemption platform,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1,654,814 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527,526 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1,692,899 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565,622 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6" w:before="240" w:after="283"/>
        <w:ind w:left="0" w:right="0" w:firstLine="720"/>
        <w:jc w:val="both"/>
        <w:rPr/>
      </w:pPr>
      <w:r>
        <w:rPr>
          <w:rFonts w:ascii="Times New Roman;sans-serif" w:hAnsi="Times New Roman;sans-serif"/>
          <w:b w:val="false"/>
          <w:color w:val="000000"/>
          <w:sz w:val="20"/>
        </w:rPr>
        <w:t xml:space="preserve">We recognized revenue from foreign jurisdictions of $10.6 million and $35.5 million for </w:t>
      </w:r>
      <w:r>
        <w:rPr>
          <w:rFonts w:ascii="Times New Roman;sans-serif" w:hAnsi="Times New Roman;sans-serif"/>
          <w:b w:val="false"/>
          <w:color w:val="000000"/>
          <w:sz w:val="20"/>
          <w:shd w:fill="FFFFFF" w:val="clear"/>
        </w:rPr>
        <w:t>the three and nine months ended September 30, 2024, respectively, and $1.1 million and $2.8 million for the three and nine months ended September 30, 2023, respectively.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reportable segment to which our revenues relate.</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deferred revenue for amounts invoiced prior to us meeting the criteria for revenue recognition. We invoice customers for service fees at the beginning of service performance, and such fees are recognized as revenue over time as we satisfy performance obligations. Contract liabilities are classified as “Deferred revenue,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pPr>
      <w:r>
        <w:rPr>
          <w:rFonts w:ascii="Times New Roman;sans-serif" w:hAnsi="Times New Roman;sans-serif"/>
          <w:b w:val="false"/>
          <w:color w:val="000000"/>
          <w:sz w:val="20"/>
        </w:rPr>
        <w:t xml:space="preserve">and “Deferred revenue, noncurrent” in our consolidated balance sheets. The activity in deferred revenue for the nine months ended September 30, 2024 and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 respectively, was as follows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02"/>
        <w:gridCol w:w="2104"/>
        <w:gridCol w:w="2117"/>
        <w:gridCol w:w="361"/>
        <w:gridCol w:w="1055"/>
        <w:gridCol w:w="186"/>
        <w:gridCol w:w="109"/>
        <w:gridCol w:w="109"/>
        <w:gridCol w:w="109"/>
        <w:gridCol w:w="354"/>
        <w:gridCol w:w="1035"/>
        <w:gridCol w:w="264"/>
      </w:tblGrid>
      <w:tr>
        <w:trPr/>
        <w:tc>
          <w:tcPr>
            <w:tcW w:w="2402"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6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2023</w:t>
            </w:r>
          </w:p>
        </w:tc>
      </w:tr>
      <w:tr>
        <w:trPr/>
        <w:tc>
          <w:tcPr>
            <w:tcW w:w="6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contract liability</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contract liabilities included in the beginning balance</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cash received, net of amounts recognized in revenue during the period</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contract liability</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shd w:fill="FFFFFF" w:val="clear"/>
        </w:rPr>
        <w:t>As of September 30, 2024, the aggregate amount of the transaction price allocated to the remaining performance obligations related to partially completed contracts is $12.4 million, comprised of $7.8 million of subscription fees and $4.6 million of service fees that are deferred. W</w:t>
      </w:r>
      <w:r>
        <w:rPr>
          <w:rFonts w:ascii="Times New Roman;sans-serif" w:hAnsi="Times New Roman;sans-serif"/>
          <w:b w:val="false"/>
          <w:color w:val="000000"/>
          <w:sz w:val="20"/>
        </w:rPr>
        <w:t>e recognize our subscription fees as revenue over a weighted-average period of 19 months (ranges from 2 months to 24 months months) and our service fees as revenue over approximately 45 months.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aggregate amount of the transaction price allocated to the remaining performance obligations related to partially completed contracts is $20.5 million, comprised of $13.3 million of subscription fees and $7.2 million of service fees that are deferred. We recognize our subscription fees as revenue over a weighted-average period of 29 months (ranges from 1 month to 36 months) and our service fees as revenue over approximately 14 months.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shd w:fill="FFFFFF" w:val="clear"/>
        </w:rPr>
        <w:t xml:space="preserve">For the three and nine months ended September 30, 2024 and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xml:space="preserve">, we incurred no incremental costs to obtain and/or fulfill contracts with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4.Business Combination and Asset Acquisition</w:t>
      </w:r>
    </w:p>
    <w:p>
      <w:pPr>
        <w:pStyle w:val="TextBody"/>
        <w:bidi w:val="0"/>
        <w:spacing w:lineRule="auto" w:line="333" w:before="240" w:after="283"/>
        <w:jc w:val="both"/>
        <w:rPr>
          <w:rFonts w:ascii="Times New Roman;sans-serif" w:hAnsi="Times New Roman;sans-serif"/>
          <w:b/>
          <w:i/>
          <w:color w:val="131313"/>
          <w:sz w:val="20"/>
        </w:rPr>
      </w:pPr>
      <w:r>
        <w:rPr>
          <w:rFonts w:ascii="Times New Roman;sans-serif" w:hAnsi="Times New Roman;sans-serif"/>
          <w:b/>
          <w:i/>
          <w:color w:val="131313"/>
          <w:sz w:val="20"/>
        </w:rPr>
        <w:t>Bakkt Crypto</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2023 we completed the acquisition of 100% of the ownership interests of Bakkt Crypto Solutions. We recognized goodwill from the acquisition due to the assembled, experienced workforce and anticipated growth we expect to achieve from Apex Crypto’s sales pipeline and product capabilities. The total consideration as measured at April 1, 2023 included $55.0 million in cash, approximately $10.5 million in Class A Common Stock payable based on Bakkt Crypto Solutions’ performance in the fourth quarter of 2022, and $11.8 million of cash paid for net working capital, which was predominantly cash held in banks. In addition, we may pay up to $100.0 million of our Class A Common Stock as additional consideration depending on Bakkt Crypto Solutions’ achievement of certain financial targets through 2025 (the "contingent consideration"). As part of the purchase price allocation, the value of the contingent consideration was estimated to be $2.9 million.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the fair value of consideration transferred in the acquisition to the fair value of the assets acquired and liabilities assumed.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tbl>
      <w:tblPr>
        <w:tblW w:w="7202" w:type="dxa"/>
        <w:jc w:val="left"/>
        <w:tblInd w:w="0" w:type="dxa"/>
        <w:tblLayout w:type="fixed"/>
        <w:tblCellMar>
          <w:top w:w="28" w:type="dxa"/>
          <w:left w:w="28" w:type="dxa"/>
          <w:bottom w:w="28" w:type="dxa"/>
          <w:right w:w="28" w:type="dxa"/>
        </w:tblCellMar>
      </w:tblPr>
      <w:tblGrid>
        <w:gridCol w:w="2174"/>
        <w:gridCol w:w="1906"/>
        <w:gridCol w:w="1919"/>
        <w:gridCol w:w="109"/>
        <w:gridCol w:w="109"/>
        <w:gridCol w:w="109"/>
        <w:gridCol w:w="211"/>
        <w:gridCol w:w="511"/>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working capital and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at transaction close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Class A Common Stock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asset for crypto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obligation for crypto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above fair values are as of the acquisition date. The acquired intangible assets and goodwill required the use of significant unobservable inputs including partner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consideration payable in Class A Common Stock to Bakkt Crypto Solutions' former owners based on the performance of the business in the 2023 through 2025 annual periods was estimated using a Monte Carlo simulation given the range of possible outcomes. As of December 31, 2023, we determined the value of the contingent consideration was zero, based on our forward-looking projections and minimum profit requirements associated with the contingent consideration and reversed the accrual through acquisition expenses. As of September 30, 2024, we determined the value of the contingent consideration remained zero.</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presents the Company's results of operations as if the acquisition of Bakkt Crypto Solutions had occurred on January 1, 2023. The unaudited pro forma financial information as presented below is for illustrative purposes and does not purport to represent what the results of operations would actually have been if the acquisition of Bakkt Crypto Solutions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 forma revenue for the nine months ended September 30, 2023 would be $1,011.0 million. Pro forma net loss for the nine months ended September 30, 2023 would be $148.3 million.</w:t>
      </w:r>
    </w:p>
    <w:p>
      <w:pPr>
        <w:pStyle w:val="TextBody"/>
        <w:bidi w:val="0"/>
        <w:spacing w:lineRule="auto" w:line="333" w:before="240" w:after="283"/>
        <w:jc w:val="both"/>
        <w:rPr>
          <w:rFonts w:ascii="Times New Roman;sans-serif" w:hAnsi="Times New Roman;sans-serif"/>
          <w:b/>
          <w:i/>
          <w:color w:val="131313"/>
          <w:sz w:val="20"/>
        </w:rPr>
      </w:pPr>
      <w:r>
        <w:rPr>
          <w:rFonts w:ascii="Times New Roman;sans-serif" w:hAnsi="Times New Roman;sans-serif"/>
          <w:b/>
          <w:i/>
          <w:color w:val="131313"/>
          <w:sz w:val="20"/>
        </w:rPr>
        <w:t>Bumped Acquisition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8, 2023, we acquired 100% of the units of Bumped Financial, LLC, which we subsequently renamed Bakkt Brokerage, LLC ("Bakkt Brokerage"), a broker-dealer registered with the SEC and the Financial Industry Regulatory Authority, Inc., for cash consideration of $0.6 million. Because of the limited scope of its historical operations, we determined that substantially all of the purchase consideration in the transaction would be allocated to the in-place licenses Bakkt Brokerage held and, as such, have accounted for this transaction as an asset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5.Goodwill and Intangible Assets, Net</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goodwill consisted of the following (in thousands):</w:t>
      </w:r>
    </w:p>
    <w:tbl>
      <w:tblPr>
        <w:tblW w:w="10027" w:type="dxa"/>
        <w:jc w:val="left"/>
        <w:tblInd w:w="0" w:type="dxa"/>
        <w:tblLayout w:type="fixed"/>
        <w:tblCellMar>
          <w:top w:w="28" w:type="dxa"/>
          <w:left w:w="28" w:type="dxa"/>
          <w:bottom w:w="28" w:type="dxa"/>
          <w:right w:w="28" w:type="dxa"/>
        </w:tblCellMar>
      </w:tblPr>
      <w:tblGrid>
        <w:gridCol w:w="1038"/>
        <w:gridCol w:w="910"/>
        <w:gridCol w:w="917"/>
        <w:gridCol w:w="324"/>
        <w:gridCol w:w="1503"/>
        <w:gridCol w:w="167"/>
        <w:gridCol w:w="109"/>
        <w:gridCol w:w="109"/>
        <w:gridCol w:w="109"/>
        <w:gridCol w:w="408"/>
        <w:gridCol w:w="2036"/>
        <w:gridCol w:w="211"/>
        <w:gridCol w:w="109"/>
        <w:gridCol w:w="109"/>
        <w:gridCol w:w="109"/>
        <w:gridCol w:w="361"/>
        <w:gridCol w:w="1235"/>
        <w:gridCol w:w="2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Impairment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1,579,265 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(1,511,264)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68,001 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did not identify any indicators of impairment during the three months ended September 30, 2024. During the three months ended March 31, 2024, we identified a triggering event related to the significant decline in our stock price, indicating a potential impairment of our goodwill. We determined no goodwill impairment charge was required based on a comparison of our market capitalization against the carrying value of our equity.</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651"/>
        <w:gridCol w:w="571"/>
        <w:gridCol w:w="575"/>
        <w:gridCol w:w="812"/>
        <w:gridCol w:w="791"/>
        <w:gridCol w:w="794"/>
        <w:gridCol w:w="109"/>
        <w:gridCol w:w="109"/>
        <w:gridCol w:w="109"/>
        <w:gridCol w:w="368"/>
        <w:gridCol w:w="1076"/>
        <w:gridCol w:w="190"/>
        <w:gridCol w:w="109"/>
        <w:gridCol w:w="109"/>
        <w:gridCol w:w="109"/>
        <w:gridCol w:w="531"/>
        <w:gridCol w:w="1021"/>
        <w:gridCol w:w="275"/>
        <w:gridCol w:w="109"/>
        <w:gridCol w:w="109"/>
        <w:gridCol w:w="109"/>
        <w:gridCol w:w="335"/>
        <w:gridCol w:w="981"/>
        <w:gridCol w:w="253"/>
      </w:tblGrid>
      <w:tr>
        <w:trPr/>
        <w:tc>
          <w:tcPr>
            <w:tcW w:w="6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 trade names</w:t>
            </w:r>
          </w:p>
        </w:tc>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4"/>
        <w:gridCol w:w="487"/>
        <w:gridCol w:w="491"/>
        <w:gridCol w:w="640"/>
        <w:gridCol w:w="605"/>
        <w:gridCol w:w="607"/>
        <w:gridCol w:w="109"/>
        <w:gridCol w:w="109"/>
        <w:gridCol w:w="109"/>
        <w:gridCol w:w="292"/>
        <w:gridCol w:w="999"/>
        <w:gridCol w:w="150"/>
        <w:gridCol w:w="109"/>
        <w:gridCol w:w="109"/>
        <w:gridCol w:w="109"/>
        <w:gridCol w:w="311"/>
        <w:gridCol w:w="1099"/>
        <w:gridCol w:w="163"/>
        <w:gridCol w:w="109"/>
        <w:gridCol w:w="109"/>
        <w:gridCol w:w="109"/>
        <w:gridCol w:w="211"/>
        <w:gridCol w:w="761"/>
        <w:gridCol w:w="109"/>
        <w:gridCol w:w="109"/>
        <w:gridCol w:w="109"/>
        <w:gridCol w:w="109"/>
        <w:gridCol w:w="290"/>
        <w:gridCol w:w="848"/>
        <w:gridCol w:w="220"/>
      </w:tblGrid>
      <w:tr>
        <w:trPr/>
        <w:tc>
          <w:tcPr>
            <w:tcW w:w="61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 trade names</w:t>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record any amortization of intangible assets for the three and nine months ended September 30, 2024 as our finite-lived intangible assets have been fully impaired. Amortization of intangible assets for the three and nine months ended September 30, 2023 was $2.6 million and $7.2 million, respectively, and is included in “Depreciation and amortization” in the consolidated statements of operations.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for definite-lived intangible assets as of September 30, 2024 was zero as our finite-lived intangible assets had been fully impaired.</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account for crypto we own as indefinite-lived intangible assets and initially measure such crypto at cost (under a first-in, first-out basis) under the guidance in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xml:space="preserve">. These assets are not amortized, but assessed for impairment given the volatility of markets for these assets. Impairment exists when the carrying amount exceeds its fair value. The fair value of crypto is determined as the lowest price of executed transactions during the measurement or holding period using the quoted price of the crypto in our principal market. The carrying amount of a crypto asset after its impairment becomes its new cost basis. Impairment losses are not reversible or recoverable and are included in “Crypto costs” in the consolidated statements of operations. Impairment losses were not material for the three and nine months ended September 30, 2024 and September 30, 2023, respectively. Our owned crypto is typically liquidated on a daily basis during the fulfillment of customer orders and settlement with our liquidity providers. Our owned crypto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was not material as of September 30, 2024 and December 31, 2023 and is included within "Other assets" in the consolidated balance sheets. We classify cash flows from crypto within cash flows from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6.Consolidated Balance Sheet Components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(in thousands):</w:t>
      </w:r>
    </w:p>
    <w:tbl>
      <w:tblPr>
        <w:tblW w:w="8681" w:type="dxa"/>
        <w:jc w:val="left"/>
        <w:tblInd w:w="0" w:type="dxa"/>
        <w:tblLayout w:type="fixed"/>
        <w:tblCellMar>
          <w:top w:w="28" w:type="dxa"/>
          <w:left w:w="28" w:type="dxa"/>
          <w:bottom w:w="28" w:type="dxa"/>
          <w:right w:w="28" w:type="dxa"/>
        </w:tblCellMar>
      </w:tblPr>
      <w:tblGrid>
        <w:gridCol w:w="1744"/>
        <w:gridCol w:w="1532"/>
        <w:gridCol w:w="1539"/>
        <w:gridCol w:w="358"/>
        <w:gridCol w:w="1226"/>
        <w:gridCol w:w="185"/>
        <w:gridCol w:w="109"/>
        <w:gridCol w:w="109"/>
        <w:gridCol w:w="109"/>
        <w:gridCol w:w="344"/>
        <w:gridCol w:w="1175"/>
        <w:gridCol w:w="251"/>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customers, clients and liquidity partners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w:t>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Other Current Assets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(in thousands):</w:t>
      </w:r>
    </w:p>
    <w:tbl>
      <w:tblPr>
        <w:tblW w:w="5380" w:type="dxa"/>
        <w:jc w:val="left"/>
        <w:tblInd w:w="0" w:type="dxa"/>
        <w:tblLayout w:type="fixed"/>
        <w:tblCellMar>
          <w:top w:w="28" w:type="dxa"/>
          <w:left w:w="28" w:type="dxa"/>
          <w:bottom w:w="28" w:type="dxa"/>
          <w:right w:w="28" w:type="dxa"/>
        </w:tblCellMar>
      </w:tblPr>
      <w:tblGrid>
        <w:gridCol w:w="549"/>
        <w:gridCol w:w="481"/>
        <w:gridCol w:w="485"/>
        <w:gridCol w:w="397"/>
        <w:gridCol w:w="1165"/>
        <w:gridCol w:w="207"/>
        <w:gridCol w:w="109"/>
        <w:gridCol w:w="109"/>
        <w:gridCol w:w="109"/>
        <w:gridCol w:w="380"/>
        <w:gridCol w:w="1110"/>
        <w:gridCol w:w="27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(in thousands):</w:t>
      </w:r>
    </w:p>
    <w:tbl>
      <w:tblPr>
        <w:tblW w:w="7976" w:type="dxa"/>
        <w:jc w:val="left"/>
        <w:tblInd w:w="0" w:type="dxa"/>
        <w:tblLayout w:type="fixed"/>
        <w:tblCellMar>
          <w:top w:w="28" w:type="dxa"/>
          <w:left w:w="28" w:type="dxa"/>
          <w:bottom w:w="28" w:type="dxa"/>
          <w:right w:w="28" w:type="dxa"/>
        </w:tblCellMar>
      </w:tblPr>
      <w:tblGrid>
        <w:gridCol w:w="1487"/>
        <w:gridCol w:w="1308"/>
        <w:gridCol w:w="1315"/>
        <w:gridCol w:w="397"/>
        <w:gridCol w:w="1165"/>
        <w:gridCol w:w="207"/>
        <w:gridCol w:w="109"/>
        <w:gridCol w:w="109"/>
        <w:gridCol w:w="109"/>
        <w:gridCol w:w="484"/>
        <w:gridCol w:w="931"/>
        <w:gridCol w:w="355"/>
      </w:tblGrid>
      <w:tr>
        <w:trPr/>
        <w:tc>
          <w:tcPr>
            <w:tcW w:w="148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computer and network equipment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gross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 and depreciation</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depreciation and amortization expense related to property, equipment and software amounted to $0.1 million and $0.3 million, respectively, of which $0.1 million and $0.2 million, respectively, related to amortization expense of capitalized internal-use software placed in service. For the three and nine months ended September 30, 2024, impairment on long-lived assets related to Bakkt Trust was $0.6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depreciation and amortization expense related to property, equipment and software amounted to $1.4 million and $3.7 million, respectively, of which $0.5 million and $1.2 million, respectively, related to amortization expense of capitalized internal-use software placed in service.</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6746" w:type="dxa"/>
        <w:jc w:val="left"/>
        <w:tblInd w:w="0" w:type="dxa"/>
        <w:tblLayout w:type="fixed"/>
        <w:tblCellMar>
          <w:top w:w="28" w:type="dxa"/>
          <w:left w:w="28" w:type="dxa"/>
          <w:bottom w:w="28" w:type="dxa"/>
          <w:right w:w="28" w:type="dxa"/>
        </w:tblCellMar>
      </w:tblPr>
      <w:tblGrid>
        <w:gridCol w:w="1043"/>
        <w:gridCol w:w="916"/>
        <w:gridCol w:w="921"/>
        <w:gridCol w:w="358"/>
        <w:gridCol w:w="1226"/>
        <w:gridCol w:w="185"/>
        <w:gridCol w:w="109"/>
        <w:gridCol w:w="109"/>
        <w:gridCol w:w="109"/>
        <w:gridCol w:w="344"/>
        <w:gridCol w:w="1175"/>
        <w:gridCol w:w="25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with clearinghouse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Payable and Accrued Liabilities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consisted of the following (in thousands):</w:t>
      </w:r>
    </w:p>
    <w:tbl>
      <w:tblPr>
        <w:tblW w:w="6701" w:type="dxa"/>
        <w:jc w:val="left"/>
        <w:tblInd w:w="0" w:type="dxa"/>
        <w:tblLayout w:type="fixed"/>
        <w:tblCellMar>
          <w:top w:w="28" w:type="dxa"/>
          <w:left w:w="28" w:type="dxa"/>
          <w:bottom w:w="28" w:type="dxa"/>
          <w:right w:w="28" w:type="dxa"/>
        </w:tblCellMar>
      </w:tblPr>
      <w:tblGrid>
        <w:gridCol w:w="1027"/>
        <w:gridCol w:w="902"/>
        <w:gridCol w:w="906"/>
        <w:gridCol w:w="358"/>
        <w:gridCol w:w="1226"/>
        <w:gridCol w:w="185"/>
        <w:gridCol w:w="109"/>
        <w:gridCol w:w="109"/>
        <w:gridCol w:w="109"/>
        <w:gridCol w:w="344"/>
        <w:gridCol w:w="1175"/>
        <w:gridCol w:w="25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clients and customers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Purchasing card payable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 payable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Loyalty revenue share liability</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(in thousands):</w:t>
      </w:r>
    </w:p>
    <w:tbl>
      <w:tblPr>
        <w:tblW w:w="7645" w:type="dxa"/>
        <w:jc w:val="left"/>
        <w:tblInd w:w="0" w:type="dxa"/>
        <w:tblLayout w:type="fixed"/>
        <w:tblCellMar>
          <w:top w:w="28" w:type="dxa"/>
          <w:left w:w="28" w:type="dxa"/>
          <w:bottom w:w="28" w:type="dxa"/>
          <w:right w:w="28" w:type="dxa"/>
        </w:tblCellMar>
      </w:tblPr>
      <w:tblGrid>
        <w:gridCol w:w="1368"/>
        <w:gridCol w:w="1202"/>
        <w:gridCol w:w="1210"/>
        <w:gridCol w:w="397"/>
        <w:gridCol w:w="1165"/>
        <w:gridCol w:w="207"/>
        <w:gridCol w:w="109"/>
        <w:gridCol w:w="109"/>
        <w:gridCol w:w="109"/>
        <w:gridCol w:w="380"/>
        <w:gridCol w:w="1110"/>
        <w:gridCol w:w="279"/>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 liability</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Noncurrent Liabilities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consisted of the following (in thousands):</w:t>
      </w:r>
    </w:p>
    <w:tbl>
      <w:tblPr>
        <w:tblW w:w="6926" w:type="dxa"/>
        <w:jc w:val="left"/>
        <w:tblInd w:w="0" w:type="dxa"/>
        <w:tblLayout w:type="fixed"/>
        <w:tblCellMar>
          <w:top w:w="28" w:type="dxa"/>
          <w:left w:w="28" w:type="dxa"/>
          <w:bottom w:w="28" w:type="dxa"/>
          <w:right w:w="28" w:type="dxa"/>
        </w:tblCellMar>
      </w:tblPr>
      <w:tblGrid>
        <w:gridCol w:w="1108"/>
        <w:gridCol w:w="973"/>
        <w:gridCol w:w="979"/>
        <w:gridCol w:w="358"/>
        <w:gridCol w:w="1226"/>
        <w:gridCol w:w="185"/>
        <w:gridCol w:w="109"/>
        <w:gridCol w:w="109"/>
        <w:gridCol w:w="109"/>
        <w:gridCol w:w="344"/>
        <w:gridCol w:w="1175"/>
        <w:gridCol w:w="251"/>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receivable and payable as of September 30, 2024 included in the tables above related to our crypto transactions pending settlement with our customers and liquidity providers were settled in October 2024 in amounts consistent with those reflected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7.Tax Receivable Agreement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September 30, 2024, 1,043,210 Opco Common Units had been exchanged for Class A Common Stock. Refer to Note 14 regarding the contingency related to the TRA.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8.Related Parties</w:t>
      </w:r>
    </w:p>
    <w:p>
      <w:pPr>
        <w:pStyle w:val="TextBody"/>
        <w:bidi w:val="0"/>
        <w:spacing w:lineRule="auto" w:line="333"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ICE Credit Facility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2024, Bakkt and Opco entered into the ICE Credit Facility, with certain subsidiaries of Bakkt party thereto from time to time, as guarantors, whereby the Lender agreed to provide for a $40.0 million secured revolving line of credit to us for working capital and general corporate purposes. Any borrowings under the facility made prior to December 31, 2024 require the consent of the Lender in its sole discretion. For the period beginning December 31, 2024 through March 30, 2025, Opco can borrow up to an aggregate principal amount (excluding any capitalized interest) of $10.0 million. For the period beginning March 31 through June 29, 2025, Opco can borrow up to an aggregate principal amount (excluding any capitalized interest) of $20.0 million. From the period beginning June 30 through September 29, 2025, Opco can borrow up to an aggregate principal amount (excluding any capitalized interest) of $30.0 million. On or after September 30, 2025, Opco can borrow up to an aggregate principal amount (excluding any capitalized interest) of $40.0 million. As of September 30, 2024, no loans were outstanding under the ICE Credit Facility.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under the ICE Credit Facility do not amortize and mature on December 31, 2026. Borrowings under the ICE Credit Facility accrue interest at a rate equal to, at Opco’s election, either the secured overnight financing rate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 Under certain circumstances, a default interest rate will apply on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during the existence of an event of default under the ICE Credit Facility at a per annum rate equal to 2% above the otherwise applicable interest rate.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Opco will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ICE Credit Facility contains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contains various customary events of default that include,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ICE Credit Facility are required to be guaranteed by Bakkt and certain material domestic subsidiaries of the Company and secured by substantially all of the personal property of the Company and such subsidiary guarantors.</w:t>
      </w:r>
    </w:p>
    <w:p>
      <w:pPr>
        <w:pStyle w:val="TextBody"/>
        <w:bidi w:val="0"/>
        <w:spacing w:lineRule="auto" w:line="333"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Bakkt Crypto Solutions Technical Support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 of Bakkt Crypto Solutions, we entered into a Transition Services Agreement (the “Apex TSA”) with Apex Fintech Solutions, Inc. ("AFS"), pursuant to which AFS provides technical support and other transition-related services in exchange for quarterly service fees payable by us. We recognized approximately $0.2 million and $0.5 million of expense related to the Apex TSA for the three and nine months ended September 30, 2024, respectively, which are reflected as “Related party expenses” in the consolidated statements of operations. We recognized $0.4 million and $0.9 million, respectively of expense related to the Apex TSA for the three and nine months ended September 30, 2023 which is reflected as “Related party expenses” in the consolidated statements of operations. As of September 30, 2024 and December 31, 2023, we had approximately $0.2 million and $0.2 million, respectively, reflected as “Due to related party” in the consolidated balance sheets related to the Apex TSA.</w:t>
      </w:r>
    </w:p>
    <w:p>
      <w:pPr>
        <w:pStyle w:val="TextBody"/>
        <w:bidi w:val="0"/>
        <w:spacing w:lineRule="auto" w:line="333"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ICE Management and Technical Support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VIH Business Combination, we entered into a Transition Services Agreement (the “ICE TSA”) with ICE, pursuant to which ICE provided insurance, digital warehouse, data center, technical support, and other transition-related services in exchange for quarterly service fees payable by us. We did not recognize any expense related to the ICE TSA for the three and nine months ended September 30, 2024, respectively. We recognized $0.6 million and $2.2 million of expense related to the ICE TSA for the three and nine months ended September 30, 2023, respectively, which is reflected as “Related party expenses” in the consolidated statements of operations. As of September 30, 2024 and December 31, 2023, we had $2.2 million and $3.0 million, respectively, reflected as “Due to related party” in the consolidated balance sheets related to the ICE TSA. The agreement terminated in December 2023.</w:t>
      </w:r>
    </w:p>
    <w:p>
      <w:pPr>
        <w:pStyle w:val="TextBody"/>
        <w:bidi w:val="0"/>
        <w:spacing w:lineRule="auto" w:line="333"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Triparty Agreement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Digital Currency Trading, Clearing, and Warehouse Services Agreement ("Triparty Agreement") provided for ICE Futures U.S., Inc. ("IFUS") to list for trading one or more digital currency futures and/or options contracts, and for ICE Clear US, Inc. ("ICUS") to serve as the clearing house to provide central counterparty and ancillary services for such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2023 and September 28, 2023 respectively. No material revenues associated with the Triparty Agreement were recognized during the three and nine months ended September 30, 2023, respectively. Effective October 2, 2023, the parties terminated the Triparty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9.Warrants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there were 7,140,508 public warrants outstanding. Public warrants may only be exercised for a whole number of shares. No fractional shares will be issued upon exercise of the public warrant. Holders of public warrants are entitled to purchase one share of Class A Common Stock for every 25 public warrants. The exercise price associated with such warrants is equivalent to $287.50 per share of Class A Common Stock.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we received zero and less than $0.1 million, respectively, in proceeds from the exercise of the public warrants. During the three and nine months ended September 30, 2023, we did not receive any proceeds from the exercise of the public warrants. We recognized a gain from the change in fair value of the warrant liability during the three and nine months ended September 30, 2024 of $20.0 million and $13.9 million, respectively. We recognized a gain from the change in fair value of the warrant liability during the three months ended September 30, 2023 of $0.2 million and a loss during the nine months ended September 30, 2023 of $0.9 million.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Concurrent Offerings (Note 10), we issued and sold to the Third-Party Purchasers (as defined below)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under the terms of the ICE Offering we entered into a securities purchase agreement (the “ICE Purchase Agreement” and, together with the Third-Party Purchase Agreement, the “Purchase Agreements”)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consummation of the transactions contemplated by the ICE Purchase Agreement occurred on March 4, 2024 and April 25, 2024.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1 and Class 2 Warrants have an exercise price of $25.50 and have a five-and-a-half year term. The Class 1 and Class 2 Warrants may be exercised at any time after the 6 month anniversary of the relevant closing. The Class 2 warrant agreement contains an alternative exercise clause that entitles the holder to exchange two warrants for a share of stock if certain conditions are met. The Class 1 and Class 2 Warrants issued in the Concurrent Offerings are initially recorded as a liability at fair value and reflected as “Warrant liability” in the consolidated balance sheets.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issued on April 25, 2024 were valued at $2.6 million using the Black-Scholes-Merton model for Class 1 Warrants and a binomial lattice model for the Class 2 Warrants. Prior to the second quarter of 2024, we used a Monte Carlo simulation to measure the fair value of the Class 2 Warrants. During the second quarter of 2024, we adopted a binomial lattice model as our valuation technique as we believe it provides a more accurate and relevant measure of the fair value of the Class 2 Warrants. The Class 1 Warrants and Class 2 Warrants issued on March 4, 2024 were valued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$27.7 million using the Black-Scholes-Merton model for Class 1 Warrants and a Monte Carlo simulation for the Class 2 Warrants.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Class 2 warrants exercisable for 288,350 shares of Class A Common Stock were exercised under an alternate cashless exercise, resulting in us issuing 144,175 shares of Class A Common Stock. As of September 30, 2024, all Class 1 Warrants and Class 2 Warrants exercisable for 865,050 shares of Class A Common Stock remain outstanding. During the three months ended March 31, 2024, holders exercised all of the Pre-Funded Warrants. The proceeds received from the exercise of Pre-Funded Warrants were immaterial. We recognized a gain from the change in fair value of the warrant liability associated with the Class 1 and Class 2 Warrants during the three and nine months ended September 30, 2024 of $19.4 million and $15.2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10.Stockholders’ Equity</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2024 Registered Direct Offering</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29, 2024, we entered into a securities purchase agreement with certain institutional investors (the “Third-Party Purchasers”), pursuant to which we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we entered into a securities purchase agreement with ICE (a related party), pursuant to which we agreed to sell and issue a combination of Class A Common Stock, Class 1 Warrants and Class 2 Warrants. We raised net proceeds from the Third-Party Offering of approximately $37.6 million, after deducting the placement agent’s fees and offering expenses payable by us, and raised net proceeds from the ICE Offering of approximately $9.8 million, after deducting offering expenses payable by us. Approximately $2.4 million of proceeds from the ICE Offering were received concurrently with the closing of the Third-Party Offering, with the remaining $7.4 million received in a subsequent closing of the ICE Offering on April 25, 2024 after we obtained stockholder approval for such issuance. We intend to use the net proceeds from the Concurrent Offerings for working capital and other general corporate purposes.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September 30, 2024, no shares of preferred stock have been issued.</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authorized to issue 30,000,000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September 30, 2024 and December 31, 2023, there were 6,465,776 and 3,793,837 shares of Class A Common Stock issued and outstanding, respectively. </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September 30, 2024, no dividends have been declared.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Class V Common Stock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10,000,000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to exchange their Paired Interests for Class A Common Stock, or, at our election, cash in lieu thereof. During the three and nine months ended September 30, 2024, holders of Paired Interests exchanged zero and 5,123 Paired Interests for our Class A Common Stock, respectively, and we did not elect to settle any such exchanges in cash. As of September 30, 2024 and December 31, 2023, there were 7,194,941 and 7,200,064 shares of Class V Common Stock issued and outstanding, respectively.</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will not be declared or paid on the Class V Common Stock. </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V Common Stock shall not be entitled to receive any of our assets.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Noncontrolling Interest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ownership interest in Opco as of September 30, 2024 and 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30"/>
        <w:gridCol w:w="1364"/>
        <w:gridCol w:w="1374"/>
        <w:gridCol w:w="540"/>
        <w:gridCol w:w="541"/>
        <w:gridCol w:w="429"/>
        <w:gridCol w:w="271"/>
        <w:gridCol w:w="271"/>
        <w:gridCol w:w="676"/>
        <w:gridCol w:w="109"/>
        <w:gridCol w:w="109"/>
        <w:gridCol w:w="109"/>
        <w:gridCol w:w="540"/>
        <w:gridCol w:w="541"/>
        <w:gridCol w:w="429"/>
        <w:gridCol w:w="261"/>
        <w:gridCol w:w="257"/>
        <w:gridCol w:w="754"/>
      </w:tblGrid>
      <w:tr>
        <w:trPr/>
        <w:tc>
          <w:tcPr>
            <w:tcW w:w="163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Opco </w:t>
              <w:br/>
              <w:t>Common Units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Opco </w:t>
              <w:br/>
              <w:t>Common Units</w:t>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common units held by Bakkt Holdings, Inc.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6,465,776 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3,793,837 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common units held by noncontrolling interest holders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7,194,941 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7,200,064 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Opco common units outstanding</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13,660,717 </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10,993,901 </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three and nine months ended September 30, 2024 was 53.1% and 56.1%,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Members’ Equity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VIH Business Combination, Opco had three classes of voting units – Class A, Class B and Class C voting units – and incentive units granted under the Opco Incentive Equity Plan (the “Opco Plan”).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VIH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The Class C Warrants expired on September 23, 2024. As of September 30, 2024, 172,055 Class C Warrants vested but expired unexercised, and the remaining 621,297 Class C Warrants did not vest and expired. No expenses were recorded during the three and nine months ended September 30, 2024 and September 30, 2023, since the service conditions were not probable of being met in those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11.Share-Based and Unit-Based Compensation</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2021 Incentive Plan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2021 Omnibus Incentive Plan, as amended (the “2021 Incentive Plan”), became effective on the Closing Date with the approval of VIH’s shareholders and our Board of Directors (the "Board"). The 2021 Incentive Plan allows us to make equity and equity-based incentive awards to employees, non-employee directors and consultants. As of December 31, 2023, there were 2,096,295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May 31, 2024, the 2021 Incentive Plan was amended to increase by 938,625 shares the number of authorized shares of Class A Common Stock available for issuance for a new aggregate total of 3,034,920 shares authorized. No award may vest earlier than the first anniversary of the date of grant, subject to limited exceptions. </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we granted 15,756 and 1,044,308 RSUs, respectively, to employees and directors. During the three and nine months ended September 30, 2024, we granted 221,065 PSUs. During the three and nine months ended September 30, 2023, we granted 3,713 and 311,323 RSUs, respectively, to employees and directors. During the three and nine months ended September 30, 2023, we granted zero and 26,945, respectively, PSUs to employees and directors.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$2.4 million and $12.5 million of share-based compensation expense related to RSUs during the three and nine months ended September 30, 2024, respectively. We recorded $2.7 million and $12.1 million of share-based compensation expense related to RSUs during the three and nine months ended September 30, 2023, respectively. We recorded $0.2 million and $0.5 million of share-based compensation expense related to PSUs during the three and nine months ended September 30, 2024, respectively. We recorded $0.3 million and $2.2 million of share-based compensation expense related to PSUs during the three and nine months ended September 30, 2023, respectively. Share-based compensation expense for both RSUs and PSUs, except for share-based compensation expense related to the Company's restructuring efforts discussed below, is included in “Compensation and benefits” in the consolidated statements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as of September 30, 2024 and December 31, 2023 was $11.8 million and $14.3 million, respectively, for the RSUs and PSUs. The unrecognized compensation expense as of September 30, 2024 and December 31, 2023 will be recognized over a weighted-average period of 1.59 years and 1.38 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RSU and PSU Activity</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RSU and PSU activity under the 2021 Incentive Plan for the nine months ended September 30, 2024 and September 30, 2023 (in thousands, except per unit data):</w:t>
      </w:r>
    </w:p>
    <w:tbl>
      <w:tblPr>
        <w:tblW w:w="10205" w:type="dxa"/>
        <w:jc w:val="left"/>
        <w:tblInd w:w="0" w:type="dxa"/>
        <w:tblLayout w:type="fixed"/>
        <w:tblCellMar>
          <w:top w:w="28" w:type="dxa"/>
          <w:left w:w="28" w:type="dxa"/>
          <w:bottom w:w="28" w:type="dxa"/>
          <w:right w:w="28" w:type="dxa"/>
        </w:tblCellMar>
      </w:tblPr>
      <w:tblGrid>
        <w:gridCol w:w="743"/>
        <w:gridCol w:w="640"/>
        <w:gridCol w:w="484"/>
        <w:gridCol w:w="503"/>
        <w:gridCol w:w="448"/>
        <w:gridCol w:w="449"/>
        <w:gridCol w:w="109"/>
        <w:gridCol w:w="109"/>
        <w:gridCol w:w="109"/>
        <w:gridCol w:w="819"/>
        <w:gridCol w:w="819"/>
        <w:gridCol w:w="821"/>
        <w:gridCol w:w="109"/>
        <w:gridCol w:w="109"/>
        <w:gridCol w:w="109"/>
        <w:gridCol w:w="397"/>
        <w:gridCol w:w="1359"/>
        <w:gridCol w:w="205"/>
        <w:gridCol w:w="109"/>
        <w:gridCol w:w="109"/>
        <w:gridCol w:w="109"/>
        <w:gridCol w:w="297"/>
        <w:gridCol w:w="1017"/>
        <w:gridCol w:w="223"/>
      </w:tblGrid>
      <w:tr>
        <w:trPr/>
        <w:tc>
          <w:tcPr>
            <w:tcW w:w="74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RSUs and PSUs</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 and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2023</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2024</w:t>
            </w:r>
          </w:p>
        </w:tc>
        <w:tc>
          <w:tcPr>
            <w:tcW w:w="9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we recorded zero and $4.9 million, respectively, of share-based compensation expense related to the accelerated vesting of awards for certain employees, primarily related to the termination of a former executive. Acceleration of share-based compensation expense related to our restructuring efforts is included in “Restructuring expenses” in the consolidated statements of operations. We also recorded reversal of share-based compensation expense of $0.4 million and $0.8 million during the three and nine months ended September 30, 2024, respectively, for forfeitures related to the termination of employees. Reversal of share-based compensation expense related to the Company's restructuring efforts is included in “Restructuring expenses” in the consolidated statements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fair value of vested RSU and PSU awards was $0.3 million and $6.8 million for the three and nine months ended September 30, 2024, respectively. Total fair value of vested RSU and PSU awards was $0.1 million and $8.5 million for the three and nine months ended September 30, 2023, respectively.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RSUs and PSUs used in determining share-based compensation expense is based on the closing price of our common stock on the grant date.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PSUs provide an opportunity for the recipient to receive a number of shares of our Class A Common Stock based on various performance metrics. Upon vesting, each performance stock unit equals one share of Class A Common Stock of the Company. We accrue compensation expense for the PSUs based on our assessment of the probable outcome of the performance conditions. The metrics for PSUs granted during 2022 relate to our performance during fiscal years 2022, 2023 and 2024, as measured against objective performance goals approved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 The metrics for PSUs granted during 2024 relate to our performance during fiscal year 2024, as measured against objective performance goals approved by the Board. The actual number of units earned may range from 0% to 150% or 200% of the target number of units depending on the metric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depending upon achievement of the 2024 performance goals. PSUs granted in 2024 vest in two equal annual installments from 2025 to 2026.</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Opco Plan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Class A Common Stock upon the occurrence of certain events following vesting of the participation units. Refer to Note 11 to our consolidated financial statements included in our Form 10-K where the modifications to the Opco Plan are described in detail.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VIH Business Combination, the 76,475,000 outstanding preferred incentive units and 23,219,745 outstanding common incentive units were converted into 698,934 common incentive units, and the 10,811,502 outstanding participation units were converted into 1,197,250 participation units. Opco preferred incentive units and common incentive units outstanding prior to the VIH Business Combination, as well as participation units, were not impacted by the Reverse Stock Split discussed in Note 2, therefore these amounts are presented without consideration of the Reverse Stock Split Ratio. Contemporaneously with the conversion, approximately one-third of the awards in the Opco Plan vested. The second tranche vested on the one-year anniversary of the Closing Date and the third tranche vested on the two-year anniversary of the Closing Date, although under the terms of the Opco Plan, employees who were terminated without cause after the Closing Date would vest in the unvested portion of their awards immediately upon their termination date. There has not been, and will not be, any additional awards made under the Opco Plan following the VIH Business Combination.</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Unit-Based Compensation Expense</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Unit-based compensation expense for the three and nine months ended September 30, 2023 was as follows (in thousands):</w:t>
      </w:r>
    </w:p>
    <w:tbl>
      <w:tblPr>
        <w:tblW w:w="5847" w:type="dxa"/>
        <w:jc w:val="left"/>
        <w:tblInd w:w="0" w:type="dxa"/>
        <w:tblLayout w:type="fixed"/>
        <w:tblCellMar>
          <w:top w:w="28" w:type="dxa"/>
          <w:left w:w="28" w:type="dxa"/>
          <w:bottom w:w="28" w:type="dxa"/>
          <w:right w:w="28" w:type="dxa"/>
        </w:tblCellMar>
      </w:tblPr>
      <w:tblGrid>
        <w:gridCol w:w="743"/>
        <w:gridCol w:w="654"/>
        <w:gridCol w:w="658"/>
        <w:gridCol w:w="469"/>
        <w:gridCol w:w="1039"/>
        <w:gridCol w:w="247"/>
        <w:gridCol w:w="109"/>
        <w:gridCol w:w="109"/>
        <w:gridCol w:w="109"/>
        <w:gridCol w:w="368"/>
        <w:gridCol w:w="1074"/>
        <w:gridCol w:w="268"/>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Type of unit</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2023</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incentive unit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w:t>
            </w:r>
          </w:p>
        </w:tc>
        <w:tc>
          <w:tcPr>
            <w:tcW w:w="1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all Common Incentive Units and Participation Units had vested or been forfeited and there was no unrecognized unit-based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Incentive Unit Activity</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common incentive unit activity under the Opco Plan for the nine months ended September 30, 2024 (in thousands, except per unit data):</w:t>
      </w:r>
    </w:p>
    <w:tbl>
      <w:tblPr>
        <w:tblW w:w="10205" w:type="dxa"/>
        <w:jc w:val="left"/>
        <w:tblInd w:w="0" w:type="dxa"/>
        <w:tblLayout w:type="fixed"/>
        <w:tblCellMar>
          <w:top w:w="28" w:type="dxa"/>
          <w:left w:w="28" w:type="dxa"/>
          <w:bottom w:w="28" w:type="dxa"/>
          <w:right w:w="28" w:type="dxa"/>
        </w:tblCellMar>
      </w:tblPr>
      <w:tblGrid>
        <w:gridCol w:w="804"/>
        <w:gridCol w:w="591"/>
        <w:gridCol w:w="594"/>
        <w:gridCol w:w="605"/>
        <w:gridCol w:w="605"/>
        <w:gridCol w:w="607"/>
        <w:gridCol w:w="892"/>
        <w:gridCol w:w="892"/>
        <w:gridCol w:w="894"/>
        <w:gridCol w:w="428"/>
        <w:gridCol w:w="1463"/>
        <w:gridCol w:w="221"/>
        <w:gridCol w:w="311"/>
        <w:gridCol w:w="1066"/>
        <w:gridCol w:w="232"/>
      </w:tblGrid>
      <w:tr>
        <w:trPr/>
        <w:tc>
          <w:tcPr>
            <w:tcW w:w="8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Incentive Units</w:t>
            </w:r>
          </w:p>
        </w:tc>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Common Incentive Units</w:t>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Exchanged</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2024</w:t>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4"/>
        <w:gridCol w:w="591"/>
        <w:gridCol w:w="594"/>
        <w:gridCol w:w="605"/>
        <w:gridCol w:w="605"/>
        <w:gridCol w:w="607"/>
        <w:gridCol w:w="892"/>
        <w:gridCol w:w="892"/>
        <w:gridCol w:w="894"/>
        <w:gridCol w:w="428"/>
        <w:gridCol w:w="1463"/>
        <w:gridCol w:w="221"/>
        <w:gridCol w:w="311"/>
        <w:gridCol w:w="1066"/>
        <w:gridCol w:w="232"/>
      </w:tblGrid>
      <w:tr>
        <w:trPr/>
        <w:tc>
          <w:tcPr>
            <w:tcW w:w="8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Incentive Units</w:t>
            </w:r>
          </w:p>
        </w:tc>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Common Incentive Units</w:t>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Exchanged</w:t>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2023</w:t>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participation units granted during the three and nine months ended September 30, 2023. We did not make any cash payments to settle vested participation units during the three months ended September 30, 2023. We made cash payments of less than $0.1 million to settle vested participation units during the nine months ended September 30, 2023.</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Determination of Fair Value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incentive and participation units granted is calculated through a Monte Carlo simulation based on various outcomes. Opco determined that a Monte Carlo simulation was an appropriate estimation model because of the market conditions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pStyle w:val="TextBody"/>
        <w:bidi w:val="0"/>
        <w:spacing w:lineRule="auto" w:line="333" w:before="240" w:after="283"/>
        <w:ind w:left="0" w:right="0" w:hanging="360"/>
        <w:jc w:val="both"/>
        <w:rPr/>
      </w:pPr>
      <w:r>
        <w:rPr>
          <w:color w:val="000000"/>
        </w:rPr>
        <w:t>•</w:t>
      </w:r>
      <w:r>
        <w:rPr>
          <w:rFonts w:ascii="Times New Roman;sans-serif" w:hAnsi="Times New Roman;sans-serif"/>
          <w:b w:val="false"/>
          <w:color w:val="000000"/>
          <w:sz w:val="20"/>
        </w:rPr>
        <w:t>Expected term – The expected term represents the period that a unit is expected to be outstanding.</w:t>
      </w:r>
    </w:p>
    <w:p>
      <w:pPr>
        <w:pStyle w:val="TextBody"/>
        <w:bidi w:val="0"/>
        <w:spacing w:lineRule="auto" w:line="333" w:before="240" w:after="283"/>
        <w:ind w:left="0" w:right="0" w:hanging="360"/>
        <w:jc w:val="both"/>
        <w:rPr/>
      </w:pPr>
      <w:r>
        <w:rPr>
          <w:color w:val="000000"/>
        </w:rPr>
        <w:t>•</w:t>
      </w:r>
      <w:r>
        <w:rPr>
          <w:rFonts w:ascii="Times New Roman;sans-serif" w:hAnsi="Times New Roman;sans-serif"/>
          <w:b w:val="false"/>
          <w:color w:val="000000"/>
          <w:sz w:val="20"/>
        </w:rPr>
        <w:t>Volatility – Opco has limited historical data available to derive its own stock price volatility. As such, Opco estimates stock price volatility based on the average historic price volatility of comparable public industry peers.</w:t>
      </w:r>
    </w:p>
    <w:p>
      <w:pPr>
        <w:pStyle w:val="TextBody"/>
        <w:bidi w:val="0"/>
        <w:spacing w:lineRule="auto" w:line="333" w:before="240" w:after="283"/>
        <w:ind w:left="0" w:right="0" w:hanging="360"/>
        <w:jc w:val="both"/>
        <w:rPr/>
      </w:pPr>
      <w:r>
        <w:rPr>
          <w:color w:val="000000"/>
        </w:rPr>
        <w:t>•</w:t>
      </w:r>
      <w:r>
        <w:rPr>
          <w:rFonts w:ascii="Times New Roman;sans-serif" w:hAnsi="Times New Roman;sans-serif"/>
          <w:b w:val="false"/>
          <w:color w:val="000000"/>
          <w:sz w:val="20"/>
        </w:rPr>
        <w:t>Risk-free interest rate – The risk-free rate is based on the U.S. Treasury yield curve in effect on the grant date for securities with similar expected terms to the term of Opco’s incentive units.</w:t>
      </w:r>
    </w:p>
    <w:p>
      <w:pPr>
        <w:pStyle w:val="TextBody"/>
        <w:bidi w:val="0"/>
        <w:spacing w:lineRule="auto" w:line="333" w:before="240" w:after="283"/>
        <w:ind w:left="0" w:right="0" w:hanging="360"/>
        <w:jc w:val="both"/>
        <w:rPr/>
      </w:pPr>
      <w:r>
        <w:rPr>
          <w:color w:val="000000"/>
        </w:rPr>
        <w:t>•</w:t>
      </w:r>
      <w:r>
        <w:rPr>
          <w:rFonts w:ascii="Times New Roman;sans-serif" w:hAnsi="Times New Roman;sans-serif"/>
          <w:b w:val="false"/>
          <w:color w:val="000000"/>
          <w:sz w:val="20"/>
        </w:rPr>
        <w:t>Expected dividends – Expected dividends is assumed to be zero as Opco has not paid and does not expect to pay cash dividends or non-liquidating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hanging="360"/>
        <w:jc w:val="both"/>
        <w:rPr/>
      </w:pPr>
      <w:r>
        <w:rPr>
          <w:color w:val="000000"/>
        </w:rPr>
        <w:t>•</w:t>
      </w:r>
      <w:r>
        <w:rPr>
          <w:rFonts w:ascii="Times New Roman;sans-serif" w:hAnsi="Times New Roman;sans-serif"/>
          <w:b w:val="false"/>
          <w:color w:val="000000"/>
          <w:sz w:val="20"/>
        </w:rPr>
        <w:t>Discount for lack of marketability – an estimated two-year time to exit Predecessor awards and the six-month lock-up restriction on Successor awards is reflected as a discount for lack of marketability estimated using the Finnerty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12.Net Loss per share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denominators of the basic and diluted per share computations for net loss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344"/>
        <w:gridCol w:w="1015"/>
        <w:gridCol w:w="1004"/>
        <w:gridCol w:w="323"/>
        <w:gridCol w:w="982"/>
        <w:gridCol w:w="169"/>
        <w:gridCol w:w="109"/>
        <w:gridCol w:w="109"/>
        <w:gridCol w:w="109"/>
        <w:gridCol w:w="290"/>
        <w:gridCol w:w="1027"/>
        <w:gridCol w:w="158"/>
        <w:gridCol w:w="109"/>
        <w:gridCol w:w="109"/>
        <w:gridCol w:w="109"/>
        <w:gridCol w:w="279"/>
        <w:gridCol w:w="986"/>
        <w:gridCol w:w="151"/>
        <w:gridCol w:w="109"/>
        <w:gridCol w:w="109"/>
        <w:gridCol w:w="109"/>
        <w:gridCol w:w="254"/>
        <w:gridCol w:w="1035"/>
        <w:gridCol w:w="207"/>
      </w:tblGrid>
      <w:tr>
        <w:trPr/>
        <w:tc>
          <w:tcPr>
            <w:tcW w:w="134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2023</w:t>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per share:</w:t>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 – basic and diluted:</w:t>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(63,078)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(147,119)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w:t>
            </w:r>
          </w:p>
        </w:tc>
        <w:tc>
          <w:tcPr>
            <w:tcW w:w="13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(98,964)</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Bakkt Holdings, Inc. – basic and diluted</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(48,155)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 – basic and diluted:</w:t>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basic and diluted</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6,361,793 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3,654,314 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5,642,609 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3,509,048 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 basic and diluted</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shares that are contingently issuable as part of the Bakkt Crypto Solutions acquisition have been included in the calculation of diluted EPS as no amounts are payable as of September 30, 2024. The following table summarizes the total potential common shares excluded from diluted loss per common share as their effect would be anti-dilutive (in thousands):</w:t>
      </w:r>
    </w:p>
    <w:tbl>
      <w:tblPr>
        <w:tblW w:w="4213" w:type="dxa"/>
        <w:jc w:val="left"/>
        <w:tblInd w:w="0" w:type="dxa"/>
        <w:tblLayout w:type="fixed"/>
        <w:tblCellMar>
          <w:top w:w="28" w:type="dxa"/>
          <w:left w:w="28" w:type="dxa"/>
          <w:bottom w:w="28" w:type="dxa"/>
          <w:right w:w="28" w:type="dxa"/>
        </w:tblCellMar>
      </w:tblPr>
      <w:tblGrid>
        <w:gridCol w:w="870"/>
        <w:gridCol w:w="760"/>
        <w:gridCol w:w="769"/>
        <w:gridCol w:w="530"/>
        <w:gridCol w:w="530"/>
        <w:gridCol w:w="754"/>
      </w:tblGrid>
      <w:tr>
        <w:trPr/>
        <w:tc>
          <w:tcPr>
            <w:tcW w:w="87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PSUs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warrants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1 and Class 2 warrants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common units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10,805 </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13.Capital Requirements</w:t>
      </w:r>
    </w:p>
    <w:p>
      <w:pPr>
        <w:pStyle w:val="TextBody"/>
        <w:bidi w:val="0"/>
        <w:spacing w:lineRule="auto" w:line="333" w:before="240" w:after="283"/>
        <w:ind w:left="0" w:right="0" w:firstLine="720"/>
        <w:jc w:val="both"/>
        <w:rPr/>
      </w:pPr>
      <w:r>
        <w:rPr>
          <w:rFonts w:ascii="Times New Roman;sans-serif" w:hAnsi="Times New Roman;sans-serif"/>
          <w:b/>
          <w:color w:val="000000"/>
          <w:sz w:val="20"/>
        </w:rPr>
        <w:t>Bakkt Trust</w:t>
      </w:r>
      <w:r>
        <w:rPr>
          <w:color w:val="000000"/>
        </w:rPr>
        <w:t xml:space="preserve"> </w:t>
      </w:r>
      <w:r>
        <w:rPr>
          <w:rFonts w:ascii="Times New Roman;sans-serif" w:hAnsi="Times New Roman;sans-serif"/>
          <w:b w:val="false"/>
          <w:color w:val="000000"/>
          <w:sz w:val="20"/>
        </w:rPr>
        <w:t>is subject to certain regulatory capital requirements imposed by NYDFS. These capital requirements require Bakkt Trust to maintain in cash the greater of a defined positive net worth or the sum of the required percentages established for transmitted assets and cold wallet and hot wallet custody assets. The amounts set aside to satisfy these requirements are included within “Restricted cash” in the consolidated balance sheets.</w:t>
      </w:r>
    </w:p>
    <w:p>
      <w:pPr>
        <w:pStyle w:val="TextBody"/>
        <w:bidi w:val="0"/>
        <w:spacing w:lineRule="auto" w:line="333" w:before="240" w:after="283"/>
        <w:ind w:left="0" w:right="0" w:firstLine="720"/>
        <w:jc w:val="both"/>
        <w:rPr/>
      </w:pPr>
      <w:r>
        <w:rPr>
          <w:rFonts w:ascii="Times New Roman;sans-serif" w:hAnsi="Times New Roman;sans-serif"/>
          <w:b/>
          <w:color w:val="000000"/>
          <w:sz w:val="20"/>
          <w:shd w:fill="FFFFFF" w:val="clear"/>
        </w:rPr>
        <w:t>Bakkt Crypto</w:t>
      </w:r>
      <w:r>
        <w:rPr>
          <w:color w:val="000000"/>
          <w:shd w:fill="FFFFFF" w:val="clear"/>
        </w:rPr>
        <w:t xml:space="preserve"> </w:t>
      </w:r>
      <w:r>
        <w:rPr>
          <w:rFonts w:ascii="Times New Roman;sans-serif" w:hAnsi="Times New Roman;sans-serif"/>
          <w:b w:val="false"/>
          <w:color w:val="0C0C0C"/>
          <w:sz w:val="20"/>
          <w:shd w:fill="FFFFFF" w:val="clear"/>
        </w:rPr>
        <w:t>holds a BitLicense from NYDFS, which subjects it to NYDFS’s oversight with respect to business activities conducted in New York State and with New York residents, and</w:t>
      </w:r>
      <w:r>
        <w:rPr>
          <w:color w:val="000000"/>
        </w:rPr>
        <w:t xml:space="preserve"> </w:t>
      </w:r>
      <w:r>
        <w:rPr>
          <w:rFonts w:ascii="Times New Roman;sans-serif" w:hAnsi="Times New Roman;sans-serif"/>
          <w:b w:val="false"/>
          <w:color w:val="000000"/>
          <w:sz w:val="20"/>
          <w:shd w:fill="FFFFFF" w:val="clear"/>
        </w:rPr>
        <w:t xml:space="preserve">is required to maintain a capital balance equal to the greater of a predefined minimum amount or the sum of </w:t>
      </w:r>
      <w:r>
        <w:rPr>
          <w:rFonts w:ascii="Times New Roman;sans-serif" w:hAnsi="Times New Roman;sans-serif"/>
          <w:b w:val="false"/>
          <w:color w:val="000000"/>
          <w:sz w:val="20"/>
        </w:rPr>
        <w:t>the required percentages established for transmitted assets, cold wallet and hot wallet custody assets, and predefined wind-down costs</w:t>
      </w:r>
      <w:r>
        <w:rPr>
          <w:rFonts w:ascii="Times New Roman;sans-serif" w:hAnsi="Times New Roman;sans-serif"/>
          <w:b w:val="false"/>
          <w:color w:val="000000"/>
          <w:sz w:val="20"/>
          <w:shd w:fill="FFFFFF" w:val="clear"/>
        </w:rPr>
        <w:t>, or expected costs associated with the orderly wind-down of the business. Bakkt Crypto also has money transmitter licenses wherever its business model requires (46 states plus Washington D.C., giving effect to the surrender of duplicative and unneeded licenses following the merger of Bakkt Crypto Solutions and Bakkt Marketplace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we received approval from NYDFS to merge, and have since merged, Bakkt Crypto Solutions and Bakkt Marketplace into one legal entity, now referred to as Bakkt Crypto.</w:t>
      </w:r>
    </w:p>
    <w:p>
      <w:pPr>
        <w:pStyle w:val="TextBody"/>
        <w:bidi w:val="0"/>
        <w:spacing w:lineRule="auto" w:line="333" w:before="240" w:after="283"/>
        <w:ind w:left="0" w:right="0" w:firstLine="720"/>
        <w:jc w:val="both"/>
        <w:rPr/>
      </w:pPr>
      <w:r>
        <w:rPr>
          <w:rFonts w:ascii="Times New Roman;sans-serif" w:hAnsi="Times New Roman;sans-serif"/>
          <w:b/>
          <w:color w:val="000000"/>
          <w:sz w:val="20"/>
        </w:rPr>
        <w:t>Bakkt Brokerage</w:t>
      </w:r>
      <w:r>
        <w:rPr>
          <w:color w:val="000000"/>
        </w:rPr>
        <w:t xml:space="preserve"> </w:t>
      </w:r>
      <w:r>
        <w:rPr>
          <w:rFonts w:ascii="Times New Roman;sans-serif" w:hAnsi="Times New Roman;sans-serif"/>
          <w:b w:val="false"/>
          <w:color w:val="000000"/>
          <w:sz w:val="20"/>
        </w:rPr>
        <w:t>was registered as a broker-dealer with the Financial Industry Regulatory Authority ("FINRA") and was required to maintain a non-material minimum amount of net capital. Bakkt Brokerage filed for a withdrawal of its membership with FINRA on July 16, 2024. Following Bakkt Brokerage's withdrawal filing, FINRA expelled Bakkt Brokerage for a failure to file independently audited financial statements for 2023, a period when Bakkt Brokerage was inactive. Bakkt Brokerage is working to correct this filing prior to final withdrawal of its membership.</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2024</w:t>
      </w:r>
      <w:r>
        <w:rPr>
          <w:color w:val="000000"/>
          <w:shd w:fill="FFFFFF" w:val="clear"/>
        </w:rPr>
        <w:t xml:space="preserve"> </w:t>
      </w:r>
      <w:r>
        <w:rPr>
          <w:rFonts w:ascii="Times New Roman;sans-serif" w:hAnsi="Times New Roman;sans-serif"/>
          <w:b w:val="false"/>
          <w:color w:val="000000"/>
          <w:sz w:val="20"/>
          <w:shd w:fill="FFFFFF" w:val="clear"/>
        </w:rPr>
        <w:t xml:space="preserve">and December 31, 2023, the above mentioned subsidiaries were in compliance with their respective regulatory capital requirements. </w:t>
      </w:r>
      <w:r>
        <w:rPr>
          <w:rFonts w:ascii="Times New Roman;sans-serif" w:hAnsi="Times New Roman;sans-serif"/>
          <w:b w:val="false"/>
          <w:color w:val="000000"/>
          <w:sz w:val="20"/>
        </w:rPr>
        <w:t>The minimum capital requirements to which our subsidiaries are subject may restrict their ability to transfer cash. We may also be required to transfer cash to our subsidiaries such that they may continue to meet these minimum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14.Commitments and Contingencies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401(k) defined contribution plan covering all eligible U.S. employees. Both Company and employee contributions to the 401(k) plan are discretionary. For the three and nine months ended September 30, 2024, we recorded approximately $0.5 million and $1.8 million, respectively, of expenses related to the 401(k) plan, which is included in "Compensation and benefits" in the consolidated statements of operations. For the three and nine months ended September 30, 2023, we recorded approximately $0.7 million and $2.4 million, respectively, of expenses related to the 401(k) plan, which is included in "Compensation and benefits" in the consolidated statements of operations.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TRA with certain Opco equity holders. As of September 30, 2024,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statements of operations and comprehensive loss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On September 21, 2023, the Court granted the motion for preliminary approval. On February 27, 2024, the Court held a final approval hearing at which the Court sought certain limited additional information from Plaintiffs, which Plaintiffs provided on March 5, 2024. On April 17, 2024, the Court granted the Plaintiffs' motion for final approval and terminated the class action. We expect the settlement will be covered by our insurance less our contractual retention.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its acquisition by the Company, Apex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In May 2024, we settled the matter for $1.1 million. We recognized $0.4 million of expense for this matter during the nine months ended September 30, 2024.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legal and regulatory proceedings have arisen and may arise in the ordinary course of business. However, we do not believe that the resolution of these matters will have a material adverse effect on our financial position,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or cash flows. However, future results could be materially and adversely affected by new developments relating to the legal proceedings and claims.</w:t>
      </w:r>
    </w:p>
    <w:p>
      <w:pPr>
        <w:pStyle w:val="TextBody"/>
        <w:bidi w:val="0"/>
        <w:spacing w:lineRule="auto" w:line="333" w:before="240" w:after="283"/>
        <w:jc w:val="left"/>
        <w:rPr>
          <w:rFonts w:ascii="Times New Roman;sans-serif" w:hAnsi="Times New Roman;sans-serif"/>
          <w:b/>
          <w:i/>
          <w:color w:val="000000"/>
          <w:sz w:val="20"/>
        </w:rPr>
      </w:pPr>
      <w:r>
        <w:rPr>
          <w:rFonts w:ascii="Times New Roman;sans-serif" w:hAnsi="Times New Roman;sans-serif"/>
          <w:b/>
          <w:i/>
          <w:color w:val="000000"/>
          <w:sz w:val="20"/>
        </w:rPr>
        <w:t>Commercial Purchasing Card Facility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2022, we entered into a corporate card services agreement with Bank of America to provide a purchasing card facility that we utilize for redemption purchases made from vendors as part of our loyalty redemption platform. Total borrowing capacity under the facility was $35 million and there is no defined maturity date. Expenditures 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four-year cloud computing arrangement which includes minimum contractual payments due to the third-party provider. In December 2023, we agreed to amend the contract and extend the payment period for an additional year. During the year ended December 31, 2023, we entered into a five-year strategic marketing agreement which required a committed spend. In July 2024, we terminated the agreement, which required a settlement payment of $1.1 million and resulted in the release from future obligations. As of September 30, 2024, our outstanding purchase obligations, net of the settlement described above, consisted of the following future minimum commitments (in thousands):</w:t>
      </w:r>
    </w:p>
    <w:tbl>
      <w:tblPr>
        <w:tblW w:w="9268" w:type="dxa"/>
        <w:jc w:val="left"/>
        <w:tblInd w:w="0" w:type="dxa"/>
        <w:tblLayout w:type="fixed"/>
        <w:tblCellMar>
          <w:top w:w="28" w:type="dxa"/>
          <w:left w:w="28" w:type="dxa"/>
          <w:bottom w:w="28" w:type="dxa"/>
          <w:right w:w="28" w:type="dxa"/>
        </w:tblCellMar>
      </w:tblPr>
      <w:tblGrid>
        <w:gridCol w:w="658"/>
        <w:gridCol w:w="577"/>
        <w:gridCol w:w="580"/>
        <w:gridCol w:w="334"/>
        <w:gridCol w:w="977"/>
        <w:gridCol w:w="173"/>
        <w:gridCol w:w="109"/>
        <w:gridCol w:w="109"/>
        <w:gridCol w:w="109"/>
        <w:gridCol w:w="211"/>
        <w:gridCol w:w="721"/>
        <w:gridCol w:w="109"/>
        <w:gridCol w:w="109"/>
        <w:gridCol w:w="109"/>
        <w:gridCol w:w="109"/>
        <w:gridCol w:w="257"/>
        <w:gridCol w:w="495"/>
        <w:gridCol w:w="133"/>
        <w:gridCol w:w="109"/>
        <w:gridCol w:w="109"/>
        <w:gridCol w:w="109"/>
        <w:gridCol w:w="479"/>
        <w:gridCol w:w="923"/>
        <w:gridCol w:w="247"/>
        <w:gridCol w:w="109"/>
        <w:gridCol w:w="109"/>
        <w:gridCol w:w="109"/>
        <w:gridCol w:w="211"/>
        <w:gridCol w:w="721"/>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15.Income Taxes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of 1.8% and less than 1.0% for the three and nine months ended September 30, 2024, respectively, differ from statutory rates primarily due to the loss that is not taxed to the Company and the absence of taxable income to realize the Company's net operating losses and other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of less than 1.0% for the three and nine months ended September 30, 2023, respectively, differ from statutory rates primarily due to the loss that is not taxed to the Company and the absence of taxable income to realize the Company's net operating losses and other deferred tax assets.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As of September 30, 2024 and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the Company believed that it was not more likely than not that the net deferred tax assets would be realizable and thus has maintained a full valuation allowance.</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September 30, 2024 or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16.Fair Value Measurements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that are measured at fair value on a recurring basis are classified as Level 1, Level 2 and Level 3 as follows (in thousands):</w:t>
      </w:r>
    </w:p>
    <w:tbl>
      <w:tblPr>
        <w:tblW w:w="8214" w:type="dxa"/>
        <w:jc w:val="left"/>
        <w:tblInd w:w="0" w:type="dxa"/>
        <w:tblLayout w:type="fixed"/>
        <w:tblCellMar>
          <w:top w:w="28" w:type="dxa"/>
          <w:left w:w="28" w:type="dxa"/>
          <w:bottom w:w="28" w:type="dxa"/>
          <w:right w:w="28" w:type="dxa"/>
        </w:tblCellMar>
      </w:tblPr>
      <w:tblGrid>
        <w:gridCol w:w="1409"/>
        <w:gridCol w:w="1241"/>
        <w:gridCol w:w="1250"/>
        <w:gridCol w:w="211"/>
        <w:gridCol w:w="826"/>
        <w:gridCol w:w="109"/>
        <w:gridCol w:w="211"/>
        <w:gridCol w:w="616"/>
        <w:gridCol w:w="109"/>
        <w:gridCol w:w="211"/>
        <w:gridCol w:w="826"/>
        <w:gridCol w:w="109"/>
        <w:gridCol w:w="211"/>
        <w:gridCol w:w="721"/>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2024</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asset for crypto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obligation for crypto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Class 1 and Class 2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public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7051" w:type="dxa"/>
        <w:jc w:val="left"/>
        <w:tblInd w:w="0" w:type="dxa"/>
        <w:tblLayout w:type="fixed"/>
        <w:tblCellMar>
          <w:top w:w="28" w:type="dxa"/>
          <w:left w:w="28" w:type="dxa"/>
          <w:bottom w:w="28" w:type="dxa"/>
          <w:right w:w="28" w:type="dxa"/>
        </w:tblCellMar>
      </w:tblPr>
      <w:tblGrid>
        <w:gridCol w:w="1062"/>
        <w:gridCol w:w="935"/>
        <w:gridCol w:w="942"/>
        <w:gridCol w:w="211"/>
        <w:gridCol w:w="826"/>
        <w:gridCol w:w="109"/>
        <w:gridCol w:w="211"/>
        <w:gridCol w:w="721"/>
        <w:gridCol w:w="109"/>
        <w:gridCol w:w="211"/>
        <w:gridCol w:w="826"/>
        <w:gridCol w:w="109"/>
        <w:gridCol w:w="213"/>
        <w:gridCol w:w="411"/>
        <w:gridCol w:w="155"/>
      </w:tblGrid>
      <w:tr>
        <w:trPr/>
        <w:tc>
          <w:tcPr>
            <w:tcW w:w="10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asset for crypto</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obligation for crypto</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public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investments in debt securities consist of U.S. Treasury debt securities held in the custody of a major financial institution. As of September 30, 2024, our investment in available-for-sale debt securities was determined to be a Level 1 investment based on quoted prices in active markets and was recorded in the consolidated balance sheet at fair value.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safeguarding obligation for crypto and the corresponding safeguarding asset for crypto was determined using Level 2 inputs which included using the value of the safeguarded asset determined as the mid-point of a bid-ask spread in the market we determined to be the principal market for the related crypto as of September 30, 2024.</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consideration associated with the acquisition of Bakkt Crypto Solutions is valued using Level 3 inputs, which includes a Monte Carlo simulation. The inputs for the Monte Carlo simulation included forecasted financial performance of Bakkt Crypto Solutions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As of December 31, 2023, we determined the value of the contingent consideration was zero, based on our forward-looking projections and minimum profit requirements associated with the contingent consideration and reversed the accrual through acquisition expenses. As of September 30, 2024, we determined the value of the contingent consideration remained zero.</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public warrant liability is valued based on quoted prices in active markets and is classified within Level 1. Since the second quarter 2024, our Class 1 Warrants and Class 2 Warrants were valued using the Black-Scholes-Merton model and a binomial lattice model, respectively, both of which utilize certain Level 3 inputs. Prior to the second quarter of 2024, our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our Class A Common Stock over the contractual period of the warrant.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significant unobservable inputs used for the fair value measurement of our Class 1 Warrants and Class 2 Warrants liabilities as of September 30, 2024 are summarized as follows: </w:t>
      </w:r>
    </w:p>
    <w:tbl>
      <w:tblPr>
        <w:tblW w:w="3688" w:type="dxa"/>
        <w:jc w:val="left"/>
        <w:tblInd w:w="0" w:type="dxa"/>
        <w:tblLayout w:type="fixed"/>
        <w:tblCellMar>
          <w:top w:w="28" w:type="dxa"/>
          <w:left w:w="28" w:type="dxa"/>
          <w:bottom w:w="28" w:type="dxa"/>
          <w:right w:w="28" w:type="dxa"/>
        </w:tblCellMar>
      </w:tblPr>
      <w:tblGrid>
        <w:gridCol w:w="771"/>
        <w:gridCol w:w="678"/>
        <w:gridCol w:w="680"/>
        <w:gridCol w:w="455"/>
        <w:gridCol w:w="455"/>
        <w:gridCol w:w="649"/>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9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4.93 - 5.50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9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Continuous risk-free rate</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3.52% - 4.59%</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9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125.0% - 145.0%</w:t>
            </w:r>
          </w:p>
        </w:tc>
      </w:tr>
    </w:tbl>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preceding methods described may produce fair value calculations that may not be indicative of net realizable value or reflective of future fair values. Furthermore, although we believe our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5,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17.Leases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lease real estate for office space under operating leases. On December 21, 2023, we signed an agreement to sublease a portion of our corporate headquarters office space in Alpharetta, Georgia. The sublease commenced in March 2024. On March 15, 2023, we signed an amendment to our Scottsdale, Arizona lease that extended the lease term. The amended lease has a term of 89 months and total fixed lease payments over the term of the amended lease are $5.7 million. During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September 30, 2024, we do not have any active finance leases.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leases have remaining lease terms as of September 30, 2024 ranging from 19 months to 96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pStyle w:val="TextBody"/>
        <w:bidi w:val="0"/>
        <w:spacing w:lineRule="auto" w:line="333" w:before="240" w:after="240"/>
        <w:ind w:left="0" w:right="0" w:firstLine="720"/>
        <w:jc w:val="both"/>
        <w:rPr/>
      </w:pPr>
      <w:r>
        <w:rPr>
          <w:rFonts w:ascii="Times New Roman;sans-serif" w:hAnsi="Times New Roman;sans-serif"/>
          <w:b w:val="false"/>
          <w:color w:val="000000"/>
          <w:sz w:val="20"/>
        </w:rPr>
        <w:t xml:space="preserve">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As of September 30, 2024, the weighted average remaining lease term for our operating leases was approximately 78 months, and the weighted average discount rate for our operating leases was 5.3%. As of </w:t>
      </w:r>
      <w:r>
        <w:rPr>
          <w:rFonts w:ascii="Times New Roman;sans-serif" w:hAnsi="Times New Roman;sans-serif"/>
          <w:b w:val="false"/>
          <w:color w:val="000000"/>
          <w:sz w:val="20"/>
          <w:shd w:fill="FFFFFF" w:val="clear"/>
        </w:rPr>
        <w:t xml:space="preserve">December 31, 2023, </w:t>
      </w:r>
      <w:r>
        <w:rPr>
          <w:rFonts w:ascii="Times New Roman;sans-serif" w:hAnsi="Times New Roman;sans-serif"/>
          <w:b w:val="false"/>
          <w:color w:val="000000"/>
          <w:sz w:val="20"/>
        </w:rPr>
        <w:t>the weighted average remaining lease term for our operating leases was approximately 84 months, and the weighted average discount rate for our operating leases was 5.3%. We were party to short-term leases during the three and nine months ended September 30, 2024, which resulted in less than $0.1 million and less than $0.1 million of rent expense, respectively. We were party to short-term leases during the three and nine months ended September 30, 2023, which resulted in less than $0.1 million and less than $0.1 million of rent expense,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270"/>
        <w:jc w:val="left"/>
        <w:rPr/>
      </w:pPr>
      <w:r>
        <w:rPr>
          <w:rFonts w:ascii="Times New Roman;sans-serif" w:hAnsi="Times New Roman;sans-serif"/>
          <w:b/>
          <w:color w:val="231F20"/>
          <w:sz w:val="20"/>
        </w:rPr>
        <w:t>18.</w:t>
      </w:r>
      <w:r>
        <w:rPr>
          <w:color w:val="231F20"/>
        </w:rPr>
        <w:t xml:space="preserve"> </w:t>
      </w:r>
      <w:r>
        <w:rPr>
          <w:rFonts w:ascii="Times New Roman;sans-serif" w:hAnsi="Times New Roman;sans-serif"/>
          <w:b/>
          <w:color w:val="231F20"/>
          <w:sz w:val="20"/>
        </w:rPr>
        <w:t>Safeguarding Obligation For Crypto</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custody services for Bakkt Crypto's customers and for Bakkt Trust's standalone custody customers. Bakkt Trust may also provide sub-custodian services for Bakkt Crypto customers. We do not own crypto held in a custodial capacity on behalf of our customers. We maintain the internal recordkeeping of those assets and are obligated to safeguard the assets and protect them from loss or theft. We hold the controlling majority of cryptographic key information on behalf of our Bakkt Trust custodial customers. A significant portion of the crypto we hold in a custodial capacity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custodied by institutional grade sub-custodians. Sub-custodians used by Bakkt Crypto hold our customer cryptographic key information and are not permitted to move assets without our specific authorization.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have a safeguarding obligation for crypto of $938.7 million. The safeguarding liability, and corresponding safeguarding asset for crypto on the balance sheet, are measured at the fair value of the crypto held for our customers. We are not aware of any actual or possible safeguarding loss events as of September 30, 2024. Therefore, the safeguarding obligation for crypto and the related safeguarding asset for crypto are recorded at the same amount.</w:t>
      </w:r>
    </w:p>
    <w:p>
      <w:pPr>
        <w:pStyle w:val="TextBody"/>
        <w:bidi w:val="0"/>
        <w:spacing w:lineRule="auto" w:line="333" w:before="240" w:after="240"/>
        <w:ind w:left="0" w:right="0" w:firstLine="720"/>
        <w:jc w:val="left"/>
        <w:rPr/>
      </w:pPr>
      <w:r>
        <w:rPr>
          <w:rFonts w:ascii="Times New Roman;sans-serif" w:hAnsi="Times New Roman;sans-serif"/>
          <w:b w:val="false"/>
          <w:color w:val="000000"/>
          <w:sz w:val="20"/>
        </w:rPr>
        <w:t xml:space="preserve">We are responsible for holding the following crypto on behalf of our customers as of September 30, 2024 and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(in thousands):</w:t>
      </w:r>
    </w:p>
    <w:tbl>
      <w:tblPr>
        <w:tblW w:w="6805" w:type="dxa"/>
        <w:jc w:val="left"/>
        <w:tblInd w:w="0" w:type="dxa"/>
        <w:tblLayout w:type="fixed"/>
        <w:tblCellMar>
          <w:top w:w="28" w:type="dxa"/>
          <w:left w:w="28" w:type="dxa"/>
          <w:bottom w:w="28" w:type="dxa"/>
          <w:right w:w="28" w:type="dxa"/>
        </w:tblCellMar>
      </w:tblPr>
      <w:tblGrid>
        <w:gridCol w:w="1060"/>
        <w:gridCol w:w="932"/>
        <w:gridCol w:w="947"/>
        <w:gridCol w:w="326"/>
        <w:gridCol w:w="1276"/>
        <w:gridCol w:w="168"/>
        <w:gridCol w:w="109"/>
        <w:gridCol w:w="109"/>
        <w:gridCol w:w="109"/>
        <w:gridCol w:w="313"/>
        <w:gridCol w:w="1228"/>
        <w:gridCol w:w="228"/>
      </w:tblGrid>
      <w:tr>
        <w:trPr/>
        <w:tc>
          <w:tcPr>
            <w:tcW w:w="10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407,246 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262,231 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143,237 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obligation for crypto</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938,695 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asset for crypto</w:t>
            </w:r>
          </w:p>
        </w:tc>
        <w:tc>
          <w:tcPr>
            <w:tcW w:w="3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938,695 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2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left"/>
        <w:rPr/>
      </w:pPr>
      <w:r>
        <w:rPr>
          <w:rFonts w:ascii="Times New Roman;sans-serif" w:hAnsi="Times New Roman;sans-serif"/>
          <w:b/>
          <w:color w:val="000000"/>
          <w:sz w:val="20"/>
        </w:rPr>
        <w:t>19.</w:t>
      </w:r>
      <w:r>
        <w:rPr>
          <w:rFonts w:ascii="Times New Roman;sans-serif" w:hAnsi="Times New Roman;sans-serif"/>
          <w:b/>
          <w:color w:val="231F20"/>
          <w:sz w:val="20"/>
        </w:rPr>
        <w:t>Investment in Debt Securities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investments in certain debt securities, which we record at fair value and present as "Available-for-sale securities" in the consolidated balance sheets.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cost basis and fair value of available-for-sale debt securities with unrealized gains and losses included in “Accumulated other comprehensive loss” in the consolidated balance sheets were as follows (in thousands):</w:t>
      </w:r>
    </w:p>
    <w:tbl>
      <w:tblPr>
        <w:tblW w:w="10205" w:type="dxa"/>
        <w:jc w:val="left"/>
        <w:tblInd w:w="0" w:type="dxa"/>
        <w:tblLayout w:type="fixed"/>
        <w:tblCellMar>
          <w:top w:w="28" w:type="dxa"/>
          <w:left w:w="28" w:type="dxa"/>
          <w:bottom w:w="28" w:type="dxa"/>
          <w:right w:w="28" w:type="dxa"/>
        </w:tblCellMar>
      </w:tblPr>
      <w:tblGrid>
        <w:gridCol w:w="883"/>
        <w:gridCol w:w="777"/>
        <w:gridCol w:w="778"/>
        <w:gridCol w:w="211"/>
        <w:gridCol w:w="616"/>
        <w:gridCol w:w="109"/>
        <w:gridCol w:w="109"/>
        <w:gridCol w:w="109"/>
        <w:gridCol w:w="109"/>
        <w:gridCol w:w="286"/>
        <w:gridCol w:w="631"/>
        <w:gridCol w:w="148"/>
        <w:gridCol w:w="109"/>
        <w:gridCol w:w="109"/>
        <w:gridCol w:w="109"/>
        <w:gridCol w:w="211"/>
        <w:gridCol w:w="616"/>
        <w:gridCol w:w="109"/>
        <w:gridCol w:w="109"/>
        <w:gridCol w:w="109"/>
        <w:gridCol w:w="109"/>
        <w:gridCol w:w="211"/>
        <w:gridCol w:w="721"/>
        <w:gridCol w:w="109"/>
        <w:gridCol w:w="109"/>
        <w:gridCol w:w="109"/>
        <w:gridCol w:w="109"/>
        <w:gridCol w:w="286"/>
        <w:gridCol w:w="631"/>
        <w:gridCol w:w="148"/>
        <w:gridCol w:w="109"/>
        <w:gridCol w:w="109"/>
        <w:gridCol w:w="109"/>
        <w:gridCol w:w="211"/>
        <w:gridCol w:w="721"/>
        <w:gridCol w:w="157"/>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Available-for-sale securities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Gain,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Gain,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Government debt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There were no available-for-sale debt securities in an unrealized loss position as of September 30, 2024 or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We may sell certain investments depending on liquidity needs of the business; however, it is not likely that we will be required to sell the investments before recovery of their respective amortized cost basis. In addition, there were no credit losses on these investments as of September 30, 2024.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cost basis and fair value of available-for-sale debt securities at September 30, 2024, by contractual maturity, are shown below (in thousands). Expected maturities may differ from contractual maturities because borrowers may have the right to prepay and creditors may have the right to call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tbl>
      <w:tblPr>
        <w:tblW w:w="5697" w:type="dxa"/>
        <w:jc w:val="left"/>
        <w:tblInd w:w="0" w:type="dxa"/>
        <w:tblLayout w:type="fixed"/>
        <w:tblCellMar>
          <w:top w:w="28" w:type="dxa"/>
          <w:left w:w="28" w:type="dxa"/>
          <w:bottom w:w="28" w:type="dxa"/>
          <w:right w:w="28" w:type="dxa"/>
        </w:tblCellMar>
      </w:tblPr>
      <w:tblGrid>
        <w:gridCol w:w="1200"/>
        <w:gridCol w:w="1057"/>
        <w:gridCol w:w="1073"/>
        <w:gridCol w:w="220"/>
        <w:gridCol w:w="642"/>
        <w:gridCol w:w="113"/>
        <w:gridCol w:w="109"/>
        <w:gridCol w:w="109"/>
        <w:gridCol w:w="109"/>
        <w:gridCol w:w="229"/>
        <w:gridCol w:w="669"/>
        <w:gridCol w:w="167"/>
      </w:tblGrid>
      <w:tr>
        <w:trPr/>
        <w:tc>
          <w:tcPr>
            <w:tcW w:w="120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 - available-for-sale</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left"/>
        <w:rPr/>
      </w:pPr>
      <w:r>
        <w:rPr>
          <w:rFonts w:ascii="Times New Roman;sans-serif" w:hAnsi="Times New Roman;sans-serif"/>
          <w:b/>
          <w:color w:val="000000"/>
          <w:sz w:val="20"/>
        </w:rPr>
        <w:t>20.</w:t>
      </w:r>
      <w:r>
        <w:rPr>
          <w:rFonts w:ascii="Times New Roman;sans-serif" w:hAnsi="Times New Roman;sans-serif"/>
          <w:b/>
          <w:color w:val="231F20"/>
          <w:sz w:val="20"/>
        </w:rPr>
        <w:t>Subsequent Events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we began investigating a possible wind-down and dissolution of Bakkt Trust due to its lack of market traction and high cost of capital (due to regulatory requirements). As this process has progressed, we have also worked to find strategic alternatives for Bakkt Trust. As we explore these options, we expect to have a lower regulatory capital requirement during the pendency of this process.</w:t>
      </w:r>
    </w:p>
    <w:p>
      <w:pPr>
        <w:pStyle w:val="TextBody"/>
        <w:bidi w:val="0"/>
        <w:spacing w:lineRule="auto" w:line="333"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evaluated subsequent events through the date of issuance of these consolidated financial statements and determined that no other events or transactions, other than those disclosed above, met the definition of a subsequent event for purposes of recognition or disclosure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333" w:before="240" w:after="283"/>
        <w:jc w:val="both"/>
        <w:rPr/>
      </w:pPr>
      <w:r>
        <w:rPr>
          <w:rFonts w:ascii="Times New Roman;sans-serif" w:hAnsi="Times New Roman;sans-serif"/>
          <w:b w:val="false"/>
          <w:i/>
          <w:color w:val="231F20"/>
          <w:sz w:val="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Times New Roman;sans-serif" w:hAnsi="Times New Roman;sans-serif"/>
          <w:b w:val="false"/>
          <w:i/>
          <w:color w:val="000000"/>
          <w:sz w:val="20"/>
        </w:rPr>
        <w:t>September 30, 2024</w:t>
      </w:r>
      <w:r>
        <w:rPr>
          <w:color w:val="231F20"/>
        </w:rPr>
        <w:t xml:space="preserve"> </w:t>
      </w:r>
      <w:r>
        <w:rPr>
          <w:rFonts w:ascii="Times New Roman;sans-serif" w:hAnsi="Times New Roman;sans-serif"/>
          <w:b w:val="false"/>
          <w:i/>
          <w:color w:val="231F20"/>
          <w:sz w:val="20"/>
        </w:rPr>
        <w:t xml:space="preserve">(this "Report") and in our Annual Report on Form 10-K for the fiscal year ended </w:t>
      </w:r>
      <w:r>
        <w:rPr>
          <w:rFonts w:ascii="Times New Roman;sans-serif" w:hAnsi="Times New Roman;sans-serif"/>
          <w:b w:val="false"/>
          <w:i/>
          <w:color w:val="000000"/>
          <w:sz w:val="20"/>
          <w:shd w:fill="FFFFFF" w:val="clear"/>
        </w:rPr>
        <w:t>December 31, 2023</w:t>
      </w:r>
      <w:r>
        <w:rPr>
          <w:rFonts w:ascii="Times New Roman;sans-serif" w:hAnsi="Times New Roman;sans-serif"/>
          <w:b w:val="false"/>
          <w:i/>
          <w:color w:val="231F20"/>
          <w:sz w:val="20"/>
        </w:rPr>
        <w:t xml:space="preserve">, which is incorporated herein by reference. References in this section to “we,” “us,” “our,” “Bakkt” or the “Company” and like terms refer to Bakkt Holdings, Inc. and its subsidiaries for the </w:t>
      </w:r>
      <w:r>
        <w:rPr>
          <w:rFonts w:ascii="Times New Roman;sans-serif" w:hAnsi="Times New Roman;sans-serif"/>
          <w:b w:val="false"/>
          <w:i/>
          <w:color w:val="000000"/>
          <w:sz w:val="20"/>
        </w:rPr>
        <w:t>three and nine months ending September 30, 2024,</w:t>
      </w:r>
      <w:r>
        <w:rPr>
          <w:color w:val="231F20"/>
        </w:rPr>
        <w:t xml:space="preserve"> </w:t>
      </w:r>
      <w:r>
        <w:rPr>
          <w:rFonts w:ascii="Times New Roman;sans-serif" w:hAnsi="Times New Roman;sans-serif"/>
          <w:b w:val="false"/>
          <w:i/>
          <w:color w:val="231F20"/>
          <w:sz w:val="20"/>
        </w:rPr>
        <w:t xml:space="preserve">unless the context otherwise requires. Some of the information contained in this discussion and analysis or set forth elsewhere in this Report,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w:t>
      </w:r>
      <w:r>
        <w:rPr>
          <w:rFonts w:ascii="Times New Roman;sans-serif" w:hAnsi="Times New Roman;sans-serif"/>
          <w:b w:val="false"/>
          <w:i/>
          <w:color w:val="231F20"/>
          <w:sz w:val="20"/>
          <w:shd w:fill="FFFFFF" w:val="clear"/>
        </w:rPr>
        <w:t>Factors that could cause or contribute to such differences include, but are not limited to, those factors discussed above in “Cautionary Statement Regarding Forward-Looking Statements” and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Overview</w:t>
      </w:r>
    </w:p>
    <w:p>
      <w:pPr>
        <w:pStyle w:val="TextBody"/>
        <w:bidi w:val="0"/>
        <w:spacing w:lineRule="auto" w:line="333" w:before="240" w:after="180"/>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In this section and elsewhere in this Report, we use the following terms, which are defined as follows: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"Client"</w:t>
      </w:r>
      <w:r>
        <w:rPr>
          <w:color w:val="000000"/>
        </w:rPr>
        <w:t xml:space="preserve"> </w:t>
      </w:r>
      <w:r>
        <w:rPr>
          <w:rFonts w:ascii="Times New Roman;sans-serif" w:hAnsi="Times New Roman;sans-serif"/>
          <w:b w:val="false"/>
          <w:color w:val="000000"/>
          <w:sz w:val="20"/>
        </w:rPr>
        <w:t xml:space="preserve">means businesses with whom we contract to provide services to customers on our platform, and includes financial institutions, hedge funds, merchants, retailers, third party partners and other businesses (except in the accompanying </w:t>
      </w:r>
      <w:r>
        <w:rPr>
          <w:rFonts w:ascii="Times New Roman;sans-serif" w:hAnsi="Times New Roman;sans-serif"/>
          <w:b w:val="false"/>
          <w:color w:val="231F20"/>
          <w:sz w:val="20"/>
        </w:rPr>
        <w:t xml:space="preserve">notes to the consolidated financial statements, where we refer to revenue earned from customers, instead of clients. The term customers is </w:t>
      </w:r>
      <w:r>
        <w:rPr>
          <w:rFonts w:ascii="Times New Roman;sans-serif" w:hAnsi="Times New Roman;sans-serif"/>
          <w:b w:val="false"/>
          <w:color w:val="000000"/>
          <w:sz w:val="20"/>
        </w:rPr>
        <w:t xml:space="preserve">in accordance with the Financial Accounting Standards Board (“FASB”) Accounting Standards Codification (“ASC”) Topic </w:t>
      </w:r>
      <w:r>
        <w:rPr>
          <w:rFonts w:ascii="Times New Roman;sans-serif" w:hAnsi="Times New Roman;sans-serif"/>
          <w:b w:val="false"/>
          <w:color w:val="231F20"/>
          <w:sz w:val="20"/>
        </w:rPr>
        <w:t xml:space="preserve">606, </w:t>
      </w:r>
      <w:r>
        <w:rPr>
          <w:rFonts w:ascii="Times New Roman;sans-serif" w:hAnsi="Times New Roman;sans-serif"/>
          <w:b w:val="false"/>
          <w:i/>
          <w:color w:val="231F20"/>
          <w:sz w:val="20"/>
        </w:rPr>
        <w:t>Revenue from Contracts with Customers</w:t>
      </w:r>
      <w:r>
        <w:rPr>
          <w:rFonts w:ascii="Times New Roman;sans-serif" w:hAnsi="Times New Roman;sans-serif"/>
          <w:b w:val="false"/>
          <w:color w:val="231F20"/>
          <w:sz w:val="20"/>
        </w:rPr>
        <w:t>.)</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"Crypto" or "Crypto asset"</w:t>
      </w:r>
      <w:r>
        <w:rPr>
          <w:color w:val="000000"/>
        </w:rPr>
        <w:t xml:space="preserve"> </w:t>
      </w:r>
      <w:r>
        <w:rPr>
          <w:rFonts w:ascii="Times New Roman;sans-serif" w:hAnsi="Times New Roman;sans-serif"/>
          <w:b w:val="false"/>
          <w:color w:val="000000"/>
          <w:sz w:val="20"/>
        </w:rPr>
        <w:t>means an asset that is built using blockchain technology, including virtual currencies (as used in the State of New York), coins, cryptocurrencies, stablecoins, and other tokens. Our platform enables transactions in certain supported crypto assets. For purposes of this Form 10-Q, we use crypto assets, virtual currency, coins, and tokens interchangeably.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"Customer"</w:t>
      </w:r>
      <w:r>
        <w:rPr>
          <w:color w:val="000000"/>
        </w:rPr>
        <w:t xml:space="preserve"> </w:t>
      </w:r>
      <w:r>
        <w:rPr>
          <w:rFonts w:ascii="Times New Roman;sans-serif" w:hAnsi="Times New Roman;sans-serif"/>
          <w:b w:val="false"/>
          <w:color w:val="000000"/>
          <w:sz w:val="20"/>
        </w:rPr>
        <w:t>means an individual user of our platform. Customers include customers of our loyalty clients who use our platform to transact in loyalty points, as well as customers of our clients who transact in crypto through, and have accounts on, our platform (except as defined for ASC 606 purposes above).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"Loyalty points"</w:t>
      </w:r>
      <w:r>
        <w:rPr>
          <w:color w:val="000000"/>
        </w:rPr>
        <w:t xml:space="preserve"> </w:t>
      </w:r>
      <w:r>
        <w:rPr>
          <w:rFonts w:ascii="Times New Roman;sans-serif" w:hAnsi="Times New Roman;sans-serif"/>
          <w:b w:val="false"/>
          <w:color w:val="000000"/>
          <w:sz w:val="20"/>
        </w:rPr>
        <w:t>means loyalty and/or reward points that are issued by clients to their customers.</w:t>
      </w:r>
    </w:p>
    <w:p>
      <w:pPr>
        <w:pStyle w:val="TextBody"/>
        <w:bidi w:val="0"/>
        <w:spacing w:lineRule="auto" w:line="333" w:before="240" w:after="283"/>
        <w:ind w:left="0" w:right="0" w:firstLine="720"/>
        <w:jc w:val="both"/>
        <w:rPr/>
      </w:pPr>
      <w:r>
        <w:rPr>
          <w:rFonts w:ascii="Times New Roman;sans-serif" w:hAnsi="Times New Roman;sans-serif"/>
          <w:b w:val="false"/>
          <w:color w:val="151515"/>
          <w:sz w:val="20"/>
        </w:rPr>
        <w:t xml:space="preserve">Founded in 2018, Bakkt builds technology that connects the digital economy by offering one ecosystem for crypto and loyalty points. We enable our clients to deliver new opportunities to their customers through </w:t>
      </w:r>
      <w:r>
        <w:rPr>
          <w:rFonts w:ascii="Times New Roman;sans-serif" w:hAnsi="Times New Roman;sans-serif"/>
          <w:b w:val="false"/>
          <w:color w:val="0C0C0C"/>
          <w:sz w:val="20"/>
        </w:rPr>
        <w:t>software as a service (“SaaS”)</w:t>
      </w:r>
      <w:r>
        <w:rPr>
          <w:color w:val="151515"/>
        </w:rPr>
        <w:t xml:space="preserve"> </w:t>
      </w:r>
      <w:r>
        <w:rPr>
          <w:rFonts w:ascii="Times New Roman;sans-serif" w:hAnsi="Times New Roman;sans-serif"/>
          <w:b w:val="false"/>
          <w:color w:val="151515"/>
          <w:sz w:val="20"/>
        </w:rPr>
        <w:t xml:space="preserve">and application programming interface ("API") solutions that unlock crypto and drive loyalty, powering engagement and performance. The global market for crypto, while nascent, is rapidly evolving and expanding. We believe we are well-positioned to provide innovative, multi-faceted product solutions and grow with this evolving market. Our platform is uniquely positioned to power commerce by enabling consumers, brands, and financial institutions to better manage, transact with and monetize crypto in exciting new ways. </w:t>
      </w:r>
    </w:p>
    <w:p>
      <w:pPr>
        <w:pStyle w:val="TextBody"/>
        <w:bidi w:val="0"/>
        <w:spacing w:lineRule="auto" w:line="333" w:before="240" w:after="283"/>
        <w:ind w:left="0" w:right="0" w:firstLine="720"/>
        <w:jc w:val="both"/>
        <w:rPr/>
      </w:pPr>
      <w:r>
        <w:rPr>
          <w:rFonts w:ascii="Times New Roman;sans-serif" w:hAnsi="Times New Roman;sans-serif"/>
          <w:b w:val="false"/>
          <w:color w:val="151515"/>
          <w:sz w:val="20"/>
        </w:rPr>
        <w:t>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Recent Developments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Bakkt Trust Exit</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In October 2024, we began investigating a possible wind-down and dissolution of Bakkt Trust due to its lack of market traction and high cost of capital (due to regulatory requirements). As this process has progressed, we have also worked to find strategic alternatives for Bakkt Trust. As we explore these options, we expect to have a lower regulatory capital requirement during the pendency of this process</w:t>
      </w:r>
      <w:r>
        <w:rPr>
          <w:rFonts w:ascii="Times New Roman;sans-serif" w:hAnsi="Times New Roman;sans-serif"/>
          <w:b w:val="false"/>
          <w:color w:val="0C0C0C"/>
          <w:sz w:val="20"/>
        </w:rPr>
        <w:t>.</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2024, Bakkt and Opco executed a revolving credit facility with Intercontinental Exchange Holdings, Inc. (the “Lender”) and certain subsidiaries of Bakkt party thereto from time to time, as guarantors, whereby the Lender agreed to provide for a $40.0 million secured revolving line of credit for working capital and general corporate purposes. The ICE Credit Facility is available in defined commitment amounts at specified dates in the future. Refer to Liquidity and Capital Resources elsewhere in this section of this Report.</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Reverse Stock Split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New York Stock Exchange (the “NYSE”) as of the open of trading on April 29, 2024. After the Effective Time, the Class A Common Stock continues to be listed on the NYSE under the symbol “BKKT”. As such, the Reverse Stock Split has been retroactively applied to all share and per share information throughout this Quarterly Report on Form 10-Q (unless otherwise noted).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Reverse Stock Split increased the price per share of our Class A Common Stock above the $1.00 per share minimum bid price requirement of Section 802.01C of the NYSE Listed Company Manual (the “Listing Rule”), as discussed below. We, however, cannot assure that the price per share following the Reverse Stock Split will be maintained for any period of time, or that the price will remain above the pre-split trading price or $1.00 per share.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the par value per share of preferred stock and the number of authorized shares of preferred stock did not change.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Opco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outstanding warrants to purchase Class A Common Stock were proportionately adjusted as a result of the Reverse Stock Split in accordance with the terms of the warrants. Proportionate adjustments were also made to our employees and directors' outstanding equity awards, as well as to the number of shares issuable under our 2021 Omnibus Incentive Plan, as amended (the “2021 Omnibus Incentive Plan”).</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February 2024 Concurrent Registered Direct Offerings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1,396,701 shares of our Class A Common Stock,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 As of the date of this report,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$21.675 and the purchase price of each Pre-Funded Warrant and accompanying Warrant was $21.6725.</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 concurrent registered direct offering with ICE (the “ICE Offering”, together with the Third-Party Purchasers offering, the "Concurrent Offerings"), we entered into a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See “</w:t>
      </w:r>
      <w:r>
        <w:rPr>
          <w:rFonts w:ascii="Times New Roman;sans-serif" w:hAnsi="Times New Roman;sans-serif"/>
          <w:b w:val="false"/>
          <w:i/>
          <w:color w:val="231F20"/>
          <w:sz w:val="20"/>
        </w:rPr>
        <w:t>Liquidity and Capital Resources</w:t>
      </w:r>
      <w:r>
        <w:rPr>
          <w:color w:val="231F20"/>
        </w:rPr>
        <w:t xml:space="preserve">” </w:t>
      </w:r>
      <w:r>
        <w:rPr>
          <w:rFonts w:ascii="Times New Roman;sans-serif" w:hAnsi="Times New Roman;sans-serif"/>
          <w:b w:val="false"/>
          <w:color w:val="231F20"/>
          <w:sz w:val="20"/>
        </w:rPr>
        <w:t>below for management’s assertions on the impact of the Concurrent Offerings on our going concern considerations.</w:t>
      </w:r>
    </w:p>
    <w:p>
      <w:pPr>
        <w:pStyle w:val="TextBody"/>
        <w:bidi w:val="0"/>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Crypto Market Developments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a year of significant volatility in crypto asset prices, a loss of confidence in many participants in the crypto asset ecosystem, regulatory actions and adverse publicity around specific companies in 2023, the crypto markets in 2024 continue to be impacted by the broader macroeconomic conditions, including the strength of the overall macroeconomic environment, heightened interest rates, spikes in inflation rates, general market volatility, and geopolitical concerns. We expect the macroeconomic environment and the state of the crypto markets to remain dynamic in the near-term.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crypto assets and crypto market participants have recently faced increased scrutiny by regulators. For example, in 2023, the SEC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SEC approved a number of applications for spot-traded bitcoin exchange-traded funds ("ETFs"). Since then, the crypto market has seen a significant increase in interest from, and participation by, institutional investors. In May 2024, the SEC approved a number of applications for spot-traded Ethereum ETFs, furthering the momentum of institutional investor interest. We believe this increase in institutional interest and adoption intersects with our strengths, as we were originally conceived as an institutionally-focused crypto company.</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Bakkt Crypto Solutions Acquisition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2023, we completed the acquisition of 100% of the ownership interests of Bakkt Crypto Solutions. On March 20, 2024, Bakkt Marketplace merged with Bakkt Crypto Solutions, which now operates as Bakkt Crypto. We are leveraging Bakkt Crypto’s proprietary trading platform and existing relationships with liquidity providers to provide a wider range of assets and competitive pricing to our customers. Our acquisition of Bakkt Crypto Solutions complements our B2B2C growth strategy by broadening our business partnerships to fintechs and neobanks. Specifically, Bakkt Crypto offers customers the ability to purchase, sell, store and, in approved jurisdictions, deposit and withdraw approved crypto assets, all from within the applications of its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Bakkt Crypto is in the process of enhancing capabilities on its trading platform, including support for larger orders and recurring buys, and extending the platform to support institutional execution.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ongoing review of potential services, we continually evaluate how we can most effectively improve our platform and service offerings in a manner that is compliant with applicable governance and regulatory considerations. In such review, we may determine to stop pursuing a potential service offering in light of, among other things, revenue expectations and compliance with applicable laws.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our acquisition of Bakkt Crypto Solutions closed, Bakkt Crypto Solutions had agreements with more than 30 fintech clients pursuant to which the clients made Bakkt Crypto Solutions’ crypto asset trading service available to their customer base. Our acquisition of Bakkt Crypto Solutions resulted in us obtaining access to such partners. The majority of these fintech clients are also part of Apex Fintech Solutions’ client network.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with these fintech clients provide for licensing of their front-end trading platforms by Bakkt Crypto and cooperation between the parties in facilitating consumers’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Following the closing of the acquisition of Bakkt Crypto Solutions and in light of recent regulatory developments, we reviewed all crypto assets then available on the Bakkt Crypto Solutions platform and determined it was appropriate to delist certain of such crypto assets. In effecting such delisting decisions, we attempted to mitigate impacts on our business and customers by affording customers a period in which to exit their positions in the impacted crypto assets as part of an orderly wind-down. The delisting process was completed on September 21, 2023 and we recognized transactional revenue associated with delisted crypto assets of approximately $27.6 million on that date</w:t>
      </w:r>
      <w:r>
        <w:rPr>
          <w:rFonts w:ascii="Times New Roman;sans-serif" w:hAnsi="Times New Roman;sans-serif"/>
          <w:b w:val="false"/>
          <w:color w:val="231F20"/>
          <w:sz w:val="20"/>
        </w:rPr>
        <w:t>. In September 2024, we added nine crypto assets to our trading service, some of which we had previously delisted.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NYSE Listing Notification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2024, we were notified by NYSE that we were not in compliance with the Listing Rule because the average closing stock price of a share of our Class A Common Stock was less than $1.00 per share over a consecutive 30 trading-day period. Pursuant to the Listing Rule, we had six months following the NYSE notification to regain compliance with the Listing Rule, during which time our Class A Common Stock will continue to be listed on the NYSE.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NYSE’s rules, if a Company determines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On June 3, 2024, we received notice that we had regained compliance with the Listing Rule.</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Officer Transition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2024, Gavin Michael resigned as President, Chief Executive Officer and as a director of the Company, as well as from all positions held with the Company’s subsidiaries, effective March 25, 2024. Mr. Michael has been engaged as an advisor to the Company for a period of one year.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2024, the Company announced that the Company’s Board of Directors (the “Board”) appointed Andrew Main to serve as the Company’s President and Chief Executive Officer, effective as of March 26, 2024. In connection with his appointment as the Company’s President and Chief Executive Officer, Mr. Main resigned from his position as a member of the Compensation Committee of the Board, effective as of March 26, 2024. Mr. Main will continue to serve as a member of the Board.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2024, Charles Goodroe resigned from his position as Chief Accounting Officer of the Company, effective May 22, 2024. Effective as of Mr. Goodroe’s resignation, Karen Alexander, the Company’s Chief Financial Officer and principal financial officer, assumed the role of the Company’s principal accounting officer. On July 8, 2024, the Company appointed Joe Henderson as Vice President, Chief Accounting Officer and principal accounting officer of the Company, effective July 8, 2024. Ms. Alexander continues to serve as the Company's Chief Financial Officer following Mr. Henderson's appointment.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Key Factors Affecting Our Performance</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Growing Our Client Base</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B2B2C model. Our goal is to provide these clients opportunities to leverage our capabilities either through their existing environment or by leveraging our platform. Our acquisition of Bakkt Crypto Solutions complements our B2B2C growth strategy by broadening our business partnerships to fintechs and neobanks. </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Product Expansion and Innovation</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crypto marketplace is rapidly evolving. We believe our ability to continue innovating our platform will increase the attractiveness of our platform to clients. Our ability to meet the capability demands of our clients will allow us to continue to grow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Competition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crypto marketplace is highly competitive with numerous participants competing for the same clients. We believe we are well positioned with our ability to provide capabilities around emerging crypto alongside loyalty points on a single, highly secure, institutional-grade technology platform. </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General Economic and Market Conditions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231F20"/>
          <w:sz w:val="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See </w:t>
      </w:r>
      <w:r>
        <w:rPr>
          <w:rFonts w:ascii="Times New Roman;sans-serif" w:hAnsi="Times New Roman;sans-serif"/>
          <w:b w:val="false"/>
          <w:i/>
          <w:color w:val="231F20"/>
          <w:sz w:val="20"/>
        </w:rPr>
        <w:t>"Crypto Market Developments"</w:t>
      </w:r>
      <w:r>
        <w:rPr>
          <w:color w:val="231F20"/>
        </w:rPr>
        <w:t xml:space="preserve"> </w:t>
      </w:r>
      <w:r>
        <w:rPr>
          <w:rFonts w:ascii="Times New Roman;sans-serif" w:hAnsi="Times New Roman;sans-serif"/>
          <w:b w:val="false"/>
          <w:color w:val="231F20"/>
          <w:sz w:val="20"/>
        </w:rPr>
        <w:t>above</w:t>
      </w:r>
      <w:r>
        <w:rPr>
          <w:rFonts w:ascii="Times New Roman;sans-serif" w:hAnsi="Times New Roman;sans-serif"/>
          <w:b w:val="false"/>
          <w:i/>
          <w:color w:val="231F20"/>
          <w:sz w:val="20"/>
        </w:rPr>
        <w:t>.</w:t>
      </w:r>
    </w:p>
    <w:p>
      <w:pPr>
        <w:pStyle w:val="TextBody"/>
        <w:bidi w:val="0"/>
        <w:spacing w:lineRule="auto" w:line="240" w:before="240" w:after="283"/>
        <w:jc w:val="both"/>
        <w:rPr>
          <w:rFonts w:ascii="Times New Roman;sans-serif" w:hAnsi="Times New Roman;sans-serif"/>
          <w:b/>
          <w:i/>
          <w:color w:val="231F20"/>
          <w:sz w:val="20"/>
        </w:rPr>
      </w:pPr>
      <w:r>
        <w:rPr>
          <w:rFonts w:ascii="Times New Roman;sans-serif" w:hAnsi="Times New Roman;sans-serif"/>
          <w:b/>
          <w:i/>
          <w:color w:val="231F20"/>
          <w:sz w:val="20"/>
        </w:rPr>
        <w:t>Regulations in U.S. &amp; International Markets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We are seeking to bring trust and transparency to </w:t>
      </w:r>
      <w:r>
        <w:rPr>
          <w:rFonts w:ascii="Times New Roman;sans-serif" w:hAnsi="Times New Roman;sans-serif"/>
          <w:b w:val="false"/>
          <w:color w:val="000000"/>
          <w:sz w:val="20"/>
        </w:rPr>
        <w:t>crypto</w:t>
      </w:r>
      <w:r>
        <w:rPr>
          <w:rFonts w:ascii="Times New Roman;sans-serif" w:hAnsi="Times New Roman;sans-serif"/>
          <w:b w:val="false"/>
          <w:color w:val="231F20"/>
          <w:sz w:val="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We continue to work with regulators to address the emerging global landscape for </w:t>
      </w:r>
      <w:r>
        <w:rPr>
          <w:rFonts w:ascii="Times New Roman;sans-serif" w:hAnsi="Times New Roman;sans-serif"/>
          <w:b w:val="false"/>
          <w:color w:val="000000"/>
          <w:sz w:val="20"/>
        </w:rPr>
        <w:t>crypto</w:t>
      </w:r>
      <w:r>
        <w:rPr>
          <w:rFonts w:ascii="Times New Roman;sans-serif" w:hAnsi="Times New Roman;sans-serif"/>
          <w:b w:val="false"/>
          <w:color w:val="231F20"/>
          <w:sz w:val="20"/>
        </w:rPr>
        <w:t>. As investment continues, the intersection of technology and finance will require ongoing engagement as new applications emerge. C</w:t>
      </w:r>
      <w:r>
        <w:rPr>
          <w:rFonts w:ascii="Times New Roman;sans-serif" w:hAnsi="Times New Roman;sans-serif"/>
          <w:b w:val="false"/>
          <w:color w:val="000000"/>
          <w:sz w:val="20"/>
        </w:rPr>
        <w:t>rypto asset</w:t>
      </w:r>
      <w:r>
        <w:rPr>
          <w:color w:val="231F20"/>
        </w:rPr>
        <w:t xml:space="preserve"> </w:t>
      </w:r>
      <w:r>
        <w:rPr>
          <w:rFonts w:ascii="Times New Roman;sans-serif" w:hAnsi="Times New Roman;sans-serif"/>
          <w:b w:val="false"/>
          <w:color w:val="231F20"/>
          <w:sz w:val="20"/>
        </w:rPr>
        <w:t xml:space="preserve">and distributed ledger technology have significant, positive potential with proper collaboration between industry and regulators. </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Safeguarding Obligation Liability and Safeguarding Asset Related to Crypto Held for Other Parties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detailed in Note 18 in the unaudited consolidated financial statements included in this Report, upon the adoption of Staff Accounting Bulletin 121 (“SAB 121”), we recorded a safeguarding obligation liability and a corresponding safeguarding asset related to the crypto held for other parties. As of September 30, 2024, the safeguarding obligation liability related to crypto assets held for other parties was approximately $938.7 million. We have taken steps to mitigate the potential risk of loss for the crypto we hold for other parties, including holding insurance coverage specifically for certain crypto incidents and using secure cold storage to store the vast majority of crypto that we hold. SAB 121 also asks us to consider the legal ownership of the crypto held for other parties, including whether the crypto held for other parties would be available to satisfy general creditor claims in the event of our bankruptcy.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legal rights with respect to crypto held on behalf of third parties by a custodian, such as us, upon the custodian’s bankruptcy have not yet been settled by courts and are highly fact-dependent. However, based on the terms and conditions of our terms of service and applicable law, in the event that we were to enter bankruptcy, we believe the crypto that we hold in custody for users of our platform should be respected as users’ property (and should not be available to satisfy the claims of our general creditors). We do not allow users to purchase crypto on margin, and crypto held on our platform does not serve as collateral for margin loans. We hold crypto in custody for users in one or more omnibus crypto wallets. We hold cryptographic key information and maintain internal record keeping for the crypto we hold in custody for users, and we are obligated to secure such assets from loss or theft. Our contractual arrangements state that our customers and clients retain legal ownership of the crypto custodied by us on their behalf; they also benefit from the rewards and bear the risks associated with their ownership, including as a result of any price fluctuations. We have been monitoring and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continue to actively monitor legal and regulatory developments and may consider further steps, as appropriate, to support this contractual position so that in the event of our bankruptcy, the crypto custodied by us should not be deemed to be part of our bankruptcy estate. We do not expect potential future cash flows associated with the crypto safeguarding obligation liability.</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Key Performance Indicators</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We use four key performance indicators (“KPIs”) that are key to understanding our business performance, as they reflect the different ways we enable clients to engage with our platform. </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C0C0C"/>
          <w:sz w:val="20"/>
        </w:rPr>
        <w:t>Crypto-enabled accounts.</w:t>
      </w:r>
      <w:r>
        <w:rPr>
          <w:color w:val="0C0C0C"/>
        </w:rPr>
        <w:t xml:space="preserve"> </w:t>
      </w:r>
      <w:r>
        <w:rPr>
          <w:rFonts w:ascii="Times New Roman;sans-serif" w:hAnsi="Times New Roman;sans-serif"/>
          <w:b w:val="false"/>
          <w:color w:val="0C0C0C"/>
          <w:sz w:val="20"/>
        </w:rPr>
        <w:t xml:space="preserve">We define crypto-enabled accounts as the total crypto accounts open on our platform. There were 6.5 million and 6.2 million crypto-enabled accounts </w:t>
      </w:r>
      <w:r>
        <w:rPr>
          <w:rFonts w:ascii="Times New Roman;sans-serif" w:hAnsi="Times New Roman;sans-serif"/>
          <w:b w:val="false"/>
          <w:color w:val="000000"/>
          <w:sz w:val="20"/>
        </w:rPr>
        <w:t>as of September 30, 2024 and December 31, 2023, respectively</w:t>
      </w:r>
      <w:r>
        <w:rPr>
          <w:rFonts w:ascii="Times New Roman;sans-serif" w:hAnsi="Times New Roman;sans-serif"/>
          <w:b w:val="false"/>
          <w:color w:val="0C0C0C"/>
          <w:sz w:val="20"/>
        </w:rPr>
        <w:t>.</w:t>
      </w:r>
    </w:p>
    <w:p>
      <w:pPr>
        <w:pStyle w:val="TextBody"/>
        <w:bidi w:val="0"/>
        <w:spacing w:lineRule="auto" w:line="333" w:before="240" w:after="283"/>
        <w:ind w:left="0" w:right="0" w:hanging="360"/>
        <w:jc w:val="both"/>
        <w:rPr/>
      </w:pPr>
      <w:r>
        <w:rPr>
          <w:color w:val="000000"/>
        </w:rPr>
        <w:t>•</w:t>
      </w:r>
      <w:r>
        <w:rPr>
          <w:rFonts w:ascii="Times New Roman;sans-serif" w:hAnsi="Times New Roman;sans-serif"/>
          <w:b/>
          <w:i/>
          <w:color w:val="0C0C0C"/>
          <w:sz w:val="20"/>
        </w:rPr>
        <w:t>Transacting accounts.</w:t>
      </w:r>
      <w:r>
        <w:rPr>
          <w:color w:val="0C0C0C"/>
        </w:rPr>
        <w:t xml:space="preserve"> </w:t>
      </w:r>
      <w:r>
        <w:rPr>
          <w:rFonts w:ascii="Times New Roman;sans-serif" w:hAnsi="Times New Roman;sans-serif"/>
          <w:b w:val="false"/>
          <w:color w:val="0C0C0C"/>
          <w:sz w:val="20"/>
        </w:rPr>
        <w:t xml:space="preserve">We define transacting accounts as unique accounts that perform transactions on our platform each month. We use transacting accounts to reflect how users across our platform use the variety of services we offer, such as buying and selling crypto to facilitate everyday purchases, redeeming loyalty points for travel or merchandise, or converting loyalty points to cash or gift cards. There were 0.6 million and 2.1 million unique monthly transacting accounts during the </w:t>
      </w:r>
      <w:r>
        <w:rPr>
          <w:rFonts w:ascii="Times New Roman;sans-serif" w:hAnsi="Times New Roman;sans-serif"/>
          <w:b w:val="false"/>
          <w:color w:val="000000"/>
          <w:sz w:val="20"/>
        </w:rPr>
        <w:t>three and nine months ending September 30, 2024, respectively</w:t>
      </w:r>
      <w:r>
        <w:rPr>
          <w:rFonts w:ascii="Times New Roman;sans-serif" w:hAnsi="Times New Roman;sans-serif"/>
          <w:b w:val="false"/>
          <w:color w:val="0C0C0C"/>
          <w:sz w:val="20"/>
        </w:rPr>
        <w:t>.</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00000"/>
          <w:sz w:val="20"/>
        </w:rPr>
        <w:t>Notional traded volume.</w:t>
      </w:r>
      <w:r>
        <w:rPr>
          <w:color w:val="000000"/>
        </w:rPr>
        <w:t xml:space="preserve"> </w:t>
      </w:r>
      <w:r>
        <w:rPr>
          <w:rFonts w:ascii="Times New Roman;sans-serif" w:hAnsi="Times New Roman;sans-serif"/>
          <w:b w:val="false"/>
          <w:color w:val="0C0C0C"/>
          <w:sz w:val="20"/>
        </w:rPr>
        <w:t xml:space="preserve">We define notional traded volume as the total notional volume of transactions across crypto and loyalty platforms. The figures we use represent gross values recorded as of the order date. Notional traded volumes were $476.5 million and $2,189.5 million during the </w:t>
      </w:r>
      <w:r>
        <w:rPr>
          <w:rFonts w:ascii="Times New Roman;sans-serif" w:hAnsi="Times New Roman;sans-serif"/>
          <w:b w:val="false"/>
          <w:color w:val="000000"/>
          <w:sz w:val="20"/>
        </w:rPr>
        <w:t>three and nine months ending September 30, 2024, respectively</w:t>
      </w:r>
      <w:r>
        <w:rPr>
          <w:rFonts w:ascii="Times New Roman;sans-serif" w:hAnsi="Times New Roman;sans-serif"/>
          <w:b w:val="false"/>
          <w:color w:val="0C0C0C"/>
          <w:sz w:val="20"/>
        </w:rPr>
        <w:t>.</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00000"/>
          <w:sz w:val="20"/>
        </w:rPr>
        <w:t>Assets under custody.</w:t>
      </w:r>
      <w:r>
        <w:rPr>
          <w:color w:val="000000"/>
        </w:rPr>
        <w:t xml:space="preserve"> </w:t>
      </w:r>
      <w:r>
        <w:rPr>
          <w:rFonts w:ascii="Times New Roman;sans-serif" w:hAnsi="Times New Roman;sans-serif"/>
          <w:b w:val="false"/>
          <w:color w:val="0C0C0C"/>
          <w:sz w:val="20"/>
        </w:rPr>
        <w:t xml:space="preserve">We define assets under custody as the sum of coin quantities held by customers multiplied by the final quote for each coin on the last day of the quarter. Assets under custody were $938.7 million and </w:t>
      </w:r>
      <w:r>
        <w:rPr>
          <w:rFonts w:ascii="Times New Roman;sans-serif" w:hAnsi="Times New Roman;sans-serif"/>
          <w:b w:val="false"/>
          <w:color w:val="000000"/>
          <w:sz w:val="20"/>
        </w:rPr>
        <w:t>$701.6 million</w:t>
      </w:r>
      <w:r>
        <w:rPr>
          <w:color w:val="0C0C0C"/>
        </w:rPr>
        <w:t xml:space="preserve"> </w:t>
      </w:r>
      <w:r>
        <w:rPr>
          <w:rFonts w:ascii="Times New Roman;sans-serif" w:hAnsi="Times New Roman;sans-serif"/>
          <w:b w:val="false"/>
          <w:color w:val="000000"/>
          <w:sz w:val="20"/>
        </w:rPr>
        <w:t>as of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bidi w:val="0"/>
        <w:spacing w:lineRule="auto" w:line="333" w:before="240" w:after="240"/>
        <w:ind w:left="0" w:right="0" w:firstLine="720"/>
        <w:jc w:val="both"/>
        <w:rPr/>
      </w:pPr>
      <w:r>
        <w:rPr>
          <w:rFonts w:ascii="Times New Roman;sans-serif" w:hAnsi="Times New Roman;sans-serif"/>
          <w:b w:val="false"/>
          <w:color w:val="231F20"/>
          <w:sz w:val="20"/>
        </w:rPr>
        <w:t xml:space="preserve">The following table is our consolidated statements of operations </w:t>
      </w:r>
      <w:r>
        <w:rPr>
          <w:rFonts w:ascii="Times New Roman;sans-serif" w:hAnsi="Times New Roman;sans-serif"/>
          <w:b w:val="false"/>
          <w:color w:val="000000"/>
          <w:sz w:val="20"/>
        </w:rPr>
        <w:t xml:space="preserve">for the three and nine months ended September 30, 2024 and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 respectively</w:t>
      </w:r>
      <w:r>
        <w:rPr>
          <w:color w:val="231F20"/>
        </w:rPr>
        <w:t xml:space="preserve"> </w:t>
      </w:r>
      <w:r>
        <w:rPr>
          <w:rFonts w:ascii="Times New Roman;sans-serif" w:hAnsi="Times New Roman;sans-serif"/>
          <w:b w:val="false"/>
          <w:color w:val="231F20"/>
          <w:sz w:val="20"/>
        </w:rPr>
        <w:t xml:space="preserve">(in thousands, except per share data):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03"/>
        <w:gridCol w:w="990"/>
        <w:gridCol w:w="996"/>
        <w:gridCol w:w="274"/>
        <w:gridCol w:w="1032"/>
        <w:gridCol w:w="152"/>
        <w:gridCol w:w="109"/>
        <w:gridCol w:w="109"/>
        <w:gridCol w:w="109"/>
        <w:gridCol w:w="274"/>
        <w:gridCol w:w="1032"/>
        <w:gridCol w:w="152"/>
        <w:gridCol w:w="109"/>
        <w:gridCol w:w="109"/>
        <w:gridCol w:w="109"/>
        <w:gridCol w:w="243"/>
        <w:gridCol w:w="1083"/>
        <w:gridCol w:w="135"/>
        <w:gridCol w:w="109"/>
        <w:gridCol w:w="109"/>
        <w:gridCol w:w="109"/>
        <w:gridCol w:w="261"/>
        <w:gridCol w:w="984"/>
        <w:gridCol w:w="213"/>
      </w:tblGrid>
      <w:tr>
        <w:trPr/>
        <w:tc>
          <w:tcPr>
            <w:tcW w:w="140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2023</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Crypto services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1,654,814 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Loyalty services, net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38,096 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328,419 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204,774 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1,692,899 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565,622 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Crypto costs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1,636,514 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521,601 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Execution, clearing and brokerage fees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communication</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expenses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impairments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355,802 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257,634 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1,774,136 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715,018 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(81,237)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(149,396)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from change in fair value of warrant liability</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(62,962)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(146,718)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(63,078)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(147,119)</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(98,964)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Bakkt Holdings, Inc.</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(48,155)</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Class A Common Stockholders: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Three Months Ended September 30, 2024 compared to Three Months Ended September 30, 2023</w:t>
      </w:r>
    </w:p>
    <w:p>
      <w:pPr>
        <w:pStyle w:val="TextBody"/>
        <w:bidi w:val="0"/>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Financial Summary</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three months ended September 30, 2024 included the following notable items relative to the three months ended September 30, 2023:</w:t>
      </w:r>
    </w:p>
    <w:p>
      <w:pPr>
        <w:pStyle w:val="TextBody"/>
        <w:bidi w:val="0"/>
        <w:spacing w:lineRule="auto" w:line="333" w:before="60" w:after="283"/>
        <w:ind w:left="0" w:right="0" w:hanging="360"/>
        <w:jc w:val="both"/>
        <w:rPr/>
      </w:pPr>
      <w:r>
        <w:rPr>
          <w:color w:val="231F20"/>
        </w:rPr>
        <w:t>•</w:t>
      </w:r>
      <w:r>
        <w:rPr>
          <w:rFonts w:ascii="Times New Roman;sans-serif" w:hAnsi="Times New Roman;sans-serif"/>
          <w:b w:val="false"/>
          <w:color w:val="231F20"/>
          <w:sz w:val="20"/>
        </w:rPr>
        <w:t xml:space="preserve">Revenue increased </w:t>
      </w:r>
      <w:r>
        <w:rPr>
          <w:rFonts w:ascii="Times New Roman;sans-serif" w:hAnsi="Times New Roman;sans-serif"/>
          <w:b w:val="false"/>
          <w:color w:val="000000"/>
          <w:sz w:val="20"/>
        </w:rPr>
        <w:t>$123.6 million</w:t>
      </w:r>
      <w:r>
        <w:rPr>
          <w:color w:val="231F20"/>
        </w:rPr>
        <w:t xml:space="preserve"> </w:t>
      </w:r>
      <w:r>
        <w:rPr>
          <w:rFonts w:ascii="Times New Roman;sans-serif" w:hAnsi="Times New Roman;sans-serif"/>
          <w:b w:val="false"/>
          <w:color w:val="231F20"/>
          <w:sz w:val="20"/>
        </w:rPr>
        <w:t>primarily driven by an increase in crypto trading volume compared to the prior year third quarter;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231F20"/>
          <w:sz w:val="20"/>
        </w:rPr>
        <w:t xml:space="preserve">Operating expenses increased </w:t>
      </w:r>
      <w:r>
        <w:rPr>
          <w:rFonts w:ascii="Times New Roman;sans-serif" w:hAnsi="Times New Roman;sans-serif"/>
          <w:b w:val="false"/>
          <w:color w:val="000000"/>
          <w:sz w:val="20"/>
        </w:rPr>
        <w:t>$98.2 million</w:t>
      </w:r>
      <w:r>
        <w:rPr>
          <w:color w:val="231F20"/>
        </w:rPr>
        <w:t xml:space="preserve"> </w:t>
      </w:r>
      <w:r>
        <w:rPr>
          <w:rFonts w:ascii="Times New Roman;sans-serif" w:hAnsi="Times New Roman;sans-serif"/>
          <w:b w:val="false"/>
          <w:color w:val="231F20"/>
          <w:sz w:val="20"/>
        </w:rPr>
        <w:t>primarily driven by higher crypto trading costs in connection with higher crypto trading volume compared to the prior year third quarter.</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Revenue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consist of crypto and loyalty revenue. We earn revenue when consumers use our services to buy, sell, and store crypto and redeem loyalty points. We generate revenue across our platform in the following key areas: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Subscription and service revenue. We receive a recurring subscription revenue stream from client platform fees as well as service revenue from software development fees and call center support.</w:t>
      </w:r>
    </w:p>
    <w:p>
      <w:pPr>
        <w:pStyle w:val="TextBody"/>
        <w:bidi w:val="0"/>
        <w:spacing w:lineRule="auto" w:line="333" w:before="120" w:after="240"/>
        <w:ind w:left="0" w:right="0" w:hanging="360"/>
        <w:jc w:val="both"/>
        <w:rPr/>
      </w:pPr>
      <w:r>
        <w:rPr>
          <w:color w:val="000000"/>
        </w:rPr>
        <w:t>•</w:t>
      </w:r>
      <w:r>
        <w:rPr>
          <w:rFonts w:ascii="Times New Roman;sans-serif" w:hAnsi="Times New Roman;sans-serif"/>
          <w:b w:val="false"/>
          <w:color w:val="000000"/>
          <w:sz w:val="20"/>
        </w:rPr>
        <w:t>Transaction revenue. We generate transaction revenue from crypto buy/sell trades where we earn a spread on both legs of the transaction (reported gross) and through loyalty redemption volumes where we receive a percentage fee based on the volume (reported net of associated costs).</w:t>
      </w:r>
    </w:p>
    <w:p>
      <w:pPr>
        <w:pStyle w:val="TextBody"/>
        <w:bidi w:val="0"/>
        <w:spacing w:lineRule="auto" w:line="333" w:before="12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Crypto Services Revenue</w:t>
      </w:r>
    </w:p>
    <w:tbl>
      <w:tblPr>
        <w:tblW w:w="10205" w:type="dxa"/>
        <w:jc w:val="left"/>
        <w:tblInd w:w="0" w:type="dxa"/>
        <w:tblLayout w:type="fixed"/>
        <w:tblCellMar>
          <w:top w:w="28" w:type="dxa"/>
          <w:left w:w="28" w:type="dxa"/>
          <w:bottom w:w="28" w:type="dxa"/>
          <w:right w:w="28" w:type="dxa"/>
        </w:tblCellMar>
      </w:tblPr>
      <w:tblGrid>
        <w:gridCol w:w="467"/>
        <w:gridCol w:w="411"/>
        <w:gridCol w:w="412"/>
        <w:gridCol w:w="521"/>
        <w:gridCol w:w="2040"/>
        <w:gridCol w:w="269"/>
        <w:gridCol w:w="109"/>
        <w:gridCol w:w="109"/>
        <w:gridCol w:w="109"/>
        <w:gridCol w:w="521"/>
        <w:gridCol w:w="2040"/>
        <w:gridCol w:w="269"/>
        <w:gridCol w:w="109"/>
        <w:gridCol w:w="109"/>
        <w:gridCol w:w="109"/>
        <w:gridCol w:w="211"/>
        <w:gridCol w:w="826"/>
        <w:gridCol w:w="109"/>
        <w:gridCol w:w="109"/>
        <w:gridCol w:w="109"/>
        <w:gridCol w:w="109"/>
        <w:gridCol w:w="255"/>
        <w:gridCol w:w="256"/>
        <w:gridCol w:w="617"/>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Crypto services</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316,333 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191,750 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Crypto services revenue increased by </w:t>
      </w:r>
      <w:r>
        <w:rPr>
          <w:rFonts w:ascii="Times New Roman;sans-serif" w:hAnsi="Times New Roman;sans-serif"/>
          <w:b w:val="false"/>
          <w:color w:val="000000"/>
          <w:sz w:val="20"/>
        </w:rPr>
        <w:t>$124.6 million, or 65.0%,</w:t>
      </w:r>
      <w:r>
        <w:rPr>
          <w:color w:val="231F20"/>
        </w:rPr>
        <w:t xml:space="preserve"> </w:t>
      </w:r>
      <w:r>
        <w:rPr>
          <w:rFonts w:ascii="Times New Roman;sans-serif" w:hAnsi="Times New Roman;sans-serif"/>
          <w:b w:val="false"/>
          <w:color w:val="231F20"/>
          <w:sz w:val="20"/>
        </w:rPr>
        <w:t xml:space="preserve">for the three months ended September 30, 2024 compared to the three months ended September 30, 2023. The increase was primarily driven by increased crypto trading volume due to improved market trading volume for crypto as compared to the prior year third quarter. </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Loyalty Services Revenue</w:t>
      </w:r>
    </w:p>
    <w:tbl>
      <w:tblPr>
        <w:tblW w:w="10205" w:type="dxa"/>
        <w:jc w:val="left"/>
        <w:tblInd w:w="0" w:type="dxa"/>
        <w:tblLayout w:type="fixed"/>
        <w:tblCellMar>
          <w:top w:w="28" w:type="dxa"/>
          <w:left w:w="28" w:type="dxa"/>
          <w:bottom w:w="28" w:type="dxa"/>
          <w:right w:w="28" w:type="dxa"/>
        </w:tblCellMar>
      </w:tblPr>
      <w:tblGrid>
        <w:gridCol w:w="558"/>
        <w:gridCol w:w="490"/>
        <w:gridCol w:w="493"/>
        <w:gridCol w:w="585"/>
        <w:gridCol w:w="2002"/>
        <w:gridCol w:w="302"/>
        <w:gridCol w:w="109"/>
        <w:gridCol w:w="109"/>
        <w:gridCol w:w="109"/>
        <w:gridCol w:w="585"/>
        <w:gridCol w:w="2002"/>
        <w:gridCol w:w="302"/>
        <w:gridCol w:w="109"/>
        <w:gridCol w:w="109"/>
        <w:gridCol w:w="109"/>
        <w:gridCol w:w="211"/>
        <w:gridCol w:w="535"/>
        <w:gridCol w:w="109"/>
        <w:gridCol w:w="109"/>
        <w:gridCol w:w="109"/>
        <w:gridCol w:w="109"/>
        <w:gridCol w:w="233"/>
        <w:gridCol w:w="233"/>
        <w:gridCol w:w="584"/>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 in thousands)</w:t>
            </w:r>
          </w:p>
        </w:tc>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Loyalty services, net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Loyalty services revenue decreased by </w:t>
      </w:r>
      <w:r>
        <w:rPr>
          <w:rFonts w:ascii="Times New Roman;sans-serif" w:hAnsi="Times New Roman;sans-serif"/>
          <w:b w:val="false"/>
          <w:color w:val="000000"/>
          <w:sz w:val="20"/>
        </w:rPr>
        <w:t>$0.9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7.2%</w:t>
      </w:r>
      <w:r>
        <w:rPr>
          <w:rFonts w:ascii="Times New Roman;sans-serif" w:hAnsi="Times New Roman;sans-serif"/>
          <w:b w:val="false"/>
          <w:color w:val="231F20"/>
          <w:sz w:val="20"/>
        </w:rPr>
        <w:t xml:space="preserve">, for the three months ended September 30, 2024 compared to the three months ended September 30, 2023. The decrease was primarily related to a $0.8 million reduction in transaction revenue and a $0.2 million decrease in subscription and services revenue. </w:t>
      </w:r>
    </w:p>
    <w:p>
      <w:pPr>
        <w:pStyle w:val="TextBody"/>
        <w:bidi w:val="0"/>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Operating Expenses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Crypto Costs</w:t>
      </w:r>
    </w:p>
    <w:tbl>
      <w:tblPr>
        <w:tblW w:w="10205" w:type="dxa"/>
        <w:jc w:val="left"/>
        <w:tblInd w:w="0" w:type="dxa"/>
        <w:tblLayout w:type="fixed"/>
        <w:tblCellMar>
          <w:top w:w="28" w:type="dxa"/>
          <w:left w:w="28" w:type="dxa"/>
          <w:bottom w:w="28" w:type="dxa"/>
          <w:right w:w="28" w:type="dxa"/>
        </w:tblCellMar>
      </w:tblPr>
      <w:tblGrid>
        <w:gridCol w:w="467"/>
        <w:gridCol w:w="411"/>
        <w:gridCol w:w="412"/>
        <w:gridCol w:w="521"/>
        <w:gridCol w:w="2040"/>
        <w:gridCol w:w="269"/>
        <w:gridCol w:w="109"/>
        <w:gridCol w:w="109"/>
        <w:gridCol w:w="109"/>
        <w:gridCol w:w="521"/>
        <w:gridCol w:w="2040"/>
        <w:gridCol w:w="269"/>
        <w:gridCol w:w="109"/>
        <w:gridCol w:w="109"/>
        <w:gridCol w:w="109"/>
        <w:gridCol w:w="211"/>
        <w:gridCol w:w="826"/>
        <w:gridCol w:w="109"/>
        <w:gridCol w:w="109"/>
        <w:gridCol w:w="109"/>
        <w:gridCol w:w="109"/>
        <w:gridCol w:w="255"/>
        <w:gridCol w:w="256"/>
        <w:gridCol w:w="617"/>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Crypto costs</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312,841 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189,428 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Crypto costs represent the gross value of crypto sold by our customers on our platform. These costs are measured at the executed price at the time of the trade. Crypto costs increased by $123.4 million, or </w:t>
      </w:r>
      <w:r>
        <w:rPr>
          <w:rFonts w:ascii="Times New Roman;sans-serif" w:hAnsi="Times New Roman;sans-serif"/>
          <w:b w:val="false"/>
          <w:color w:val="000000"/>
          <w:sz w:val="20"/>
        </w:rPr>
        <w:t>65.2%,</w:t>
      </w:r>
      <w:r>
        <w:rPr>
          <w:color w:val="231F20"/>
        </w:rPr>
        <w:t xml:space="preserve"> </w:t>
      </w:r>
      <w:r>
        <w:rPr>
          <w:rFonts w:ascii="Times New Roman;sans-serif" w:hAnsi="Times New Roman;sans-serif"/>
          <w:b w:val="false"/>
          <w:color w:val="231F20"/>
          <w:sz w:val="20"/>
        </w:rPr>
        <w:t>for the three months ended September 30, 2024 compared to the three months ended September 30, 2023</w:t>
      </w:r>
      <w:r>
        <w:rPr>
          <w:rFonts w:ascii="Times New Roman;sans-serif" w:hAnsi="Times New Roman;sans-serif"/>
          <w:b w:val="false"/>
          <w:color w:val="231F20"/>
          <w:sz w:val="20"/>
          <w:shd w:fill="FFFFFF" w:val="clear"/>
        </w:rPr>
        <w:t>.</w:t>
      </w:r>
      <w:r>
        <w:rPr>
          <w:color w:val="231F20"/>
        </w:rPr>
        <w:t xml:space="preserve"> </w:t>
      </w:r>
      <w:r>
        <w:rPr>
          <w:rFonts w:ascii="Times New Roman;sans-serif" w:hAnsi="Times New Roman;sans-serif"/>
          <w:b w:val="false"/>
          <w:color w:val="231F20"/>
          <w:sz w:val="20"/>
        </w:rPr>
        <w:t>The increase reflects increased volume driven by improved crypto market trading relative to the prior year third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Execution, Clearing and Brokerage Fees</w:t>
      </w:r>
    </w:p>
    <w:tbl>
      <w:tblPr>
        <w:tblW w:w="10205" w:type="dxa"/>
        <w:jc w:val="left"/>
        <w:tblInd w:w="0" w:type="dxa"/>
        <w:tblLayout w:type="fixed"/>
        <w:tblCellMar>
          <w:top w:w="28" w:type="dxa"/>
          <w:left w:w="28" w:type="dxa"/>
          <w:bottom w:w="28" w:type="dxa"/>
          <w:right w:w="28" w:type="dxa"/>
        </w:tblCellMar>
      </w:tblPr>
      <w:tblGrid>
        <w:gridCol w:w="823"/>
        <w:gridCol w:w="706"/>
        <w:gridCol w:w="708"/>
        <w:gridCol w:w="541"/>
        <w:gridCol w:w="1585"/>
        <w:gridCol w:w="282"/>
        <w:gridCol w:w="109"/>
        <w:gridCol w:w="109"/>
        <w:gridCol w:w="109"/>
        <w:gridCol w:w="646"/>
        <w:gridCol w:w="1427"/>
        <w:gridCol w:w="335"/>
        <w:gridCol w:w="109"/>
        <w:gridCol w:w="109"/>
        <w:gridCol w:w="109"/>
        <w:gridCol w:w="211"/>
        <w:gridCol w:w="616"/>
        <w:gridCol w:w="109"/>
        <w:gridCol w:w="109"/>
        <w:gridCol w:w="109"/>
        <w:gridCol w:w="109"/>
        <w:gridCol w:w="308"/>
        <w:gridCol w:w="308"/>
        <w:gridCol w:w="619"/>
      </w:tblGrid>
      <w:tr>
        <w:trPr/>
        <w:tc>
          <w:tcPr>
            <w:tcW w:w="82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Execution, clearing and brokerage fees</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Execution, clearing and brokerage fees primarily represent payments to clients in exchange for driving order flow to our platform. Execution, clearing and brokerage fees increased by $1.5 million during the three months ended September 30, 2024</w:t>
      </w:r>
      <w:r>
        <w:rPr>
          <w:rFonts w:ascii="Times New Roman;sans-serif" w:hAnsi="Times New Roman;sans-serif"/>
          <w:b w:val="false"/>
          <w:color w:val="231F20"/>
          <w:sz w:val="20"/>
          <w:shd w:fill="FFFFFF" w:val="clear"/>
        </w:rPr>
        <w:t>.</w:t>
      </w:r>
      <w:r>
        <w:rPr>
          <w:color w:val="231F20"/>
        </w:rPr>
        <w:t xml:space="preserve"> </w:t>
      </w:r>
      <w:r>
        <w:rPr>
          <w:rFonts w:ascii="Times New Roman;sans-serif" w:hAnsi="Times New Roman;sans-serif"/>
          <w:b w:val="false"/>
          <w:color w:val="231F20"/>
          <w:sz w:val="20"/>
        </w:rPr>
        <w:t>The increase reflects increased crypto transaction volume as described above.</w:t>
      </w:r>
    </w:p>
    <w:p>
      <w:pPr>
        <w:pStyle w:val="TextBody"/>
        <w:bidi w:val="0"/>
        <w:spacing w:before="0" w:after="0"/>
        <w:jc w:val="both"/>
        <w:rPr/>
      </w:pPr>
      <w:r>
        <w:rPr/>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Compensation and Benefits</w:t>
      </w:r>
    </w:p>
    <w:tbl>
      <w:tblPr>
        <w:tblW w:w="10205" w:type="dxa"/>
        <w:jc w:val="left"/>
        <w:tblInd w:w="0" w:type="dxa"/>
        <w:tblLayout w:type="fixed"/>
        <w:tblCellMar>
          <w:top w:w="28" w:type="dxa"/>
          <w:left w:w="28" w:type="dxa"/>
          <w:bottom w:w="28" w:type="dxa"/>
          <w:right w:w="28" w:type="dxa"/>
        </w:tblCellMar>
      </w:tblPr>
      <w:tblGrid>
        <w:gridCol w:w="716"/>
        <w:gridCol w:w="629"/>
        <w:gridCol w:w="579"/>
        <w:gridCol w:w="519"/>
        <w:gridCol w:w="1775"/>
        <w:gridCol w:w="268"/>
        <w:gridCol w:w="109"/>
        <w:gridCol w:w="109"/>
        <w:gridCol w:w="109"/>
        <w:gridCol w:w="519"/>
        <w:gridCol w:w="1775"/>
        <w:gridCol w:w="268"/>
        <w:gridCol w:w="109"/>
        <w:gridCol w:w="109"/>
        <w:gridCol w:w="109"/>
        <w:gridCol w:w="211"/>
        <w:gridCol w:w="666"/>
        <w:gridCol w:w="109"/>
        <w:gridCol w:w="109"/>
        <w:gridCol w:w="109"/>
        <w:gridCol w:w="109"/>
        <w:gridCol w:w="285"/>
        <w:gridCol w:w="286"/>
        <w:gridCol w:w="619"/>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24,608 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Compensation and benefits expense include all salaries and benefits, compensation for contract labor, incentive programs for employees, payroll taxes, share-based and unit-based compensation and other employee related costs.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headcount decreased year over year as we undertook restructuring actions and right sized our expense base to meet current market demand. We expect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 Compensation and benefits decreased by $3.5 million, or 14.3%, for the three months ended September 30, 2024 compared to the three months ended September 30, 2023. The decrease was primarily due to decreases of $2.7 million in salaries and wages and $0.6 million in non-cash compensation. </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Professional Services</w:t>
      </w:r>
    </w:p>
    <w:tbl>
      <w:tblPr>
        <w:tblW w:w="10205" w:type="dxa"/>
        <w:jc w:val="left"/>
        <w:tblInd w:w="0" w:type="dxa"/>
        <w:tblLayout w:type="fixed"/>
        <w:tblCellMar>
          <w:top w:w="28" w:type="dxa"/>
          <w:left w:w="28" w:type="dxa"/>
          <w:bottom w:w="28" w:type="dxa"/>
          <w:right w:w="28" w:type="dxa"/>
        </w:tblCellMar>
      </w:tblPr>
      <w:tblGrid>
        <w:gridCol w:w="601"/>
        <w:gridCol w:w="485"/>
        <w:gridCol w:w="487"/>
        <w:gridCol w:w="615"/>
        <w:gridCol w:w="1804"/>
        <w:gridCol w:w="321"/>
        <w:gridCol w:w="109"/>
        <w:gridCol w:w="109"/>
        <w:gridCol w:w="109"/>
        <w:gridCol w:w="615"/>
        <w:gridCol w:w="1804"/>
        <w:gridCol w:w="321"/>
        <w:gridCol w:w="109"/>
        <w:gridCol w:w="109"/>
        <w:gridCol w:w="109"/>
        <w:gridCol w:w="211"/>
        <w:gridCol w:w="616"/>
        <w:gridCol w:w="109"/>
        <w:gridCol w:w="109"/>
        <w:gridCol w:w="109"/>
        <w:gridCol w:w="109"/>
        <w:gridCol w:w="308"/>
        <w:gridCol w:w="308"/>
        <w:gridCol w:w="619"/>
      </w:tblGrid>
      <w:tr>
        <w:trPr/>
        <w:tc>
          <w:tcPr>
            <w:tcW w:w="60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Professional services expense includes fees for accounting, legal and regulatory fees. Professional services increased by $3.4 million, or 172.5%, for the three months ended September 30, 2024 compared to the three months ended September 30, 2023. The increase was primarily due to an increase of $3.0 million in legal fees, mainly in relation to strategic and transformational initiatives, and an increase of $0.4 million in audit and tax fees.</w:t>
      </w:r>
    </w:p>
    <w:p>
      <w:pPr>
        <w:pStyle w:val="TextBody"/>
        <w:bidi w:val="0"/>
        <w:spacing w:lineRule="auto" w:line="333" w:before="240" w:after="240"/>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Technology and Communication</w:t>
      </w:r>
    </w:p>
    <w:tbl>
      <w:tblPr>
        <w:tblW w:w="10205" w:type="dxa"/>
        <w:jc w:val="left"/>
        <w:tblInd w:w="0" w:type="dxa"/>
        <w:tblLayout w:type="fixed"/>
        <w:tblCellMar>
          <w:top w:w="28" w:type="dxa"/>
          <w:left w:w="28" w:type="dxa"/>
          <w:bottom w:w="28" w:type="dxa"/>
          <w:right w:w="28" w:type="dxa"/>
        </w:tblCellMar>
      </w:tblPr>
      <w:tblGrid>
        <w:gridCol w:w="791"/>
        <w:gridCol w:w="695"/>
        <w:gridCol w:w="679"/>
        <w:gridCol w:w="549"/>
        <w:gridCol w:w="1608"/>
        <w:gridCol w:w="286"/>
        <w:gridCol w:w="109"/>
        <w:gridCol w:w="109"/>
        <w:gridCol w:w="109"/>
        <w:gridCol w:w="549"/>
        <w:gridCol w:w="1608"/>
        <w:gridCol w:w="286"/>
        <w:gridCol w:w="109"/>
        <w:gridCol w:w="109"/>
        <w:gridCol w:w="109"/>
        <w:gridCol w:w="211"/>
        <w:gridCol w:w="664"/>
        <w:gridCol w:w="109"/>
        <w:gridCol w:w="109"/>
        <w:gridCol w:w="109"/>
        <w:gridCol w:w="109"/>
        <w:gridCol w:w="285"/>
        <w:gridCol w:w="286"/>
        <w:gridCol w:w="618"/>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decreased by $1.3 million, or 23.5%, for the three months ended September 30, 2024 compared to the three months ended September 30, 2023. The decrease was primarily due to a decrease of $0.9 million in hardware and software license fees, and a decrease of $0.4 million in hosting fees. We expect these costs to decline in the future as we optimize our operational footprint.</w:t>
      </w:r>
    </w:p>
    <w:p>
      <w:pPr>
        <w:pStyle w:val="TextBody"/>
        <w:bidi w:val="0"/>
        <w:spacing w:lineRule="auto" w:line="333" w:before="240" w:after="240"/>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Selling, General and Administrative</w:t>
      </w:r>
    </w:p>
    <w:tbl>
      <w:tblPr>
        <w:tblW w:w="10205" w:type="dxa"/>
        <w:jc w:val="left"/>
        <w:tblInd w:w="0" w:type="dxa"/>
        <w:tblLayout w:type="fixed"/>
        <w:tblCellMar>
          <w:top w:w="28" w:type="dxa"/>
          <w:left w:w="28" w:type="dxa"/>
          <w:bottom w:w="28" w:type="dxa"/>
          <w:right w:w="28" w:type="dxa"/>
        </w:tblCellMar>
      </w:tblPr>
      <w:tblGrid>
        <w:gridCol w:w="831"/>
        <w:gridCol w:w="730"/>
        <w:gridCol w:w="669"/>
        <w:gridCol w:w="553"/>
        <w:gridCol w:w="1622"/>
        <w:gridCol w:w="288"/>
        <w:gridCol w:w="109"/>
        <w:gridCol w:w="109"/>
        <w:gridCol w:w="109"/>
        <w:gridCol w:w="553"/>
        <w:gridCol w:w="1622"/>
        <w:gridCol w:w="288"/>
        <w:gridCol w:w="109"/>
        <w:gridCol w:w="109"/>
        <w:gridCol w:w="109"/>
        <w:gridCol w:w="211"/>
        <w:gridCol w:w="616"/>
        <w:gridCol w:w="109"/>
        <w:gridCol w:w="109"/>
        <w:gridCol w:w="109"/>
        <w:gridCol w:w="109"/>
        <w:gridCol w:w="255"/>
        <w:gridCol w:w="256"/>
        <w:gridCol w:w="621"/>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w:t>
      </w:r>
      <w:r>
        <w:rPr>
          <w:color w:val="000000"/>
        </w:rPr>
        <w:t xml:space="preserve"> </w:t>
      </w:r>
      <w:r>
        <w:rPr>
          <w:rFonts w:ascii="Times New Roman;sans-serif" w:hAnsi="Times New Roman;sans-serif"/>
          <w:b w:val="false"/>
          <w:color w:val="231F20"/>
          <w:sz w:val="20"/>
        </w:rPr>
        <w:t xml:space="preserve">campaigns, promotional activities with clients, conferences and user events, and brand-building activities. Selling, general and administrative expenses do not include any headcount cost, which is reflected in the compensation and benefits financial statement line item. We expect these costs will decrease as a percentage of our revenue in future years as we gain improved operating leverage from our projected revenue growth and exercise prudent expense management. </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Selling, general and administrative costs increased by $1.0 million, or 14.0%, for the three months ended September 30, 2024 compared to the three months ended September 30, 2023. The increase was primarily due to a $1.1 million settlement payment made in July 2024 to terminate a five year strategic marketing agreement that we entered into in 2023. </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Acquisition-related Expenses</w:t>
      </w:r>
    </w:p>
    <w:tbl>
      <w:tblPr>
        <w:tblW w:w="10205" w:type="dxa"/>
        <w:jc w:val="left"/>
        <w:tblInd w:w="0" w:type="dxa"/>
        <w:tblLayout w:type="fixed"/>
        <w:tblCellMar>
          <w:top w:w="28" w:type="dxa"/>
          <w:left w:w="28" w:type="dxa"/>
          <w:bottom w:w="28" w:type="dxa"/>
          <w:right w:w="28" w:type="dxa"/>
        </w:tblCellMar>
      </w:tblPr>
      <w:tblGrid>
        <w:gridCol w:w="771"/>
        <w:gridCol w:w="678"/>
        <w:gridCol w:w="681"/>
        <w:gridCol w:w="710"/>
        <w:gridCol w:w="1369"/>
        <w:gridCol w:w="369"/>
        <w:gridCol w:w="109"/>
        <w:gridCol w:w="109"/>
        <w:gridCol w:w="109"/>
        <w:gridCol w:w="645"/>
        <w:gridCol w:w="1471"/>
        <w:gridCol w:w="333"/>
        <w:gridCol w:w="109"/>
        <w:gridCol w:w="109"/>
        <w:gridCol w:w="109"/>
        <w:gridCol w:w="241"/>
        <w:gridCol w:w="534"/>
        <w:gridCol w:w="126"/>
        <w:gridCol w:w="109"/>
        <w:gridCol w:w="109"/>
        <w:gridCol w:w="109"/>
        <w:gridCol w:w="338"/>
        <w:gridCol w:w="338"/>
        <w:gridCol w:w="620"/>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Acquisition-related expenses increased by $0.7 million for the three months ended September 30, 2024 compared to the three months ended September 30, 2023. Acquisition-related expenses for the three months ended September 30, 2023 included a reversal of accrued investment banking fees and adjustment to the contingent consideration, both related to the acquisition of Bakkt Crypto. </w:t>
      </w:r>
    </w:p>
    <w:p>
      <w:pPr>
        <w:pStyle w:val="TextBody"/>
        <w:bidi w:val="0"/>
        <w:spacing w:lineRule="auto" w:line="333" w:before="240" w:after="240"/>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766"/>
        <w:gridCol w:w="627"/>
        <w:gridCol w:w="613"/>
        <w:gridCol w:w="676"/>
        <w:gridCol w:w="1494"/>
        <w:gridCol w:w="351"/>
        <w:gridCol w:w="109"/>
        <w:gridCol w:w="109"/>
        <w:gridCol w:w="109"/>
        <w:gridCol w:w="566"/>
        <w:gridCol w:w="1660"/>
        <w:gridCol w:w="295"/>
        <w:gridCol w:w="109"/>
        <w:gridCol w:w="109"/>
        <w:gridCol w:w="109"/>
        <w:gridCol w:w="211"/>
        <w:gridCol w:w="666"/>
        <w:gridCol w:w="109"/>
        <w:gridCol w:w="109"/>
        <w:gridCol w:w="109"/>
        <w:gridCol w:w="109"/>
        <w:gridCol w:w="285"/>
        <w:gridCol w:w="286"/>
        <w:gridCol w:w="619"/>
      </w:tblGrid>
      <w:tr>
        <w:trPr/>
        <w:tc>
          <w:tcPr>
            <w:tcW w:w="76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Depreciation and amortization expense consists of amortization of intangible assets from business acquisitions and internally developed software and depreciation of purchased software and computer and office equipment over their estimated useful lives. Depreciation and amortization decreased by $3.9 million, or 97.3%, for the three months ended September 30, 2024 compared to the three months ended September 30, 2023. The decrease was primarily due to lower net book values of intangible assets and property, equipment and software after impairments were recognized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Related Party Expenses</w:t>
      </w:r>
    </w:p>
    <w:tbl>
      <w:tblPr>
        <w:tblW w:w="10205" w:type="dxa"/>
        <w:jc w:val="left"/>
        <w:tblInd w:w="0" w:type="dxa"/>
        <w:tblLayout w:type="fixed"/>
        <w:tblCellMar>
          <w:top w:w="28" w:type="dxa"/>
          <w:left w:w="28" w:type="dxa"/>
          <w:bottom w:w="28" w:type="dxa"/>
          <w:right w:w="28" w:type="dxa"/>
        </w:tblCellMar>
      </w:tblPr>
      <w:tblGrid>
        <w:gridCol w:w="599"/>
        <w:gridCol w:w="527"/>
        <w:gridCol w:w="529"/>
        <w:gridCol w:w="735"/>
        <w:gridCol w:w="1623"/>
        <w:gridCol w:w="381"/>
        <w:gridCol w:w="109"/>
        <w:gridCol w:w="109"/>
        <w:gridCol w:w="109"/>
        <w:gridCol w:w="615"/>
        <w:gridCol w:w="1803"/>
        <w:gridCol w:w="321"/>
        <w:gridCol w:w="109"/>
        <w:gridCol w:w="109"/>
        <w:gridCol w:w="109"/>
        <w:gridCol w:w="237"/>
        <w:gridCol w:w="541"/>
        <w:gridCol w:w="123"/>
        <w:gridCol w:w="109"/>
        <w:gridCol w:w="109"/>
        <w:gridCol w:w="109"/>
        <w:gridCol w:w="285"/>
        <w:gridCol w:w="286"/>
        <w:gridCol w:w="619"/>
      </w:tblGrid>
      <w:tr>
        <w:trPr/>
        <w:tc>
          <w:tcPr>
            <w:tcW w:w="59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Related party expenses consist of fees for transition services agreements. Related party expenses decreased by $0.9 million, or 85.5%, for the three months ended September 30, 2024 compared to the three months ended September 30, 2023. The decrease was due to the termination of the ICE transition services agreement in December 2023.</w:t>
      </w:r>
    </w:p>
    <w:p>
      <w:pPr>
        <w:pStyle w:val="TextBody"/>
        <w:bidi w:val="0"/>
        <w:spacing w:lineRule="auto" w:line="240"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Gain (loss) from Change in Fair Value of Warrant Liability</w:t>
      </w:r>
    </w:p>
    <w:tbl>
      <w:tblPr>
        <w:tblW w:w="10205" w:type="dxa"/>
        <w:jc w:val="left"/>
        <w:tblInd w:w="0" w:type="dxa"/>
        <w:tblLayout w:type="fixed"/>
        <w:tblCellMar>
          <w:top w:w="28" w:type="dxa"/>
          <w:left w:w="28" w:type="dxa"/>
          <w:bottom w:w="28" w:type="dxa"/>
          <w:right w:w="28" w:type="dxa"/>
        </w:tblCellMar>
      </w:tblPr>
      <w:tblGrid>
        <w:gridCol w:w="972"/>
        <w:gridCol w:w="854"/>
        <w:gridCol w:w="858"/>
        <w:gridCol w:w="453"/>
        <w:gridCol w:w="1551"/>
        <w:gridCol w:w="234"/>
        <w:gridCol w:w="109"/>
        <w:gridCol w:w="109"/>
        <w:gridCol w:w="109"/>
        <w:gridCol w:w="585"/>
        <w:gridCol w:w="1334"/>
        <w:gridCol w:w="302"/>
        <w:gridCol w:w="109"/>
        <w:gridCol w:w="109"/>
        <w:gridCol w:w="109"/>
        <w:gridCol w:w="211"/>
        <w:gridCol w:w="721"/>
        <w:gridCol w:w="109"/>
        <w:gridCol w:w="109"/>
        <w:gridCol w:w="109"/>
        <w:gridCol w:w="109"/>
        <w:gridCol w:w="303"/>
        <w:gridCol w:w="303"/>
        <w:gridCol w:w="43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warrant liability</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recorded a gain of $20.0 million during the three months ended September 30, 2024 for the change in fair value on the revaluation of our warrant liabilities associated with our public warrants and the Class 1 and Class 2 warrants from the Concurrent Offerings. We recorded a loss of $(0.2) million during the three months ended September 30, 2023 for the change in fair value on the revaluation of our warrant liability associated with our public warrants. These are non-cash losses and gains which are driven by fluctuations in the market price of our public warrants and valuation of our warrants from the Concurrent Offerings.</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Other (Expense) Income, net</w:t>
      </w:r>
    </w:p>
    <w:tbl>
      <w:tblPr>
        <w:tblW w:w="10205" w:type="dxa"/>
        <w:jc w:val="left"/>
        <w:tblInd w:w="0" w:type="dxa"/>
        <w:tblLayout w:type="fixed"/>
        <w:tblCellMar>
          <w:top w:w="28" w:type="dxa"/>
          <w:left w:w="28" w:type="dxa"/>
          <w:bottom w:w="28" w:type="dxa"/>
          <w:right w:w="28" w:type="dxa"/>
        </w:tblCellMar>
      </w:tblPr>
      <w:tblGrid>
        <w:gridCol w:w="685"/>
        <w:gridCol w:w="602"/>
        <w:gridCol w:w="605"/>
        <w:gridCol w:w="814"/>
        <w:gridCol w:w="1455"/>
        <w:gridCol w:w="425"/>
        <w:gridCol w:w="109"/>
        <w:gridCol w:w="109"/>
        <w:gridCol w:w="109"/>
        <w:gridCol w:w="723"/>
        <w:gridCol w:w="1597"/>
        <w:gridCol w:w="375"/>
        <w:gridCol w:w="109"/>
        <w:gridCol w:w="109"/>
        <w:gridCol w:w="109"/>
        <w:gridCol w:w="237"/>
        <w:gridCol w:w="541"/>
        <w:gridCol w:w="123"/>
        <w:gridCol w:w="109"/>
        <w:gridCol w:w="109"/>
        <w:gridCol w:w="109"/>
        <w:gridCol w:w="303"/>
        <w:gridCol w:w="303"/>
        <w:gridCol w:w="436"/>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Other (expense) income, net primarily consists of non-operating gains and losses. During the three months ended September 30, 2024, we had other expense of $20.0 thousand primarily related to foreign currency translation offset by sublease rental income. During the three months ended September 30, 2023, we had other income of $0.4 million primarily related to foreign currency translation.</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Income Tax Benefit (Expense)</w:t>
      </w:r>
    </w:p>
    <w:tbl>
      <w:tblPr>
        <w:tblW w:w="10205" w:type="dxa"/>
        <w:jc w:val="left"/>
        <w:tblInd w:w="0" w:type="dxa"/>
        <w:tblLayout w:type="fixed"/>
        <w:tblCellMar>
          <w:top w:w="28" w:type="dxa"/>
          <w:left w:w="28" w:type="dxa"/>
          <w:bottom w:w="28" w:type="dxa"/>
          <w:right w:w="28" w:type="dxa"/>
        </w:tblCellMar>
      </w:tblPr>
      <w:tblGrid>
        <w:gridCol w:w="679"/>
        <w:gridCol w:w="596"/>
        <w:gridCol w:w="599"/>
        <w:gridCol w:w="692"/>
        <w:gridCol w:w="1527"/>
        <w:gridCol w:w="358"/>
        <w:gridCol w:w="109"/>
        <w:gridCol w:w="109"/>
        <w:gridCol w:w="109"/>
        <w:gridCol w:w="679"/>
        <w:gridCol w:w="1548"/>
        <w:gridCol w:w="351"/>
        <w:gridCol w:w="109"/>
        <w:gridCol w:w="109"/>
        <w:gridCol w:w="109"/>
        <w:gridCol w:w="241"/>
        <w:gridCol w:w="534"/>
        <w:gridCol w:w="126"/>
        <w:gridCol w:w="109"/>
        <w:gridCol w:w="109"/>
        <w:gridCol w:w="109"/>
        <w:gridCol w:w="338"/>
        <w:gridCol w:w="338"/>
        <w:gridCol w:w="618"/>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Income tax benefit (expense) during the three months ended September 30, 2024 and 2023 primarily consists of current state tax expense related to certain state jurisdictions wherein we are required to file income tax returns.</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Nine Months Ended September 30, 2024 compared to Nine Months Ended September 30, 2023</w:t>
      </w:r>
    </w:p>
    <w:p>
      <w:pPr>
        <w:pStyle w:val="TextBody"/>
        <w:bidi w:val="0"/>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Financial Summary</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nine months ended September 30, 2024 included the following notable items relative to the nine months ended September 30, 2023:</w:t>
      </w:r>
    </w:p>
    <w:p>
      <w:pPr>
        <w:pStyle w:val="TextBody"/>
        <w:bidi w:val="0"/>
        <w:spacing w:lineRule="auto" w:line="333" w:before="60" w:after="283"/>
        <w:ind w:left="0" w:right="0" w:hanging="360"/>
        <w:jc w:val="both"/>
        <w:rPr/>
      </w:pPr>
      <w:r>
        <w:rPr>
          <w:color w:val="231F20"/>
        </w:rPr>
        <w:t>•</w:t>
      </w:r>
      <w:r>
        <w:rPr>
          <w:rFonts w:ascii="Times New Roman;sans-serif" w:hAnsi="Times New Roman;sans-serif"/>
          <w:b w:val="false"/>
          <w:color w:val="231F20"/>
          <w:sz w:val="20"/>
        </w:rPr>
        <w:t xml:space="preserve">Revenue increased </w:t>
      </w:r>
      <w:r>
        <w:rPr>
          <w:rFonts w:ascii="Times New Roman;sans-serif" w:hAnsi="Times New Roman;sans-serif"/>
          <w:b w:val="false"/>
          <w:color w:val="000000"/>
          <w:sz w:val="20"/>
        </w:rPr>
        <w:t>$1,127.3 million</w:t>
      </w:r>
      <w:r>
        <w:rPr>
          <w:color w:val="231F20"/>
        </w:rPr>
        <w:t xml:space="preserve"> </w:t>
      </w:r>
      <w:r>
        <w:rPr>
          <w:rFonts w:ascii="Times New Roman;sans-serif" w:hAnsi="Times New Roman;sans-serif"/>
          <w:b w:val="false"/>
          <w:color w:val="231F20"/>
          <w:sz w:val="20"/>
        </w:rPr>
        <w:t>primarily driven by a significant increase in crypto trading revenue due to our acquisition of Bakkt Crypto on April 1, 2023;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231F20"/>
          <w:sz w:val="20"/>
        </w:rPr>
        <w:t>Operating expenses increased $1,059.1 million primarily driven by increased crypto trading costs in connection with our acquisition of Bakkt Crypto, partially offset by decreases in acquisition costs and compensation and benefits.</w:t>
      </w:r>
    </w:p>
    <w:p>
      <w:pPr>
        <w:pStyle w:val="TextBody"/>
        <w:bidi w:val="0"/>
        <w:spacing w:lineRule="auto" w:line="333" w:before="12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Crypto Services Revenue</w:t>
      </w:r>
    </w:p>
    <w:tbl>
      <w:tblPr>
        <w:tblW w:w="8485" w:type="dxa"/>
        <w:jc w:val="left"/>
        <w:tblInd w:w="0" w:type="dxa"/>
        <w:tblLayout w:type="fixed"/>
        <w:tblCellMar>
          <w:top w:w="28" w:type="dxa"/>
          <w:left w:w="28" w:type="dxa"/>
          <w:bottom w:w="28" w:type="dxa"/>
          <w:right w:w="28" w:type="dxa"/>
        </w:tblCellMar>
      </w:tblPr>
      <w:tblGrid>
        <w:gridCol w:w="521"/>
        <w:gridCol w:w="458"/>
        <w:gridCol w:w="460"/>
        <w:gridCol w:w="288"/>
        <w:gridCol w:w="1333"/>
        <w:gridCol w:w="148"/>
        <w:gridCol w:w="109"/>
        <w:gridCol w:w="109"/>
        <w:gridCol w:w="109"/>
        <w:gridCol w:w="326"/>
        <w:gridCol w:w="1276"/>
        <w:gridCol w:w="168"/>
        <w:gridCol w:w="109"/>
        <w:gridCol w:w="109"/>
        <w:gridCol w:w="109"/>
        <w:gridCol w:w="211"/>
        <w:gridCol w:w="976"/>
        <w:gridCol w:w="109"/>
        <w:gridCol w:w="109"/>
        <w:gridCol w:w="109"/>
        <w:gridCol w:w="109"/>
        <w:gridCol w:w="308"/>
        <w:gridCol w:w="308"/>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Crypto services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1,654,814 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527,526 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Crypto services revenue increased by </w:t>
      </w:r>
      <w:r>
        <w:rPr>
          <w:rFonts w:ascii="Times New Roman;sans-serif" w:hAnsi="Times New Roman;sans-serif"/>
          <w:b w:val="false"/>
          <w:color w:val="000000"/>
          <w:sz w:val="20"/>
        </w:rPr>
        <w:t>$1,127.3 million, or 213.7%,</w:t>
      </w:r>
      <w:r>
        <w:rPr>
          <w:color w:val="231F20"/>
        </w:rPr>
        <w:t xml:space="preserve"> </w:t>
      </w:r>
      <w:r>
        <w:rPr>
          <w:rFonts w:ascii="Times New Roman;sans-serif" w:hAnsi="Times New Roman;sans-serif"/>
          <w:b w:val="false"/>
          <w:color w:val="231F20"/>
          <w:sz w:val="20"/>
        </w:rPr>
        <w:t xml:space="preserve">for the nine months ended September 30, 2024 compared to the nine months ended September 30, 2023. The increase was primarily driven by increased crypto trading volume due to our acquisition of Bakkt Crypto Solutions, including a full nine months of crypto services revenue for Bakkt Crypto Solutions in 2024 compared to six months of crypto services revenue for Bakkt Crypto Solutions in 2023 following the April 1, 2023 acquisition date. </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Loyalty Services Revenue</w:t>
      </w:r>
    </w:p>
    <w:tbl>
      <w:tblPr>
        <w:tblW w:w="7933" w:type="dxa"/>
        <w:jc w:val="left"/>
        <w:tblInd w:w="0" w:type="dxa"/>
        <w:tblLayout w:type="fixed"/>
        <w:tblCellMar>
          <w:top w:w="28" w:type="dxa"/>
          <w:left w:w="28" w:type="dxa"/>
          <w:bottom w:w="28" w:type="dxa"/>
          <w:right w:w="28" w:type="dxa"/>
        </w:tblCellMar>
      </w:tblPr>
      <w:tblGrid>
        <w:gridCol w:w="651"/>
        <w:gridCol w:w="572"/>
        <w:gridCol w:w="576"/>
        <w:gridCol w:w="337"/>
        <w:gridCol w:w="1153"/>
        <w:gridCol w:w="174"/>
        <w:gridCol w:w="109"/>
        <w:gridCol w:w="109"/>
        <w:gridCol w:w="109"/>
        <w:gridCol w:w="337"/>
        <w:gridCol w:w="1153"/>
        <w:gridCol w:w="174"/>
        <w:gridCol w:w="109"/>
        <w:gridCol w:w="109"/>
        <w:gridCol w:w="109"/>
        <w:gridCol w:w="254"/>
        <w:gridCol w:w="454"/>
        <w:gridCol w:w="133"/>
        <w:gridCol w:w="109"/>
        <w:gridCol w:w="109"/>
        <w:gridCol w:w="109"/>
        <w:gridCol w:w="203"/>
        <w:gridCol w:w="203"/>
        <w:gridCol w:w="578"/>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 in thousands)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Loyalty services, net</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Loyalty services revenue did not materially change for the nine months ended September 30, 2024 compared to the nine months ended September 30, 2023 following a $2.0 million increase in subscription and services revenue, which was offset by $2.0 million decline in transaction volume. Approximately half of the increase in subscription and services revenue was driven by an adjustment to the remaining life of one of our service contracts.</w:t>
      </w:r>
    </w:p>
    <w:p>
      <w:pPr>
        <w:pStyle w:val="TextBody"/>
        <w:bidi w:val="0"/>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Operating Expenses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Operating expenses consist of crypto costs, execution, clearing and brokerage fees, compensation and benefits, professional services, technology and communication expenses, selling, general and administrative expenses, acquisition-related expenses, depreciation and amortization, goodwill and intangible assets impairments, related party expenses, restructuring expenses, and other operating expenses.</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Crypto Costs</w:t>
      </w:r>
    </w:p>
    <w:tbl>
      <w:tblPr>
        <w:tblW w:w="8485" w:type="dxa"/>
        <w:jc w:val="left"/>
        <w:tblInd w:w="0" w:type="dxa"/>
        <w:tblLayout w:type="fixed"/>
        <w:tblCellMar>
          <w:top w:w="28" w:type="dxa"/>
          <w:left w:w="28" w:type="dxa"/>
          <w:bottom w:w="28" w:type="dxa"/>
          <w:right w:w="28" w:type="dxa"/>
        </w:tblCellMar>
      </w:tblPr>
      <w:tblGrid>
        <w:gridCol w:w="521"/>
        <w:gridCol w:w="458"/>
        <w:gridCol w:w="460"/>
        <w:gridCol w:w="288"/>
        <w:gridCol w:w="1333"/>
        <w:gridCol w:w="148"/>
        <w:gridCol w:w="109"/>
        <w:gridCol w:w="109"/>
        <w:gridCol w:w="109"/>
        <w:gridCol w:w="326"/>
        <w:gridCol w:w="1276"/>
        <w:gridCol w:w="168"/>
        <w:gridCol w:w="109"/>
        <w:gridCol w:w="109"/>
        <w:gridCol w:w="109"/>
        <w:gridCol w:w="211"/>
        <w:gridCol w:w="976"/>
        <w:gridCol w:w="109"/>
        <w:gridCol w:w="109"/>
        <w:gridCol w:w="109"/>
        <w:gridCol w:w="109"/>
        <w:gridCol w:w="308"/>
        <w:gridCol w:w="308"/>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Crypto costs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Crypto costs increased by $1,114.9 million, or </w:t>
      </w:r>
      <w:r>
        <w:rPr>
          <w:rFonts w:ascii="Times New Roman;sans-serif" w:hAnsi="Times New Roman;sans-serif"/>
          <w:b w:val="false"/>
          <w:color w:val="000000"/>
          <w:sz w:val="20"/>
        </w:rPr>
        <w:t>213.7%,</w:t>
      </w:r>
      <w:r>
        <w:rPr>
          <w:color w:val="231F20"/>
        </w:rPr>
        <w:t xml:space="preserve"> </w:t>
      </w:r>
      <w:r>
        <w:rPr>
          <w:rFonts w:ascii="Times New Roman;sans-serif" w:hAnsi="Times New Roman;sans-serif"/>
          <w:b w:val="false"/>
          <w:color w:val="231F20"/>
          <w:sz w:val="20"/>
        </w:rPr>
        <w:t>for the nine months ended September 30, 2024 compared to the nine months ended September 30, 2023. The increase reflects increased volume driven by our acquisition of Bakkt Crypto on April 1, 2023.</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Execution, Clearing and Brokerage Fees</w:t>
      </w:r>
    </w:p>
    <w:tbl>
      <w:tblPr>
        <w:tblW w:w="9955" w:type="dxa"/>
        <w:jc w:val="left"/>
        <w:tblInd w:w="0" w:type="dxa"/>
        <w:tblLayout w:type="fixed"/>
        <w:tblCellMar>
          <w:top w:w="28" w:type="dxa"/>
          <w:left w:w="28" w:type="dxa"/>
          <w:bottom w:w="28" w:type="dxa"/>
          <w:right w:w="28" w:type="dxa"/>
        </w:tblCellMar>
      </w:tblPr>
      <w:tblGrid>
        <w:gridCol w:w="1184"/>
        <w:gridCol w:w="1041"/>
        <w:gridCol w:w="1045"/>
        <w:gridCol w:w="358"/>
        <w:gridCol w:w="1226"/>
        <w:gridCol w:w="185"/>
        <w:gridCol w:w="109"/>
        <w:gridCol w:w="109"/>
        <w:gridCol w:w="109"/>
        <w:gridCol w:w="397"/>
        <w:gridCol w:w="1165"/>
        <w:gridCol w:w="207"/>
        <w:gridCol w:w="109"/>
        <w:gridCol w:w="109"/>
        <w:gridCol w:w="109"/>
        <w:gridCol w:w="211"/>
        <w:gridCol w:w="616"/>
        <w:gridCol w:w="109"/>
        <w:gridCol w:w="109"/>
        <w:gridCol w:w="109"/>
        <w:gridCol w:w="109"/>
        <w:gridCol w:w="308"/>
        <w:gridCol w:w="308"/>
        <w:gridCol w:w="61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Execution, clearing and brokerage fees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Execution, clearing and brokerage fees increased $8.3 million, or </w:t>
      </w:r>
      <w:r>
        <w:rPr>
          <w:rFonts w:ascii="Times New Roman;sans-serif" w:hAnsi="Times New Roman;sans-serif"/>
          <w:b w:val="false"/>
          <w:color w:val="000000"/>
          <w:sz w:val="20"/>
        </w:rPr>
        <w:t>286.9%,</w:t>
      </w:r>
      <w:r>
        <w:rPr>
          <w:color w:val="231F20"/>
        </w:rPr>
        <w:t xml:space="preserve"> </w:t>
      </w:r>
      <w:r>
        <w:rPr>
          <w:rFonts w:ascii="Times New Roman;sans-serif" w:hAnsi="Times New Roman;sans-serif"/>
          <w:b w:val="false"/>
          <w:color w:val="231F20"/>
          <w:sz w:val="20"/>
        </w:rPr>
        <w:t>during the nine months ended September 30, 2024. The increase reflects increased volume driven by our acquisition of Bakkt Crypto on April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40"/>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Compensation and Benefits</w:t>
      </w:r>
    </w:p>
    <w:tbl>
      <w:tblPr>
        <w:tblW w:w="9160" w:type="dxa"/>
        <w:jc w:val="left"/>
        <w:tblInd w:w="0" w:type="dxa"/>
        <w:tblLayout w:type="fixed"/>
        <w:tblCellMar>
          <w:top w:w="28" w:type="dxa"/>
          <w:left w:w="28" w:type="dxa"/>
          <w:bottom w:w="28" w:type="dxa"/>
          <w:right w:w="28" w:type="dxa"/>
        </w:tblCellMar>
      </w:tblPr>
      <w:tblGrid>
        <w:gridCol w:w="847"/>
        <w:gridCol w:w="745"/>
        <w:gridCol w:w="748"/>
        <w:gridCol w:w="358"/>
        <w:gridCol w:w="1226"/>
        <w:gridCol w:w="185"/>
        <w:gridCol w:w="109"/>
        <w:gridCol w:w="109"/>
        <w:gridCol w:w="109"/>
        <w:gridCol w:w="358"/>
        <w:gridCol w:w="1226"/>
        <w:gridCol w:w="185"/>
        <w:gridCol w:w="109"/>
        <w:gridCol w:w="109"/>
        <w:gridCol w:w="109"/>
        <w:gridCol w:w="211"/>
        <w:gridCol w:w="796"/>
        <w:gridCol w:w="109"/>
        <w:gridCol w:w="109"/>
        <w:gridCol w:w="109"/>
        <w:gridCol w:w="109"/>
        <w:gridCol w:w="285"/>
        <w:gridCol w:w="286"/>
        <w:gridCol w:w="61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Compensation and benefits decreased by $17.8 million, or 20.8%, for the nine months ended September 30, 2024 compared to the nine months ended September 30, 2023. The decrease was primarily due to decreases of $8.4 million in salaries and wages, $6.6 million in non-cash compensation and incentive bonuses, and $2.4 million in contract labor. </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Professional Services</w:t>
      </w:r>
    </w:p>
    <w:tbl>
      <w:tblPr>
        <w:tblW w:w="8380" w:type="dxa"/>
        <w:jc w:val="left"/>
        <w:tblInd w:w="0" w:type="dxa"/>
        <w:tblLayout w:type="fixed"/>
        <w:tblCellMar>
          <w:top w:w="28" w:type="dxa"/>
          <w:left w:w="28" w:type="dxa"/>
          <w:bottom w:w="28" w:type="dxa"/>
          <w:right w:w="28" w:type="dxa"/>
        </w:tblCellMar>
      </w:tblPr>
      <w:tblGrid>
        <w:gridCol w:w="652"/>
        <w:gridCol w:w="573"/>
        <w:gridCol w:w="575"/>
        <w:gridCol w:w="358"/>
        <w:gridCol w:w="1226"/>
        <w:gridCol w:w="185"/>
        <w:gridCol w:w="109"/>
        <w:gridCol w:w="109"/>
        <w:gridCol w:w="109"/>
        <w:gridCol w:w="397"/>
        <w:gridCol w:w="1165"/>
        <w:gridCol w:w="207"/>
        <w:gridCol w:w="109"/>
        <w:gridCol w:w="109"/>
        <w:gridCol w:w="109"/>
        <w:gridCol w:w="211"/>
        <w:gridCol w:w="616"/>
        <w:gridCol w:w="109"/>
        <w:gridCol w:w="109"/>
        <w:gridCol w:w="109"/>
        <w:gridCol w:w="109"/>
        <w:gridCol w:w="255"/>
        <w:gridCol w:w="256"/>
        <w:gridCol w:w="61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Professional services increased by $5.4 million, or 75.2%, for the nine months ended September 30, 2024 compared to the nine months ended September 30, 2023</w:t>
      </w:r>
      <w:r>
        <w:rPr>
          <w:rFonts w:ascii="Times New Roman;sans-serif" w:hAnsi="Times New Roman;sans-serif"/>
          <w:b w:val="false"/>
          <w:color w:val="231F20"/>
          <w:sz w:val="20"/>
          <w:shd w:fill="FFFFFF" w:val="clear"/>
        </w:rPr>
        <w:t xml:space="preserve">. </w:t>
      </w:r>
      <w:r>
        <w:rPr>
          <w:rFonts w:ascii="Times New Roman;sans-serif" w:hAnsi="Times New Roman;sans-serif"/>
          <w:b w:val="false"/>
          <w:color w:val="231F20"/>
          <w:sz w:val="20"/>
        </w:rPr>
        <w:t>The increase was primarily due to increases of $2.1 million in audit and tax fees, and $3.3 million in legal fees, mainly in relation to strategic and transformational initiatives.</w:t>
      </w:r>
    </w:p>
    <w:p>
      <w:pPr>
        <w:pStyle w:val="TextBody"/>
        <w:bidi w:val="0"/>
        <w:spacing w:lineRule="auto" w:line="333" w:before="240" w:after="240"/>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Technology and Communication</w:t>
      </w:r>
    </w:p>
    <w:tbl>
      <w:tblPr>
        <w:tblW w:w="9490" w:type="dxa"/>
        <w:jc w:val="left"/>
        <w:tblInd w:w="0" w:type="dxa"/>
        <w:tblLayout w:type="fixed"/>
        <w:tblCellMar>
          <w:top w:w="28" w:type="dxa"/>
          <w:left w:w="28" w:type="dxa"/>
          <w:bottom w:w="28" w:type="dxa"/>
          <w:right w:w="28" w:type="dxa"/>
        </w:tblCellMar>
      </w:tblPr>
      <w:tblGrid>
        <w:gridCol w:w="1005"/>
        <w:gridCol w:w="883"/>
        <w:gridCol w:w="887"/>
        <w:gridCol w:w="358"/>
        <w:gridCol w:w="1226"/>
        <w:gridCol w:w="185"/>
        <w:gridCol w:w="109"/>
        <w:gridCol w:w="109"/>
        <w:gridCol w:w="109"/>
        <w:gridCol w:w="358"/>
        <w:gridCol w:w="1226"/>
        <w:gridCol w:w="185"/>
        <w:gridCol w:w="109"/>
        <w:gridCol w:w="109"/>
        <w:gridCol w:w="109"/>
        <w:gridCol w:w="211"/>
        <w:gridCol w:w="691"/>
        <w:gridCol w:w="109"/>
        <w:gridCol w:w="109"/>
        <w:gridCol w:w="109"/>
        <w:gridCol w:w="109"/>
        <w:gridCol w:w="285"/>
        <w:gridCol w:w="286"/>
        <w:gridCol w:w="61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Technology and communications expense decreased by $2.0 million, or 12.7%, for the nine months ended September 30, 2024 compared to the nine months ended September 30, 2023. The decrease was primarily due to a decrease of $1.7 million in hardware and software license fees and of $0.2 million in telecommunications fees.</w:t>
      </w:r>
    </w:p>
    <w:p>
      <w:pPr>
        <w:pStyle w:val="TextBody"/>
        <w:bidi w:val="0"/>
        <w:spacing w:lineRule="auto" w:line="333" w:before="240" w:after="240"/>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Selling, General and Administrative</w:t>
      </w:r>
    </w:p>
    <w:tbl>
      <w:tblPr>
        <w:tblW w:w="9410" w:type="dxa"/>
        <w:jc w:val="left"/>
        <w:tblInd w:w="0" w:type="dxa"/>
        <w:tblLayout w:type="fixed"/>
        <w:tblCellMar>
          <w:top w:w="28" w:type="dxa"/>
          <w:left w:w="28" w:type="dxa"/>
          <w:bottom w:w="28" w:type="dxa"/>
          <w:right w:w="28" w:type="dxa"/>
        </w:tblCellMar>
      </w:tblPr>
      <w:tblGrid>
        <w:gridCol w:w="1070"/>
        <w:gridCol w:w="940"/>
        <w:gridCol w:w="944"/>
        <w:gridCol w:w="358"/>
        <w:gridCol w:w="1226"/>
        <w:gridCol w:w="185"/>
        <w:gridCol w:w="109"/>
        <w:gridCol w:w="109"/>
        <w:gridCol w:w="109"/>
        <w:gridCol w:w="358"/>
        <w:gridCol w:w="1226"/>
        <w:gridCol w:w="185"/>
        <w:gridCol w:w="109"/>
        <w:gridCol w:w="109"/>
        <w:gridCol w:w="109"/>
        <w:gridCol w:w="279"/>
        <w:gridCol w:w="477"/>
        <w:gridCol w:w="145"/>
        <w:gridCol w:w="109"/>
        <w:gridCol w:w="109"/>
        <w:gridCol w:w="109"/>
        <w:gridCol w:w="211"/>
        <w:gridCol w:w="211"/>
        <w:gridCol w:w="61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Selling, general and administrative costs increased by $0.1 million, or 0.4%, for the nine months ended September 30, 2024 compared to the nine months ended September 30, 2023. The increase was primarily due to a $1.7 million increase in marketing promotions and a $0.4 million in bank charges. This increase was offset by a $2.0 million reduction in insurance expense. </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Acquisition-related Expenses</w:t>
      </w:r>
    </w:p>
    <w:tbl>
      <w:tblPr>
        <w:tblW w:w="9147" w:type="dxa"/>
        <w:jc w:val="left"/>
        <w:tblInd w:w="0" w:type="dxa"/>
        <w:tblLayout w:type="fixed"/>
        <w:tblCellMar>
          <w:top w:w="28" w:type="dxa"/>
          <w:left w:w="28" w:type="dxa"/>
          <w:bottom w:w="28" w:type="dxa"/>
          <w:right w:w="28" w:type="dxa"/>
        </w:tblCellMar>
      </w:tblPr>
      <w:tblGrid>
        <w:gridCol w:w="896"/>
        <w:gridCol w:w="788"/>
        <w:gridCol w:w="791"/>
        <w:gridCol w:w="547"/>
        <w:gridCol w:w="938"/>
        <w:gridCol w:w="285"/>
        <w:gridCol w:w="109"/>
        <w:gridCol w:w="109"/>
        <w:gridCol w:w="109"/>
        <w:gridCol w:w="358"/>
        <w:gridCol w:w="1226"/>
        <w:gridCol w:w="185"/>
        <w:gridCol w:w="109"/>
        <w:gridCol w:w="109"/>
        <w:gridCol w:w="109"/>
        <w:gridCol w:w="211"/>
        <w:gridCol w:w="796"/>
        <w:gridCol w:w="109"/>
        <w:gridCol w:w="109"/>
        <w:gridCol w:w="109"/>
        <w:gridCol w:w="109"/>
        <w:gridCol w:w="303"/>
        <w:gridCol w:w="303"/>
        <w:gridCol w:w="430"/>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Acquisition-related expenses decreased by $17.0 million for the nine months ended September 30, 2024 compared to the nine months ended September 30, 2023. Acquisition-related expenses for the nine months ended September 30, 2023 primarily consist of changes in the fair value of the contingent consideration associated with the acquisition of Bakkt Crypto and </w:t>
      </w:r>
      <w:r>
        <w:rPr>
          <w:rFonts w:ascii="Times New Roman;sans-serif" w:hAnsi="Times New Roman;sans-serif"/>
          <w:b w:val="false"/>
          <w:color w:val="000000"/>
          <w:sz w:val="20"/>
        </w:rPr>
        <w:t xml:space="preserve">fees for investment banking advisors, lawyers, accountants, tax advisors and public relations firms related to the </w:t>
      </w:r>
      <w:r>
        <w:rPr>
          <w:rFonts w:ascii="Times New Roman;sans-serif" w:hAnsi="Times New Roman;sans-serif"/>
          <w:b w:val="false"/>
          <w:color w:val="231F20"/>
          <w:sz w:val="20"/>
        </w:rPr>
        <w:t xml:space="preserve">acquisitions of Bakkt Crypto and Bakkt Brokerage.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40"/>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Depreciation and Amortization</w:t>
      </w:r>
    </w:p>
    <w:tbl>
      <w:tblPr>
        <w:tblW w:w="9415" w:type="dxa"/>
        <w:jc w:val="left"/>
        <w:tblInd w:w="0" w:type="dxa"/>
        <w:tblLayout w:type="fixed"/>
        <w:tblCellMar>
          <w:top w:w="28" w:type="dxa"/>
          <w:left w:w="28" w:type="dxa"/>
          <w:bottom w:w="28" w:type="dxa"/>
          <w:right w:w="28" w:type="dxa"/>
        </w:tblCellMar>
      </w:tblPr>
      <w:tblGrid>
        <w:gridCol w:w="939"/>
        <w:gridCol w:w="826"/>
        <w:gridCol w:w="829"/>
        <w:gridCol w:w="475"/>
        <w:gridCol w:w="1049"/>
        <w:gridCol w:w="246"/>
        <w:gridCol w:w="109"/>
        <w:gridCol w:w="109"/>
        <w:gridCol w:w="109"/>
        <w:gridCol w:w="358"/>
        <w:gridCol w:w="1226"/>
        <w:gridCol w:w="185"/>
        <w:gridCol w:w="109"/>
        <w:gridCol w:w="109"/>
        <w:gridCol w:w="109"/>
        <w:gridCol w:w="211"/>
        <w:gridCol w:w="796"/>
        <w:gridCol w:w="109"/>
        <w:gridCol w:w="109"/>
        <w:gridCol w:w="109"/>
        <w:gridCol w:w="109"/>
        <w:gridCol w:w="285"/>
        <w:gridCol w:w="286"/>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Depreciation and amortization decreased by $10.6 million, or 97.4%, for the nine months ended September 30, 2024 compared to the nine months ended September 30, 2023. The decrease was primarily due to lower net book values of intangible assets and property, equipment and software after impairments were recorded in 2023. </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Related Party Expenses</w:t>
      </w:r>
    </w:p>
    <w:tbl>
      <w:tblPr>
        <w:tblW w:w="8711" w:type="dxa"/>
        <w:jc w:val="left"/>
        <w:tblInd w:w="0" w:type="dxa"/>
        <w:tblLayout w:type="fixed"/>
        <w:tblCellMar>
          <w:top w:w="28" w:type="dxa"/>
          <w:left w:w="28" w:type="dxa"/>
          <w:bottom w:w="28" w:type="dxa"/>
          <w:right w:w="28" w:type="dxa"/>
        </w:tblCellMar>
      </w:tblPr>
      <w:tblGrid>
        <w:gridCol w:w="722"/>
        <w:gridCol w:w="635"/>
        <w:gridCol w:w="638"/>
        <w:gridCol w:w="475"/>
        <w:gridCol w:w="1049"/>
        <w:gridCol w:w="246"/>
        <w:gridCol w:w="109"/>
        <w:gridCol w:w="109"/>
        <w:gridCol w:w="109"/>
        <w:gridCol w:w="397"/>
        <w:gridCol w:w="1165"/>
        <w:gridCol w:w="207"/>
        <w:gridCol w:w="109"/>
        <w:gridCol w:w="109"/>
        <w:gridCol w:w="109"/>
        <w:gridCol w:w="211"/>
        <w:gridCol w:w="691"/>
        <w:gridCol w:w="109"/>
        <w:gridCol w:w="109"/>
        <w:gridCol w:w="109"/>
        <w:gridCol w:w="109"/>
        <w:gridCol w:w="285"/>
        <w:gridCol w:w="286"/>
        <w:gridCol w:w="61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Related party expenses decreased by $2.7 million, or 85.7%, for the nine months ended September 30, 2024 compared to the nine months ended September 30, 2023. The decrease was due to the expiration of the ICE transition services agreement in December 2023.</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Restructuring Expenses</w:t>
      </w:r>
    </w:p>
    <w:tbl>
      <w:tblPr>
        <w:tblW w:w="8590" w:type="dxa"/>
        <w:jc w:val="left"/>
        <w:tblInd w:w="0" w:type="dxa"/>
        <w:tblLayout w:type="fixed"/>
        <w:tblCellMar>
          <w:top w:w="28" w:type="dxa"/>
          <w:left w:w="28" w:type="dxa"/>
          <w:bottom w:w="28" w:type="dxa"/>
          <w:right w:w="28" w:type="dxa"/>
        </w:tblCellMar>
      </w:tblPr>
      <w:tblGrid>
        <w:gridCol w:w="728"/>
        <w:gridCol w:w="640"/>
        <w:gridCol w:w="642"/>
        <w:gridCol w:w="397"/>
        <w:gridCol w:w="1165"/>
        <w:gridCol w:w="207"/>
        <w:gridCol w:w="109"/>
        <w:gridCol w:w="109"/>
        <w:gridCol w:w="109"/>
        <w:gridCol w:w="397"/>
        <w:gridCol w:w="1165"/>
        <w:gridCol w:w="207"/>
        <w:gridCol w:w="109"/>
        <w:gridCol w:w="109"/>
        <w:gridCol w:w="109"/>
        <w:gridCol w:w="211"/>
        <w:gridCol w:w="616"/>
        <w:gridCol w:w="109"/>
        <w:gridCol w:w="109"/>
        <w:gridCol w:w="109"/>
        <w:gridCol w:w="109"/>
        <w:gridCol w:w="255"/>
        <w:gridCol w:w="256"/>
        <w:gridCol w:w="61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Restructuring expenses of </w:t>
      </w:r>
      <w:r>
        <w:rPr>
          <w:rFonts w:ascii="Times New Roman;sans-serif" w:hAnsi="Times New Roman;sans-serif"/>
          <w:b w:val="false"/>
          <w:color w:val="000000"/>
          <w:sz w:val="20"/>
        </w:rPr>
        <w:t>$7.5 million</w:t>
      </w:r>
      <w:r>
        <w:rPr>
          <w:color w:val="231F20"/>
        </w:rPr>
        <w:t xml:space="preserve"> </w:t>
      </w:r>
      <w:r>
        <w:rPr>
          <w:rFonts w:ascii="Times New Roman;sans-serif" w:hAnsi="Times New Roman;sans-serif"/>
          <w:b w:val="false"/>
          <w:color w:val="231F20"/>
          <w:sz w:val="20"/>
        </w:rPr>
        <w:t>during the nine months ended September 30, 2024 consist of $4.9 million of accelerated vesting of non-cash compensation related to the termination of a former executive and certain employees and $2.2 million of severance costs.</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Gain (Loss) from Change in Fair Value of Warrant Liability</w:t>
      </w:r>
    </w:p>
    <w:tbl>
      <w:tblPr>
        <w:tblW w:w="10205" w:type="dxa"/>
        <w:jc w:val="left"/>
        <w:tblInd w:w="0" w:type="dxa"/>
        <w:tblLayout w:type="fixed"/>
        <w:tblCellMar>
          <w:top w:w="28" w:type="dxa"/>
          <w:left w:w="28" w:type="dxa"/>
          <w:bottom w:w="28" w:type="dxa"/>
          <w:right w:w="28" w:type="dxa"/>
        </w:tblCellMar>
      </w:tblPr>
      <w:tblGrid>
        <w:gridCol w:w="1417"/>
        <w:gridCol w:w="1245"/>
        <w:gridCol w:w="1251"/>
        <w:gridCol w:w="327"/>
        <w:gridCol w:w="1122"/>
        <w:gridCol w:w="169"/>
        <w:gridCol w:w="109"/>
        <w:gridCol w:w="109"/>
        <w:gridCol w:w="109"/>
        <w:gridCol w:w="424"/>
        <w:gridCol w:w="968"/>
        <w:gridCol w:w="219"/>
        <w:gridCol w:w="109"/>
        <w:gridCol w:w="109"/>
        <w:gridCol w:w="109"/>
        <w:gridCol w:w="211"/>
        <w:gridCol w:w="721"/>
        <w:gridCol w:w="109"/>
        <w:gridCol w:w="109"/>
        <w:gridCol w:w="109"/>
        <w:gridCol w:w="109"/>
        <w:gridCol w:w="303"/>
        <w:gridCol w:w="303"/>
        <w:gridCol w:w="435"/>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warrant liability</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We recorded a gain of $13.9 million during the nine months ended September 30, 2024 for the change in fair value on the revaluation of our warrant liabilities associated with our public warrants and warrants from the Concurrent Offerings. We recorded a loss of </w:t>
      </w:r>
      <w:r>
        <w:rPr>
          <w:rFonts w:ascii="Times New Roman;sans-serif" w:hAnsi="Times New Roman;sans-serif"/>
          <w:b w:val="false"/>
          <w:color w:val="000000"/>
          <w:sz w:val="20"/>
        </w:rPr>
        <w:t>$0.9 million</w:t>
      </w:r>
      <w:r>
        <w:rPr>
          <w:color w:val="231F20"/>
        </w:rPr>
        <w:t xml:space="preserve"> </w:t>
      </w:r>
      <w:r>
        <w:rPr>
          <w:rFonts w:ascii="Times New Roman;sans-serif" w:hAnsi="Times New Roman;sans-serif"/>
          <w:b w:val="false"/>
          <w:color w:val="231F20"/>
          <w:sz w:val="20"/>
        </w:rPr>
        <w:t>during the nine months ended September 30, 2023 for the change in fair value on the revaluation of our warrant liability associated with our public warrants. These are non-cash losses and gains and are driven by fluctuations in the market price of our public warrants and valuation of our warrants from the Concurrent Offerings.</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Other Income, net</w:t>
      </w:r>
    </w:p>
    <w:tbl>
      <w:tblPr>
        <w:tblW w:w="8051" w:type="dxa"/>
        <w:jc w:val="left"/>
        <w:tblInd w:w="0" w:type="dxa"/>
        <w:tblLayout w:type="fixed"/>
        <w:tblCellMar>
          <w:top w:w="28" w:type="dxa"/>
          <w:left w:w="28" w:type="dxa"/>
          <w:bottom w:w="28" w:type="dxa"/>
          <w:right w:w="28" w:type="dxa"/>
        </w:tblCellMar>
      </w:tblPr>
      <w:tblGrid>
        <w:gridCol w:w="565"/>
        <w:gridCol w:w="496"/>
        <w:gridCol w:w="498"/>
        <w:gridCol w:w="397"/>
        <w:gridCol w:w="1165"/>
        <w:gridCol w:w="207"/>
        <w:gridCol w:w="109"/>
        <w:gridCol w:w="109"/>
        <w:gridCol w:w="109"/>
        <w:gridCol w:w="547"/>
        <w:gridCol w:w="938"/>
        <w:gridCol w:w="285"/>
        <w:gridCol w:w="109"/>
        <w:gridCol w:w="109"/>
        <w:gridCol w:w="109"/>
        <w:gridCol w:w="211"/>
        <w:gridCol w:w="616"/>
        <w:gridCol w:w="109"/>
        <w:gridCol w:w="109"/>
        <w:gridCol w:w="109"/>
        <w:gridCol w:w="109"/>
        <w:gridCol w:w="303"/>
        <w:gridCol w:w="303"/>
        <w:gridCol w:w="430"/>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Other income, net primarily consists of non-operating gains and losses. During the nine months ended September 30, 2024, we recognized income of </w:t>
      </w:r>
      <w:r>
        <w:rPr>
          <w:rFonts w:ascii="Times New Roman;sans-serif" w:hAnsi="Times New Roman;sans-serif"/>
          <w:b w:val="false"/>
          <w:color w:val="000000"/>
          <w:sz w:val="20"/>
        </w:rPr>
        <w:t>$1.1 million</w:t>
      </w:r>
      <w:r>
        <w:rPr>
          <w:color w:val="231F20"/>
        </w:rPr>
        <w:t xml:space="preserve"> </w:t>
      </w:r>
      <w:r>
        <w:rPr>
          <w:rFonts w:ascii="Times New Roman;sans-serif" w:hAnsi="Times New Roman;sans-serif"/>
          <w:b w:val="false"/>
          <w:color w:val="231F20"/>
          <w:sz w:val="20"/>
        </w:rPr>
        <w:t xml:space="preserve">primarily related to foreign currency translation and sublease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rental income. During the nine months ended September 30, 2023, we recognized income of $33.0 thousand primarily related to foreign currency translation.</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 xml:space="preserve">Income Tax Expense </w:t>
      </w:r>
    </w:p>
    <w:tbl>
      <w:tblPr>
        <w:tblW w:w="8331" w:type="dxa"/>
        <w:jc w:val="left"/>
        <w:tblInd w:w="0" w:type="dxa"/>
        <w:tblLayout w:type="fixed"/>
        <w:tblCellMar>
          <w:top w:w="28" w:type="dxa"/>
          <w:left w:w="28" w:type="dxa"/>
          <w:bottom w:w="28" w:type="dxa"/>
          <w:right w:w="28" w:type="dxa"/>
        </w:tblCellMar>
      </w:tblPr>
      <w:tblGrid>
        <w:gridCol w:w="624"/>
        <w:gridCol w:w="549"/>
        <w:gridCol w:w="551"/>
        <w:gridCol w:w="466"/>
        <w:gridCol w:w="1063"/>
        <w:gridCol w:w="241"/>
        <w:gridCol w:w="109"/>
        <w:gridCol w:w="109"/>
        <w:gridCol w:w="109"/>
        <w:gridCol w:w="466"/>
        <w:gridCol w:w="1063"/>
        <w:gridCol w:w="241"/>
        <w:gridCol w:w="109"/>
        <w:gridCol w:w="109"/>
        <w:gridCol w:w="109"/>
        <w:gridCol w:w="241"/>
        <w:gridCol w:w="534"/>
        <w:gridCol w:w="126"/>
        <w:gridCol w:w="109"/>
        <w:gridCol w:w="109"/>
        <w:gridCol w:w="109"/>
        <w:gridCol w:w="285"/>
        <w:gridCol w:w="286"/>
        <w:gridCol w:w="61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Income tax expense during the nine months ended September 30, 2024 primarily consists of current state tax expense related to certain state jurisdictions wherein we are required to file income tax returns. Income tax expense during the nine months ended September 30, 2023 primarily consists of current state tax expense related to certain state jurisdictions wherein we are required to file income tax returns and an increase to our valuation allowance related to the goodwill recognized from the acquisition of Bakkt Crypto.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Liquidity and Capital Resources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As of September 30, 2024, we had $29.0 million and $35.3 million of cash and cash equivalents and restricted cash, respectively. Additionally, as of September 30, 2024, we had $6.7 million of available-for-sale debt securities that mature over the next one to four months. Cash and cash equivalents consist of cash deposits at banks and money market funds. Restricted cash is held to satisfy certain minimum capital requirements pursuant to regulatory requirements, or as collateral for insurance contracts and our purchasing card facility.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we consummated the Concurrent Offerings in March and April 2024. We raised net proceeds from the Concurrent Offerings of approximately $46.5 million, after deducting the placement agent’s fees and offering expenses payable by us.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2024, Bakkt and Opco executed a secured revolving credit facility with Intercontinental Exchange Holdings, Inc (the "Lender", the credit facility herein referred to as the "ICE Credit Facility"), with certain subsidiaries of Bakkt to be party thereto from time to time, as guarantors, whereby the Lender agreed to provide for a $40.0 million secured revolving line of credit to us for working capital and general corporate purposes. Any borrowings under the facility made prior to December 31, 2024 require the consent of the Lender. For the period beginning December 31, 2024 through March 30, 2025, Opco can borrow up to an aggregate principal amount (excluding any capitalized interest) of $10.0 million. For the period beginning March 31 through June 29, 2025, Opco can borrow up to an aggregate principal amount (excluding any capitalized interest) of $20.0 million. From the period beginning June 30 through September 29, 2025, Opco can borrow up to an aggregate principal amount (excluding any capitalized interest) of $30.0 million. On or after September 30, 2025, Opco can borrow up to an aggregate principal amount (excluding any capitalized interest) of $40.0 million. As of September 30, 2024, no loans were outstanding under the ICE Credit Facility.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ICE Credit Facility do not amortize and mature on December 31, 2026. Borrowings under the ICE Credit Facility incur an interest rate equal to, at Opco’s election, either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Opco will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We intend to use our unrestricted cash, inclusive of the net proceeds from the Concurrent Offerings, and proceeds from maturity of available-for-sale debt securities primarily to fund our day-to-day operations, including, but not limited to funding our regulatory capital requirements, compensating balance arrangements and other similar commitments, each of which is subject to change, and as available (i) activate new crypto clients, (ii) maintain our product development efforts, and (iii) optimize our technology infrastructure and operational support. We continue to evaluate our headcount and expense base. We have taken action to right-size headcount since 2022. Excluding the cash purchase price to acquire Bakkt Crypto Solutions in 2023, we expect our operating cash usage in 2024 (exclusive of potential acquisitions or other strategic initiatives) to decline from 2023 levels driven by the combined impact of increased revenue and expense reductions related to the completion of large-dollar investments in 2023 and benefits from restructuring actions. In addition, we may in the future enter into arrangem</w:t>
      </w:r>
      <w:r>
        <w:rPr>
          <w:rFonts w:ascii="Times New Roman;sans-serif" w:hAnsi="Times New Roman;sans-serif"/>
          <w:b w:val="false"/>
          <w:color w:val="231F20"/>
          <w:sz w:val="20"/>
        </w:rPr>
        <w:t xml:space="preserve">ents to acquire or invest in complementary businesses, services, technologies or intellectual property rights. However, we have no agreements or commitments with respect to any such acquisitions or investments at this time. Our expected uses of available funds are based on our present plans, objectives and business condition. Based on fully implemented operating budgets and forecasts, which exclude forecasts for new products or markets, our cash and proceeds from the maturity of available for sale debt securities, along with the ICE Credit Facility, as of the date of the filing of this Report are estimated to fund our operations for at least 12 months. </w:t>
      </w:r>
      <w:r>
        <w:rPr>
          <w:rFonts w:ascii="Times New Roman;sans-serif" w:hAnsi="Times New Roman;sans-serif"/>
          <w:b w:val="false"/>
          <w:color w:val="000000"/>
          <w:sz w:val="20"/>
        </w:rPr>
        <w:t>However, there are certain risks associated with this determination. Please see “</w:t>
      </w:r>
      <w:r>
        <w:rPr>
          <w:rFonts w:ascii="Times New Roman;sans-serif" w:hAnsi="Times New Roman;sans-serif"/>
          <w:b w:val="false"/>
          <w:i/>
          <w:color w:val="000000"/>
          <w:sz w:val="20"/>
        </w:rPr>
        <w:t>Risk Factors - We might not be able to continue as a going concern</w:t>
      </w:r>
      <w:r>
        <w:rPr>
          <w:rFonts w:ascii="Times New Roman;sans-serif" w:hAnsi="Times New Roman;sans-serif"/>
          <w:b w:val="false"/>
          <w:color w:val="000000"/>
          <w:sz w:val="20"/>
        </w:rPr>
        <w:t>.” elsewhere in this Report for more information.</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Our future cash requirements will depend on many factors, including our revenue growth rate, the timing and extent of overhead, sales and marketing expenditures to support projected growth, and our ability to limit our software development investments to features and functionality with a clear line of sight to revenue generation. We made substantial investments in our platforms in 2023, which we expect will enable us to simplify our organization and focus on the core capabilities that are critical to our strategy. </w:t>
      </w:r>
      <w:r>
        <w:rPr>
          <w:rFonts w:ascii="Times New Roman;sans-serif" w:hAnsi="Times New Roman;sans-serif"/>
          <w:b w:val="false"/>
          <w:color w:val="000000"/>
          <w:sz w:val="20"/>
        </w:rPr>
        <w:t>However, there are certain risks associated with this determination. Please see “</w:t>
      </w:r>
      <w:r>
        <w:rPr>
          <w:rFonts w:ascii="Times New Roman;sans-serif" w:hAnsi="Times New Roman;sans-serif"/>
          <w:b w:val="false"/>
          <w:i/>
          <w:color w:val="000000"/>
          <w:sz w:val="20"/>
        </w:rPr>
        <w:t>Risk Factors - We might not be able to continue as a going concern</w:t>
      </w:r>
      <w:r>
        <w:rPr>
          <w:rFonts w:ascii="Times New Roman;sans-serif" w:hAnsi="Times New Roman;sans-serif"/>
          <w:b w:val="false"/>
          <w:color w:val="000000"/>
          <w:sz w:val="20"/>
        </w:rPr>
        <w:t>.” elsewhere in this Report for more information.</w:t>
      </w:r>
      <w:r>
        <w:rPr>
          <w:color w:val="231F20"/>
        </w:rPr>
        <w:t xml:space="preserve"> </w:t>
      </w:r>
    </w:p>
    <w:p>
      <w:pPr>
        <w:pStyle w:val="TextBody"/>
        <w:bidi w:val="0"/>
        <w:spacing w:lineRule="auto" w:line="333" w:before="240" w:after="240"/>
        <w:ind w:left="0" w:right="0" w:firstLine="720"/>
        <w:jc w:val="both"/>
        <w:rPr/>
      </w:pPr>
      <w:r>
        <w:rPr>
          <w:rFonts w:ascii="Times New Roman;sans-serif" w:hAnsi="Times New Roman;sans-serif"/>
          <w:b w:val="false"/>
          <w:color w:val="231F20"/>
          <w:sz w:val="20"/>
        </w:rPr>
        <w:t>The following table summarizes our cash flows for the periods presented (</w:t>
      </w:r>
      <w:r>
        <w:rPr>
          <w:rFonts w:ascii="Times New Roman;sans-serif" w:hAnsi="Times New Roman;sans-serif"/>
          <w:b w:val="false"/>
          <w:color w:val="000000"/>
          <w:sz w:val="20"/>
        </w:rPr>
        <w:t>in thousands)</w:t>
      </w:r>
      <w:r>
        <w:rPr>
          <w:rFonts w:ascii="Times New Roman;sans-serif" w:hAnsi="Times New Roman;sans-serif"/>
          <w:b w:val="false"/>
          <w:color w:val="231F20"/>
          <w:sz w:val="20"/>
        </w:rPr>
        <w:t>:</w:t>
      </w:r>
    </w:p>
    <w:tbl>
      <w:tblPr>
        <w:tblW w:w="8126" w:type="dxa"/>
        <w:jc w:val="left"/>
        <w:tblInd w:w="0" w:type="dxa"/>
        <w:tblLayout w:type="fixed"/>
        <w:tblCellMar>
          <w:top w:w="28" w:type="dxa"/>
          <w:left w:w="28" w:type="dxa"/>
          <w:bottom w:w="28" w:type="dxa"/>
          <w:right w:w="28" w:type="dxa"/>
        </w:tblCellMar>
      </w:tblPr>
      <w:tblGrid>
        <w:gridCol w:w="1521"/>
        <w:gridCol w:w="1338"/>
        <w:gridCol w:w="1356"/>
        <w:gridCol w:w="334"/>
        <w:gridCol w:w="1263"/>
        <w:gridCol w:w="172"/>
        <w:gridCol w:w="109"/>
        <w:gridCol w:w="109"/>
        <w:gridCol w:w="109"/>
        <w:gridCol w:w="330"/>
        <w:gridCol w:w="1245"/>
        <w:gridCol w:w="240"/>
      </w:tblGrid>
      <w:tr>
        <w:trPr/>
        <w:tc>
          <w:tcPr>
            <w:tcW w:w="152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33" w:after="30"/>
              <w:ind w:left="0" w:right="0" w:firstLine="289"/>
              <w:jc w:val="both"/>
              <w:rPr/>
            </w:pPr>
            <w:r>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left"/>
        <w:rPr>
          <w:rFonts w:ascii="Times New Roman;sans-serif" w:hAnsi="Times New Roman;sans-serif"/>
          <w:b/>
          <w:i/>
          <w:color w:val="231F20"/>
          <w:sz w:val="20"/>
        </w:rPr>
      </w:pPr>
      <w:r>
        <w:rPr>
          <w:rFonts w:ascii="Times New Roman;sans-serif" w:hAnsi="Times New Roman;sans-serif"/>
          <w:b/>
          <w:i/>
          <w:color w:val="231F20"/>
          <w:sz w:val="20"/>
        </w:rPr>
        <w:t>Operating Activities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Net cash flows used in operating activities of $52.6 million for the nine months ended September 30, 2024 was primarily related to our net loss of $63.1 million, offset by net cash inflows resulting from changes in our operating assets and liabilities of $9.2 million and non-cash charges of $1.3 million. Net cash inflows from changes in our operating assets and liabilities for the nine months ended September 30, 2024 resulted primarily from a </w:t>
      </w:r>
      <w:r>
        <w:rPr>
          <w:rFonts w:ascii="Times New Roman;sans-serif" w:hAnsi="Times New Roman;sans-serif"/>
          <w:b w:val="false"/>
          <w:color w:val="000000"/>
          <w:sz w:val="20"/>
        </w:rPr>
        <w:t>$18.6 million</w:t>
      </w:r>
      <w:r>
        <w:rPr>
          <w:color w:val="231F20"/>
        </w:rPr>
        <w:t xml:space="preserve"> </w:t>
      </w:r>
      <w:r>
        <w:rPr>
          <w:rFonts w:ascii="Times New Roman;sans-serif" w:hAnsi="Times New Roman;sans-serif"/>
          <w:b w:val="false"/>
          <w:color w:val="231F20"/>
          <w:sz w:val="20"/>
        </w:rPr>
        <w:t xml:space="preserve">increase in customer funds and a decrease in prepaid insurance of $7.4 million, partially offset by a decrease of accounts payable and accrued liabilities of $13.5 million. The non-cash charges primarily consisted of share-based compensation of $13.0 million, gain from change in fair value of warrant liability of </w:t>
      </w:r>
      <w:r>
        <w:rPr>
          <w:rFonts w:ascii="Times New Roman;sans-serif" w:hAnsi="Times New Roman;sans-serif"/>
          <w:b w:val="false"/>
          <w:color w:val="000000"/>
          <w:sz w:val="20"/>
        </w:rPr>
        <w:t>$(13.9) million</w:t>
      </w:r>
      <w:r>
        <w:rPr>
          <w:rFonts w:ascii="Times New Roman;sans-serif" w:hAnsi="Times New Roman;sans-serif"/>
          <w:b w:val="false"/>
          <w:color w:val="231F20"/>
          <w:sz w:val="20"/>
        </w:rPr>
        <w:t xml:space="preserve">, and non-cash lease expense of </w:t>
      </w:r>
      <w:r>
        <w:rPr>
          <w:rFonts w:ascii="Times New Roman;sans-serif" w:hAnsi="Times New Roman;sans-serif"/>
          <w:b w:val="false"/>
          <w:color w:val="000000"/>
          <w:sz w:val="20"/>
        </w:rPr>
        <w:t>$1.0 million</w:t>
      </w:r>
      <w:r>
        <w:rPr>
          <w:rFonts w:ascii="Times New Roman;sans-serif" w:hAnsi="Times New Roman;sans-serif"/>
          <w:b w:val="false"/>
          <w:color w:val="231F20"/>
          <w:sz w:val="20"/>
        </w:rPr>
        <w:t>.</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cash flows used in operating activities of $53.9 million for the nine months ended September 30, 2023 was primarily related to our net loss of $147.1 million, offset by net cash inflows resulting from changes in our operating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and liabilities of $40.2 million and non-cash charges of $53.0 million. Net cash inflows from changes in our operating assets and liabilities for the nine months ended September 30, 2023 resulted primarily from a $24.8 million increase in customer funds, a non-recurring return of a $15.2 million deposit with ICE Clear US, Inc., a decrease in prepaid insurance of $10.8 million and a decrease in accounts receivable of $3.6 million, partially offset by a decrease of accounts payable and accrued liabilities of $17.6 million. The non-cash charges primarily consisted of intangible assets impairments of $23.3 million, share-based compensation of $14.3 million and depreciation and amortization of $10.8 million.</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Investing Activities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provided by investing activities of $7.9 million for the nine months ended September 30, 2024 consisted of the receipt of $36.7 million of proceeds from the sale of available-for-sale securities, partially offset by the purchase of $26.0 million of available-for-sale debt securities and $2.8 million of capitalized costs of internally developed software for our technology platforms.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provided by investing activities of $65.7 million for the nine months ended September 30, 2023 consisted of the receipt of $163.2 million of proceeds from the sale of available-for-sale securities, partially offset by the purchase of $44.6 million of available-for-sale debt securities, $7.9 million of capitalized costs of internally developed software for our technology platforms, $44.3 million net cash used to acquire Bakkt Crypto and $0.6 million cash used to acquire Bakkt Brokerage.</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Financing Activities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Net cash flows provided by financing activities of </w:t>
      </w:r>
      <w:r>
        <w:rPr>
          <w:rFonts w:ascii="Times New Roman;sans-serif" w:hAnsi="Times New Roman;sans-serif"/>
          <w:b w:val="false"/>
          <w:color w:val="000000"/>
          <w:sz w:val="20"/>
        </w:rPr>
        <w:t>$44.1 million</w:t>
      </w:r>
      <w:r>
        <w:rPr>
          <w:color w:val="231F20"/>
        </w:rPr>
        <w:t xml:space="preserve"> </w:t>
      </w:r>
      <w:r>
        <w:rPr>
          <w:rFonts w:ascii="Times New Roman;sans-serif" w:hAnsi="Times New Roman;sans-serif"/>
          <w:b w:val="false"/>
          <w:color w:val="231F20"/>
          <w:sz w:val="20"/>
        </w:rPr>
        <w:t xml:space="preserve">during the nine months ended September 30, 2024 primarily consisted of </w:t>
      </w:r>
      <w:r>
        <w:rPr>
          <w:rFonts w:ascii="Times New Roman;sans-serif" w:hAnsi="Times New Roman;sans-serif"/>
          <w:b w:val="false"/>
          <w:color w:val="000000"/>
          <w:sz w:val="20"/>
        </w:rPr>
        <w:t>$46.5 million</w:t>
      </w:r>
      <w:r>
        <w:rPr>
          <w:color w:val="231F20"/>
        </w:rPr>
        <w:t xml:space="preserve"> </w:t>
      </w:r>
      <w:r>
        <w:rPr>
          <w:rFonts w:ascii="Times New Roman;sans-serif" w:hAnsi="Times New Roman;sans-serif"/>
          <w:b w:val="false"/>
          <w:color w:val="231F20"/>
          <w:sz w:val="20"/>
        </w:rPr>
        <w:t xml:space="preserve">in proceeds from our Concurrent Offerings, partially offset by the repurchase and retirement of </w:t>
      </w:r>
      <w:r>
        <w:rPr>
          <w:rFonts w:ascii="Times New Roman;sans-serif" w:hAnsi="Times New Roman;sans-serif"/>
          <w:b w:val="false"/>
          <w:color w:val="000000"/>
          <w:sz w:val="20"/>
        </w:rPr>
        <w:t xml:space="preserve">$2.4 million of Class A Common Stock </w:t>
      </w:r>
      <w:r>
        <w:rPr>
          <w:rFonts w:ascii="Times New Roman;sans-serif" w:hAnsi="Times New Roman;sans-serif"/>
          <w:b w:val="false"/>
          <w:color w:val="231F20"/>
          <w:sz w:val="20"/>
        </w:rPr>
        <w:t xml:space="preserve">that was withheld from vested equity grants. </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used in financing activities of $2.5 million during the nine months ended September 30, 2023 resulted from the repurchase and retirement of Class A common stock that was withheld from vested restricted stock units and performance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Tax Receivable Agreement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completion of the VIH Business Combination, we entered into a Tax Receivable Agreement ("TRA") with certain Opco Equity Holders. Pursuant to the TRA, among other things, holders of Opco Common Units may, subject to certain conditions, from and after April 16, 2022, exchange such Opco Common Units (along with a corresponding number of shares of our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September 30, 2024, 1,043,210 Opco Common Units were exchanged for Class A Common Stock. Based on our history of taxable losses, we have concluded that it is not probable to expect cash tax payments in the foreseeable future and as such, no value has been recorded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Contractual Obligations and Commitments</w:t>
      </w:r>
    </w:p>
    <w:p>
      <w:pPr>
        <w:pStyle w:val="TextBody"/>
        <w:bidi w:val="0"/>
        <w:spacing w:lineRule="auto" w:line="333" w:before="240" w:after="240"/>
        <w:ind w:left="0" w:right="0" w:firstLine="720"/>
        <w:jc w:val="both"/>
        <w:rPr/>
      </w:pPr>
      <w:r>
        <w:rPr>
          <w:rFonts w:ascii="Times New Roman;sans-serif" w:hAnsi="Times New Roman;sans-serif"/>
          <w:b w:val="false"/>
          <w:color w:val="231F20"/>
          <w:sz w:val="20"/>
        </w:rPr>
        <w:t xml:space="preserve">The following is a summary of our significant contractual obligations and commitments as of </w:t>
      </w:r>
      <w:r>
        <w:rPr>
          <w:rFonts w:ascii="Times New Roman;sans-serif" w:hAnsi="Times New Roman;sans-serif"/>
          <w:b w:val="false"/>
          <w:color w:val="000000"/>
          <w:sz w:val="20"/>
        </w:rPr>
        <w:t>September 30, 2024</w:t>
      </w:r>
      <w:r>
        <w:rPr>
          <w:color w:val="231F20"/>
        </w:rPr>
        <w:t xml:space="preserve"> </w:t>
      </w:r>
      <w:r>
        <w:rPr>
          <w:rFonts w:ascii="Times New Roman;sans-serif" w:hAnsi="Times New Roman;sans-serif"/>
          <w:b w:val="false"/>
          <w:color w:val="231F20"/>
          <w:sz w:val="20"/>
        </w:rPr>
        <w:t>(in thousands):</w:t>
      </w:r>
    </w:p>
    <w:tbl>
      <w:tblPr>
        <w:tblW w:w="10205" w:type="dxa"/>
        <w:jc w:val="left"/>
        <w:tblInd w:w="0" w:type="dxa"/>
        <w:tblLayout w:type="fixed"/>
        <w:tblCellMar>
          <w:top w:w="28" w:type="dxa"/>
          <w:left w:w="28" w:type="dxa"/>
          <w:bottom w:w="28" w:type="dxa"/>
          <w:right w:w="28" w:type="dxa"/>
        </w:tblCellMar>
      </w:tblPr>
      <w:tblGrid>
        <w:gridCol w:w="1088"/>
        <w:gridCol w:w="957"/>
        <w:gridCol w:w="968"/>
        <w:gridCol w:w="276"/>
        <w:gridCol w:w="944"/>
        <w:gridCol w:w="142"/>
        <w:gridCol w:w="109"/>
        <w:gridCol w:w="109"/>
        <w:gridCol w:w="109"/>
        <w:gridCol w:w="211"/>
        <w:gridCol w:w="721"/>
        <w:gridCol w:w="109"/>
        <w:gridCol w:w="109"/>
        <w:gridCol w:w="109"/>
        <w:gridCol w:w="109"/>
        <w:gridCol w:w="211"/>
        <w:gridCol w:w="616"/>
        <w:gridCol w:w="109"/>
        <w:gridCol w:w="109"/>
        <w:gridCol w:w="109"/>
        <w:gridCol w:w="109"/>
        <w:gridCol w:w="328"/>
        <w:gridCol w:w="957"/>
        <w:gridCol w:w="169"/>
        <w:gridCol w:w="109"/>
        <w:gridCol w:w="109"/>
        <w:gridCol w:w="109"/>
        <w:gridCol w:w="211"/>
        <w:gridCol w:w="721"/>
        <w:gridCol w:w="159"/>
      </w:tblGrid>
      <w:tr>
        <w:trPr/>
        <w:tc>
          <w:tcPr>
            <w:tcW w:w="108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before="53" w:after="30"/>
              <w:ind w:left="0" w:right="0" w:firstLine="720"/>
              <w:jc w:val="left"/>
              <w:rPr/>
            </w:pPr>
            <w:r>
              <w:rPr/>
            </w:r>
          </w:p>
        </w:tc>
        <w:tc>
          <w:tcPr>
            <w:tcW w:w="71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3013" w:type="dxa"/>
            <w:gridSpan w:val="3"/>
            <w:tcBorders/>
            <w:tcMar>
              <w:top w:w="0" w:type="dxa"/>
              <w:left w:w="0" w:type="dxa"/>
              <w:bottom w:w="0" w:type="dxa"/>
              <w:right w:w="0" w:type="dxa"/>
            </w:tcMar>
            <w:vAlign w:val="center"/>
          </w:tcPr>
          <w:p>
            <w:pPr>
              <w:pStyle w:val="TableContents"/>
              <w:bidi w:val="0"/>
              <w:spacing w:before="33" w:after="30"/>
              <w:ind w:left="0" w:right="0" w:firstLine="720"/>
              <w:jc w:val="center"/>
              <w:rPr/>
            </w:pPr>
            <w:r>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obligations</w:t>
            </w:r>
            <w:r>
              <w:rPr>
                <w:rFonts w:ascii="Times New Roman;sans-serif" w:hAnsi="Times New Roman;sans-serif"/>
                <w:b w:val="false"/>
                <w:color w:val="000000"/>
                <w:sz w:val="13"/>
              </w:rPr>
              <w:t>(1)</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Future minimum operating lease payments</w:t>
            </w:r>
            <w:r>
              <w:rPr>
                <w:rFonts w:ascii="Times New Roman;sans-serif" w:hAnsi="Times New Roman;sans-serif"/>
                <w:b w:val="false"/>
                <w:color w:val="000000"/>
                <w:sz w:val="13"/>
              </w:rPr>
              <w:t>(2)</w:t>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minimum commitment payments under a four-year cloud computing arrangement. In December 2023, we agreed to amend the cloud computing arrangement and extended the payment period for an additional year.</w:t>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rental payments under operating leases with remaining non-cancellable terms in excess of one year.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2022, we entered into a corporate card services agreement with Bank of America to provide a purchasing card facility that we utilize for redemption purchases made from vendors as part of our loyalty redemption platform. Expenditures 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 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There is no defined maturity date for the purchasing card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Non-GAAP Financial Measures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The unaudited interim consolidated financial statements included in this Report are prepared in accordance with United States generally accepted accounting principles (“GAAP”). </w:t>
      </w:r>
      <w:r>
        <w:rPr>
          <w:rFonts w:ascii="Times New Roman;sans-serif" w:hAnsi="Times New Roman;sans-serif"/>
          <w:b w:val="false"/>
          <w:color w:val="231F20"/>
          <w:sz w:val="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believe that the presentation of the following non-GAAP financial measures, when considered together with the corresponding GAAP financial measures and the reconciliations to those measures provided herein, provides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with an additional understanding of the factors and trends affecting our business that could not be obtained absent these disclosures.</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Adjusted EBITDA</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present Adjusted EBITDA as a non-GAAP financial measure.</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We believe that Adjusted EBITDA provides relevant and useful information, which is used by management in assessing the performance of our business. Adjusted EBITDA is defined as earnings before interest, income taxes, depreciation, amortization, acquisition-related expenses,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w:t>
      </w:r>
      <w:r>
        <w:rPr>
          <w:color w:val="000000"/>
        </w:rPr>
        <w:t xml:space="preserve"> </w:t>
      </w:r>
      <w:r>
        <w:rPr>
          <w:rFonts w:ascii="Times New Roman;sans-serif" w:hAnsi="Times New Roman;sans-serif"/>
          <w:b w:val="false"/>
          <w:color w:val="231F20"/>
          <w:sz w:val="20"/>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pStyle w:val="TextBody"/>
        <w:bidi w:val="0"/>
        <w:spacing w:lineRule="auto" w:line="333" w:before="240" w:after="24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loss, the most directly comparable GAAP operating performance measure, to our Adjusted EBITDA for each of the periods indicated (in thousands):</w:t>
      </w:r>
    </w:p>
    <w:tbl>
      <w:tblPr>
        <w:tblW w:w="10205" w:type="dxa"/>
        <w:jc w:val="left"/>
        <w:tblInd w:w="0" w:type="dxa"/>
        <w:tblLayout w:type="fixed"/>
        <w:tblCellMar>
          <w:top w:w="28" w:type="dxa"/>
          <w:left w:w="28" w:type="dxa"/>
          <w:bottom w:w="28" w:type="dxa"/>
          <w:right w:w="28" w:type="dxa"/>
        </w:tblCellMar>
      </w:tblPr>
      <w:tblGrid>
        <w:gridCol w:w="1327"/>
        <w:gridCol w:w="962"/>
        <w:gridCol w:w="981"/>
        <w:gridCol w:w="287"/>
        <w:gridCol w:w="1057"/>
        <w:gridCol w:w="148"/>
        <w:gridCol w:w="109"/>
        <w:gridCol w:w="109"/>
        <w:gridCol w:w="109"/>
        <w:gridCol w:w="287"/>
        <w:gridCol w:w="1057"/>
        <w:gridCol w:w="148"/>
        <w:gridCol w:w="109"/>
        <w:gridCol w:w="109"/>
        <w:gridCol w:w="109"/>
        <w:gridCol w:w="276"/>
        <w:gridCol w:w="1017"/>
        <w:gridCol w:w="142"/>
        <w:gridCol w:w="109"/>
        <w:gridCol w:w="109"/>
        <w:gridCol w:w="109"/>
        <w:gridCol w:w="259"/>
        <w:gridCol w:w="1081"/>
        <w:gridCol w:w="195"/>
      </w:tblGrid>
      <w:tr>
        <w:trPr/>
        <w:tc>
          <w:tcPr>
            <w:tcW w:w="132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0"/>
              <w:ind w:left="0" w:right="0" w:firstLine="289"/>
              <w:jc w:val="both"/>
              <w:rPr/>
            </w:pPr>
            <w:r>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(147,119)</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(139,377)</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and unit-based compensation expense</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common units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 change in fair value of warrant liability</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impairments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Shelf registration expenses</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expense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loss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(21,563)</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(74,899)</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Adjusted EBITDA loss for the three months ended September 30, 2024 increased by $2.1 million or 9.8% as compared to the three months ended September 30, 2023. The increased loss was primarily due to a $1.3 million decrease in revenue less crypto costs and execution, clearing and brokerage fees, a $3.4 million increase in professional fees,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40" w:before="0" w:after="0"/>
        <w:jc w:val="left"/>
        <w:rPr/>
      </w:pPr>
      <w:hyperlink w:anchor="i5b67ee405857468aba5525035215b338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$1.0 million increase in selling, general and administrative expenses, partially offset by a $2.5 million decrease in compensation and benefits expense.</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Adjusted EBITDA loss for the nine months ended September 30, 2024 decreased by $17.0 million or 22.7% as compared to the nine months ended September 30, 2023. The decreased loss was primarily due to the contribution of increased revenues and a $16.8 million decrease in compensation and benefits expense, partially offset by a $5.4 million increase in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Our consolidated financial statements are prepared in accordance with GAAP, which requires us to make estimates and apply judgments that affect the reported amounts. In our notes to the unaudited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and Risk Committee of our Board of Directors. For further information about our critical accounting policies and estimates, refer to “</w:t>
      </w:r>
      <w:r>
        <w:rPr>
          <w:rFonts w:ascii="Times New Roman;sans-serif" w:hAnsi="Times New Roman;sans-serif"/>
          <w:b w:val="false"/>
          <w:i/>
          <w:color w:val="231F20"/>
          <w:sz w:val="20"/>
        </w:rPr>
        <w:t>Item 7. Management’s Discussion and Analysis of Financial Condition and Results of Operations</w:t>
      </w:r>
      <w:r>
        <w:rPr>
          <w:color w:val="231F20"/>
        </w:rPr>
        <w:t xml:space="preserve">” </w:t>
      </w:r>
      <w:r>
        <w:rPr>
          <w:rFonts w:ascii="Times New Roman;sans-serif" w:hAnsi="Times New Roman;sans-serif"/>
          <w:b w:val="false"/>
          <w:color w:val="231F20"/>
          <w:sz w:val="20"/>
        </w:rPr>
        <w:t>in our Annual Report on Form 10-K filed with the SEC on March 25, 2024 (our "Form 10-K"). There have been no material changes to our critical accounting policies and estimates since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Use of Estimates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The preparation of consolidated financial statements in conformity with U.S. GAAP requires management to make estimates and assumptions that affect the amounts reported in our consolidated financial statements and accompanying notes. We base our estimates and assumptions on various judgments that we believe to be reasonable under the circumstances. </w:t>
      </w:r>
      <w:r>
        <w:rPr>
          <w:rFonts w:ascii="Times New Roman;sans-serif" w:hAnsi="Times New Roman;sans-serif"/>
          <w:b w:val="false"/>
          <w:color w:val="231F20"/>
          <w:sz w:val="20"/>
        </w:rPr>
        <w:t>The significant estimates and assumptions that affect the financial statements may include, but are not limited to, going concern, those that are related to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Recently Issued and Adopted Accounting Pronouncements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Recently issued and adopted accounting pronouncements are described in Note 2 in the unaudited consolidated financial statements </w:t>
      </w:r>
      <w:r>
        <w:rPr>
          <w:rFonts w:ascii="Times New Roman;sans-serif" w:hAnsi="Times New Roman;sans-serif"/>
          <w:b w:val="false"/>
          <w:color w:val="000000"/>
          <w:sz w:val="20"/>
        </w:rPr>
        <w:t>included in this Report</w:t>
      </w:r>
      <w:r>
        <w:rPr>
          <w:rFonts w:ascii="Times New Roman;sans-serif" w:hAnsi="Times New Roman;sans-serif"/>
          <w:b w:val="false"/>
          <w:color w:val="231F2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Rule 13a-15(b) under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Our disclosure controls and procedures are designed to provide reasonable assurance that the information required to be disclosed by us in reports that we file under the Exchange Act is accumulated and communicated to management, including our Chief Executive Officer (principal executive officer) and Chief Financial Officer (principal financial officer), as appropriate, to allow timely decisions regarding required disclosure and is recorded, processed, summarized,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reported within the time periods specified in the rules and forms of the SEC. Based on the evaluation of our disclosure controls and procedures, our Chief Executive Officer and Chief Financial Officer have concluded that as of September 30, 2024, our disclosure controls and procedures were not effective because of the previously identified material weakness in our internal control over financial reporting described further below.</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Previously Reported Material Weakness</w:t>
      </w:r>
    </w:p>
    <w:p>
      <w:pPr>
        <w:pStyle w:val="TextBody"/>
        <w:bidi w:val="0"/>
        <w:spacing w:lineRule="auto" w:line="333" w:before="240" w:after="240"/>
        <w:ind w:left="0" w:right="0" w:firstLine="720"/>
        <w:jc w:val="both"/>
        <w:rPr/>
      </w:pPr>
      <w:r>
        <w:rPr>
          <w:rFonts w:ascii="Times New Roman;sans-serif" w:hAnsi="Times New Roman;sans-serif"/>
          <w:b w:val="false"/>
          <w:color w:val="000000"/>
          <w:sz w:val="20"/>
        </w:rPr>
        <w:t xml:space="preserve">As previously disclosed in Part I, Item 4, "Controls and Procedures" of our </w:t>
      </w:r>
      <w:r>
        <w:rPr>
          <w:rFonts w:ascii="Times New Roman;sans-serif" w:hAnsi="Times New Roman;sans-serif"/>
          <w:b w:val="false"/>
          <w:color w:val="231F20"/>
          <w:sz w:val="20"/>
        </w:rPr>
        <w:t>Quarterly Report on Form 10-Q for the quarter ended</w:t>
      </w:r>
      <w:r>
        <w:rPr>
          <w:color w:val="000000"/>
        </w:rPr>
        <w:t xml:space="preserve"> </w:t>
      </w:r>
      <w:r>
        <w:rPr>
          <w:rFonts w:ascii="Times New Roman;sans-serif" w:hAnsi="Times New Roman;sans-serif"/>
          <w:b w:val="false"/>
          <w:color w:val="000000"/>
          <w:sz w:val="20"/>
        </w:rPr>
        <w:t xml:space="preserve">March 31, 2024 filed with the SEC on May 15, 2024, we identified a material weakness in our internal control over financial reporting relating to the review of the work performed by a third-party valuation specialist. The specialist was used in the valuation of our Class 1 Warrants and Class 2 Warrants issued in connection with the Concurrent Offerings.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such material weakness, our management believes that our financial statements included in this Report present fairly, in all material respects, our financial position, results of operations and cash flows for the periods presented in accordance with U.S. GAAP.</w:t>
      </w:r>
    </w:p>
    <w:p>
      <w:pPr>
        <w:pStyle w:val="TextBody"/>
        <w:bidi w:val="0"/>
        <w:spacing w:lineRule="auto" w:line="256" w:before="240" w:after="240"/>
        <w:jc w:val="both"/>
        <w:rPr>
          <w:rFonts w:ascii="Times New Roman;sans-serif" w:hAnsi="Times New Roman;sans-serif"/>
          <w:b/>
          <w:i/>
          <w:color w:val="000000"/>
          <w:sz w:val="20"/>
        </w:rPr>
      </w:pPr>
      <w:r>
        <w:rPr>
          <w:rFonts w:ascii="Times New Roman;sans-serif" w:hAnsi="Times New Roman;sans-serif"/>
          <w:b/>
          <w:i/>
          <w:color w:val="000000"/>
          <w:sz w:val="20"/>
        </w:rPr>
        <w:t>Remediation Status of Material Weakness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continuing to design and implement measures to remediate this material weakness and improve our overall internal control environment. As of the date of this filing, we have designed and implemented enhanced management review procedures to validate the compliance of third-party valuation specialist's assumptions with U.S. GAAP and to evaluate the appropriateness of significant unobservable inputs used to measure fair value. Additionally, we have expanded and enhanced existing documentation to demonstrate the level of precision and procedures performed in our review of work prepared by a third-party valuation specialist.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actions are subject to an ongoing management review and the oversight of our Board of Directors and its Audit and Risk Committee. The material weakness cannot be considered remediated until the applicable remedial controls operate for a sufficient period of time and our management has concluded, through testing, that these controls are operating effectively. We will continue to monitor the design and effectiveness of these and other processes, procedures and controls and implement any additional measures our management deems appropriate.</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the disclosure controls and procedures, our management recognizes that a system of controls, no matter how well designed and operated, can provide only reasonable, not absolute, assurance of achieving the desired control objectives. Because of the inherent limitations in all control systems, no evaluation of controls can provide absolute assurance that all control issues have been detected. The design of any control system is based in part on certain assumptions about the likelihood of future events, and there can be no assurance that any design will succeed in achieving its stated goals under all potential future conditions.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Except as described above, there were no changes to our internal control over financial reporting (as defined in Rule 13a-15(f) and Rule 15d-15(f) under the Exchange Act) during the quarter ended </w:t>
      </w:r>
      <w:r>
        <w:rPr>
          <w:rFonts w:ascii="Times New Roman;sans-serif" w:hAnsi="Times New Roman;sans-serif"/>
          <w:b w:val="false"/>
          <w:color w:val="231F20"/>
          <w:sz w:val="20"/>
        </w:rPr>
        <w:t>September 30, 2024</w:t>
      </w:r>
      <w:r>
        <w:rPr>
          <w:color w:val="000000"/>
        </w:rPr>
        <w:t xml:space="preserve"> </w:t>
      </w:r>
      <w:r>
        <w:rPr>
          <w:rFonts w:ascii="Times New Roman;sans-serif" w:hAnsi="Times New Roman;sans-serif"/>
          <w:b w:val="false"/>
          <w:color w:val="000000"/>
          <w:sz w:val="20"/>
        </w:rPr>
        <w:t>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we have continued to respond to those requests on a timely basis. Based on the ongoing nature of this matter, the outcome remains uncertain and we cannot estimate the potential impact, if any, on our business or financial statements at this time.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regarding our ongoing legal proceedings, refer to Note 14 in our unaudited consolidated financial statements included in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In addition to the information set forth in this Report, you should carefully consider the risk factors and other cautionary statements described under the heading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 </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might not be able to continue as a going concern.</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We intend to use our unrestricted cash, inclusive of the net proceeds from the Concurrent Offerings, and proceeds from maturity of available-for-sale debt securities together with amounts available for borrowings under the ICE Credit Facility primarily to fund our day-to-day operations, including, but not limited to funding our regulatory capital requirements, compensating balance arrangements and other similar commitments, each of which is subject to change, and as available, to (i) activate new crypto clients, (ii) launch new crypto products in the institutional space and maintain our product development efforts, and (iii) optimize our technology infrastructure and operational support. Substantial doubt was initially raised about our ability to continue as a going concern in connection with the filing of our Quarterly Report on Form 10-Q for the quarterly period ending September 30, 2023. In connection with the filing of subsequent amendments thereto, we disclosed that, without additional equity financing, we could not conclude that we could maintain our operations for a period of at least 12 months from the dates of such filings. We subsequently closed on the Concurrent Offerings and, most recently, the ICE Credit Facility (see Note 8, Related Parties</w:t>
      </w:r>
      <w:r>
        <w:rPr>
          <w:color w:val="000000"/>
        </w:rPr>
        <w:t xml:space="preserve"> </w:t>
      </w:r>
      <w:r>
        <w:rPr>
          <w:rFonts w:ascii="Times New Roman;sans-serif" w:hAnsi="Times New Roman;sans-serif"/>
          <w:b w:val="false"/>
          <w:color w:val="000000"/>
          <w:sz w:val="20"/>
        </w:rPr>
        <w:t>in the accompanying notes to the consolidated financial statements included in Part I, Item 1 of this Report for additional information) that, when considered with management’s other plans, resulted in management concluding that we have sufficient capital to continue as a going concern for at least 12 months from the date of this Report. However, that determination may change in the future. If we cannot continue as a viable entity, our stockholders will likely lose most or all of their investment in us.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may continue to experience impacts to our business as a result of our partners and customers concern regarding our ability to continue as a going concern. For example, (i) one of our partners closed out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customer positions, (ii) we have received inquiries from partners and prospective partners about our financial position, (iii) certain of our surety bond providers have requested additional collateral, (iv) we were required to pledge as collateral the amounts that were previously required to be maintained in a concentration account for our purchasing card facility, and (v) certain of our liquidity providers have requested updated payment arrangements. There can be no assurance that we will not experience additional adverse impacts to our business, including additional or accelerated account closures, loss of future potential business, and additional demands for cash or collateral, which, individually or in the aggregate may further impair our business and exacerbate the risks related to our ability to continue as a going concern.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significant uncertainty associated with our expansion to new markets, our launch of new products,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required to raise additional funding in the future to maintain our operations or we are unable to access any or all of the amounts available under the ICE Credit Facility, we cannot be certain that additional capital, whether through selling additional equity or debt securities or obtaining additional lines of credit or other loans, will be available to us or, if available, will be on terms acceptable to us. If we issue additional securities to raise funds, these securities may have rights, preferences, or privileges senior to those of our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 In addition, even though as of the filing of this Report we determined that the Company has sufficient capital to continue as a going concern for at least 12 months, we may be unable to recover with investors, partners and customers due to the adverse reputational effects we experienced previously or may experience in the future.</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the growth of our business, and such capital might not be available on acceptable terms, if at all.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For example, in Concurrent Offerings we issued and sold an aggregate of 1,858,062 shares of our Class A Common Stock, warrants to purchase an aggregate of 2,306,800 shares of Class A Common Stock at an exercise price of $25.50 per share, and pre-funded warrants to purchase an aggregate of 448,742 shares of Class A Common Stock at an exercise price of $0.0001 per share for aggregate net proceeds of $46.5 million. Furthermore, while the ICE Credit Facility allows us to borrow up to $40,000,000, there are certain limitations on such borrowings, including a prohibition on incurring any borrowings prior to December 31, 2024 and graduated availability thereafter through September 29, 2025.</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financing may not be available on terms favorable to us, if at all. For example, we may be required to seek the approval of ICE under the ICE Credit Facility in order to incur other indebtedness. If adequate funds are not available on acceptable terms, we may be unable to invest in future growth opportunities, which could harm our business, financial condition, or results of operations. If we incur debt, including under the ICE Credit Facility,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ICE Credit Facility restricts our current and future operations, particularly our ability to respond to changes or to take certain actions.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2024, we entered into the ICE Credit Facility pursuant to which we obtained and secured a revolving loan of up to $40,000,000 that will mature on December 31, 2026. Under the ICE Credit Facility, we are subject to certain fees, conditions, security arrangements and covenants, including negative covenants that restrict our ability to engage in certain transactions, which may limit our ability to respond to changes in business and economic conditions. Such negative covenants include, among other things, limitations on our ability and the ability of our subsidiaries to incur debt or liens, make investments (including acquisitions), sell assets and pay dividends on our capital stock.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compliance with the covenants under the ICE Credit Facility or are unsuccessful in obtaining waivers or amendments for any covenant defaults in the future, in addition to other actions ICE may require, the amounts outstanding under the ICE Credit Facility may become immediately due and payable and ICE may terminate its commitment to provide any revolving loans. This immediate payment and loss of access to revolving loans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or any other non-financial or restrictive covenant, would create a default under our ICE Credit Facility. Our cash flow and existing capital resources may be insufficient to repay our debt at maturity, in which such case prior thereto we would have to extend such maturity date, or otherwise repay, refinance and or restructure the obligations under the ICE Credit Facility, including with proceeds from the sale of assets, and additional equity or debt capital. If we are unsuccessful in obtaining such extension, or entering into such repayment, refinance or restructure prior to maturity, or any other default existed under the ICE Credit Facility, ICE could accelerate the indebtedness under the ICE Credit Facility and terminate its commitments, or seek other remedies, which would jeopardize our ability to continue our current operations.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ICE may exert significant influence over us and its interests may conflict with yours or those of other stockholders in the future.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ICE Credit Facility contains certain conditions and covenants, including negative covenants that restrict our ability to engage in certain transactions, which may limit our ability to respond to changes in business and economic conditions. Such negative covenants include, among other things, limitations on our ability and the ability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subsidiaries to incur debt or liens, make investments (including acquisitions), sell assets and pay dividends on our capital stock. For additional detail, see Note 8 in the unaudited consolidated financial statements included in this Report.</w:t>
      </w:r>
    </w:p>
    <w:p>
      <w:pPr>
        <w:pStyle w:val="TextBody"/>
        <w:bidi w:val="0"/>
        <w:spacing w:lineRule="auto" w:line="268" w:before="0" w:after="240"/>
        <w:jc w:val="both"/>
        <w:rPr>
          <w:rFonts w:ascii="Times New Roman;sans-serif" w:hAnsi="Times New Roman;sans-serif"/>
          <w:b/>
          <w:i/>
          <w:color w:val="000000"/>
          <w:sz w:val="20"/>
        </w:rPr>
      </w:pPr>
      <w:r>
        <w:rPr>
          <w:rFonts w:ascii="Times New Roman;sans-serif" w:hAnsi="Times New Roman;sans-serif"/>
          <w:b/>
          <w:i/>
          <w:color w:val="000000"/>
          <w:sz w:val="20"/>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concentration of a significant portion of our business and transaction volume with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For example, our largest client has indicated that it is considering expanding its internal capabilities in a manner that, once complete, would likely result in the non-renewal for our services. Our clients may terminate or reduce their use of our services, including their transaction volumes, for any number of reasons, including if they are not satisfied with our services, the value proposition of our services or platform, or our ability to meet their needs and expectations. We cannot accurately predict clients’ usage levels and the loss of clients or reductions in their usage levels of our services or transaction volumes. Any such loss or reduction could make our platform less appealing to existing and potential clients. Accordingly, the loss of any significant client relationship could materially and adversely affect our business, results of operations, financial condition and future prospects.</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identified a material weakness in our internal control over financial reporting. This material weakness, or other material weaknesses not yet identified, could continue to adversely our ability to report our results of operations or produce timely and accurate financial statements, which could have a material adverse effect on our business.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our financial statements for the period ended March 31, 2024, we identified a material weakness in our internal control over financial reporting relating to the review of the work performed by a third-party valuation specialist. The specialist was used in the valuation of our Class 1 Warrants and Class 2 Warrants issued in connection with the Concurrent Offerings.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 described above or any newly identified material weakness could limit our ability to prevent or detect a misstatement of our accounts or disclosures that could result in a material misstatement of our annual or interim financial statements. We cannot assure you that the measures we have taken to date, or any measures we may take in the future, will be sufficient to remediate the control deficiency that led to the material weakness in our internal control over financial reporting described above or to avoid potential future material weaknesses.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taken steps to remediate the material weakness discussed above, and plan to take additional steps to further improve our overall internal control environment there is no assurance that we will remediate such material weakness or not identify other control deficiencies or material weaknesses in the future.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disclosure controls and procedures or internal control over financial reporting could have an adverse effect on our business and operating results, and cause a decline in the price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333"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333"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Trading Plans of Directors and Executive Officers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our last fiscal quarter, no director or officer, as defined in Rule 16a-1(f), adopted or terminated a "Rule 10b5-1 trading arrangement" or a "non-Rule 10b5-1 trading arrangement," each as defined in Regulation S-K Item 408.</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9"/>
        <w:gridCol w:w="271"/>
        <w:gridCol w:w="272"/>
        <w:gridCol w:w="109"/>
        <w:gridCol w:w="109"/>
        <w:gridCol w:w="109"/>
        <w:gridCol w:w="2061"/>
        <w:gridCol w:w="1885"/>
        <w:gridCol w:w="1904"/>
        <w:gridCol w:w="215"/>
        <w:gridCol w:w="215"/>
        <w:gridCol w:w="171"/>
        <w:gridCol w:w="344"/>
        <w:gridCol w:w="303"/>
        <w:gridCol w:w="187"/>
        <w:gridCol w:w="245"/>
        <w:gridCol w:w="245"/>
        <w:gridCol w:w="246"/>
        <w:gridCol w:w="378"/>
        <w:gridCol w:w="279"/>
        <w:gridCol w:w="348"/>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12"/>
            <w:tcBorders/>
            <w:shd w:fill="FFFFFF" w:val="clear"/>
            <w:tcMar>
              <w:top w:w="0" w:type="dxa"/>
              <w:left w:w="0" w:type="dxa"/>
              <w:bottom w:w="0" w:type="dxa"/>
              <w:right w:w="0" w:type="dxa"/>
            </w:tcMar>
            <w:vAlign w:val="center"/>
          </w:tcPr>
          <w:p>
            <w:pPr>
              <w:pStyle w:val="TableContents"/>
              <w:bidi w:val="0"/>
              <w:spacing w:before="0" w:after="283"/>
              <w:jc w:val="center"/>
              <w:rPr/>
            </w:pPr>
            <w:r>
              <w:rPr/>
              <w:t>Incorporated by Reference</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8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10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8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Amendment No. 1 To Membership Interest Purchase Agreement, dated as of March 30, 2023, by and among the Company, Bakkt Marketplace, Apex Fintech Solutions Inc. and Apex Crypto, LLC.</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2023</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Certificate of Incorporation of the Company, as currently in effect</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333-280724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29, 2024</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 xml:space="preserve">By-laws of the Company, as currently in effect </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Amendment No. 2 to Bakkt Holdings, Inc. 2021 Omnibus Incentive Plan</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333-280724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9, 2024</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Revolving Credit Agreement, dated as of August 12, 2024, by and among the Company, Bakkt Opco Holdings LLC, as borrower, certain subsidiaries of the Company and Intercontinental Exchange Holdings, Inc., as lender.</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2024</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103outsidedirectorc.htm">
              <w:r>
                <w:rPr>
                  <w:rStyle w:val="InternetLink"/>
                  <w:rFonts w:ascii="Times New Roman;sans-serif" w:hAnsi="Times New Roman;sans-serif"/>
                  <w:b w:val="false"/>
                  <w:color w:val="0000FF"/>
                  <w:sz w:val="20"/>
                  <w:u w:val="single"/>
                </w:rPr>
                <w:t>Outside Director Compensation Program</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1certification-ce.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2certification-cf.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1certification-ce.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2certification-cf.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tbl>
      <w:tblPr>
        <w:tblW w:w="9629" w:type="dxa"/>
        <w:jc w:val="left"/>
        <w:tblInd w:w="0" w:type="dxa"/>
        <w:tblLayout w:type="fixed"/>
        <w:tblCellMar>
          <w:top w:w="28" w:type="dxa"/>
          <w:left w:w="28" w:type="dxa"/>
          <w:bottom w:w="28" w:type="dxa"/>
          <w:right w:w="28" w:type="dxa"/>
        </w:tblCellMar>
      </w:tblPr>
      <w:tblGrid>
        <w:gridCol w:w="196"/>
        <w:gridCol w:w="171"/>
        <w:gridCol w:w="173"/>
        <w:gridCol w:w="109"/>
        <w:gridCol w:w="109"/>
        <w:gridCol w:w="109"/>
        <w:gridCol w:w="2467"/>
        <w:gridCol w:w="2467"/>
        <w:gridCol w:w="2475"/>
        <w:gridCol w:w="109"/>
        <w:gridCol w:w="109"/>
        <w:gridCol w:w="109"/>
        <w:gridCol w:w="109"/>
        <w:gridCol w:w="109"/>
        <w:gridCol w:w="109"/>
        <w:gridCol w:w="109"/>
        <w:gridCol w:w="109"/>
        <w:gridCol w:w="109"/>
        <w:gridCol w:w="109"/>
        <w:gridCol w:w="109"/>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333" w:before="40" w:after="283"/>
        <w:ind w:left="0" w:right="0" w:hanging="490"/>
        <w:jc w:val="both"/>
        <w:rPr>
          <w:color w:val="000000"/>
        </w:rPr>
      </w:pPr>
      <w:r>
        <w:rPr>
          <w:color w:val="000000"/>
        </w:rPr>
        <w:t>†    </w:t>
      </w:r>
      <w:r>
        <w:rPr>
          <w:rFonts w:ascii="Times New Roman;sans-serif" w:hAnsi="Times New Roman;sans-serif"/>
          <w:b w:val="false"/>
          <w:color w:val="000000"/>
          <w:sz w:val="20"/>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344"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284"/>
        <w:gridCol w:w="284"/>
        <w:gridCol w:w="284"/>
        <w:gridCol w:w="1152"/>
        <w:gridCol w:w="1152"/>
        <w:gridCol w:w="165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Bakkt Holdings, Inc.</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Main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Main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Henderson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Henderson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40" w:before="4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Andrew Main, certify that: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Bakkt Holdings, Inc.;</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083"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722"/>
        <w:gridCol w:w="722"/>
        <w:gridCol w:w="103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2024</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Main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Main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40" w:before="4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Karen Alexander, certify that: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Bakkt Holdings, Inc.;</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023"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706"/>
        <w:gridCol w:w="706"/>
        <w:gridCol w:w="100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2024</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40"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Bakkt Holdings, Inc. (the “Company”) on Form 10-Q for the period ending September 30, 2024 as filed with the Securities and Exchange Commission on the date hereof (the “Report”), I, Andrew Main, the Chief Executive Officer of the Company, hereby certify, pursuant to 18 U.S.C. § 1350, as adopted pursuant to § 906 of the Sarbanes-Oxley Act of 2002, that:</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410"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34"/>
        <w:gridCol w:w="134"/>
        <w:gridCol w:w="136"/>
        <w:gridCol w:w="722"/>
        <w:gridCol w:w="722"/>
        <w:gridCol w:w="103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Main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Main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40"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Bakkt Holdings, Inc. (the “Company”) on Form 10-Q for the period ending September 30, 2024 as filed with the Securities and Exchange Commission on the date hereof (the “Report”), I, Karen Alexander, the Chief Financial Officer of the Company, hereby certify, pursuant to 18 U.S.C. § 1350, as adopted pursuant to § 906 of the Sarbanes-Oxley Act of 2002, that:</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350"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34"/>
        <w:gridCol w:w="134"/>
        <w:gridCol w:w="136"/>
        <w:gridCol w:w="706"/>
        <w:gridCol w:w="706"/>
        <w:gridCol w:w="100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32"/>
        </w:rPr>
      </w:pPr>
      <w:r>
        <w:rPr>
          <w:rFonts w:ascii="Arial;sans-serif" w:hAnsi="Arial;sans-serif"/>
          <w:b/>
          <w:color w:val="000000"/>
          <w:sz w:val="32"/>
        </w:rPr>
        <w:t>BAKKT HOLDINGS, INC.</w:t>
      </w:r>
    </w:p>
    <w:p>
      <w:pPr>
        <w:pStyle w:val="TextBody"/>
        <w:bidi w:val="0"/>
        <w:spacing w:lineRule="auto" w:line="288" w:before="0" w:after="240"/>
        <w:jc w:val="center"/>
        <w:rPr>
          <w:rFonts w:ascii="Arial;sans-serif" w:hAnsi="Arial;sans-serif"/>
          <w:b/>
          <w:color w:val="000000"/>
          <w:sz w:val="32"/>
        </w:rPr>
      </w:pPr>
      <w:r>
        <w:rPr>
          <w:rFonts w:ascii="Arial;sans-serif" w:hAnsi="Arial;sans-serif"/>
          <w:b/>
          <w:color w:val="000000"/>
          <w:sz w:val="32"/>
        </w:rPr>
        <w:t>OUTSIDE DIRECTOR COMPENSATION PROGRAM</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Table of Contents</w:t>
      </w:r>
    </w:p>
    <w:p>
      <w:pPr>
        <w:pStyle w:val="TextBody"/>
        <w:bidi w:val="0"/>
        <w:spacing w:before="0" w:after="240"/>
        <w:jc w:val="right"/>
        <w:rPr/>
      </w:pPr>
      <w:r>
        <w:rPr/>
      </w:r>
    </w:p>
    <w:tbl>
      <w:tblPr>
        <w:tblW w:w="6278" w:type="dxa"/>
        <w:jc w:val="center"/>
        <w:tblInd w:w="0" w:type="dxa"/>
        <w:tblLayout w:type="fixed"/>
        <w:tblCellMar>
          <w:top w:w="28" w:type="dxa"/>
          <w:left w:w="28" w:type="dxa"/>
          <w:bottom w:w="28" w:type="dxa"/>
          <w:right w:w="28" w:type="dxa"/>
        </w:tblCellMar>
      </w:tblPr>
      <w:tblGrid>
        <w:gridCol w:w="124"/>
        <w:gridCol w:w="109"/>
        <w:gridCol w:w="109"/>
        <w:gridCol w:w="405"/>
        <w:gridCol w:w="405"/>
        <w:gridCol w:w="405"/>
        <w:gridCol w:w="1433"/>
        <w:gridCol w:w="1433"/>
        <w:gridCol w:w="148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8"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Page(s)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1</w:t>
            </w:r>
          </w:p>
        </w:tc>
        <w:tc>
          <w:tcPr>
            <w:tcW w:w="5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Effective Date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1</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2</w:t>
            </w:r>
          </w:p>
        </w:tc>
        <w:tc>
          <w:tcPr>
            <w:tcW w:w="5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Cash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2.1</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Board Member Annual Cash Retainer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2.2</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Additional Annual Cash Retainers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2.3</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Payment Timing and Proration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2.4</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Form of Payment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3</w:t>
            </w:r>
          </w:p>
        </w:tc>
        <w:tc>
          <w:tcPr>
            <w:tcW w:w="5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Equity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3.1</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 Discretion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3.2</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Annual Award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3.3</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Additional Terms of Annual Awards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4</w:t>
            </w:r>
          </w:p>
        </w:tc>
        <w:tc>
          <w:tcPr>
            <w:tcW w:w="5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Change in Control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5</w:t>
            </w:r>
          </w:p>
        </w:tc>
        <w:tc>
          <w:tcPr>
            <w:tcW w:w="5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Annual Compensation Limit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6</w:t>
            </w:r>
          </w:p>
        </w:tc>
        <w:tc>
          <w:tcPr>
            <w:tcW w:w="5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Travel Expenses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7</w:t>
            </w:r>
          </w:p>
        </w:tc>
        <w:tc>
          <w:tcPr>
            <w:tcW w:w="5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Section 409A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w:t>
            </w:r>
          </w:p>
        </w:tc>
        <w:tc>
          <w:tcPr>
            <w:tcW w:w="5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Revisions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w:t>
                      </w:r>
                    </w:p>
                  </w:txbxContent>
                </v:textbox>
                <w10:wrap type="none"/>
              </v:rect>
            </w:pict>
          </mc:Fallback>
        </mc:AlternateContent>
      </w:r>
    </w:p>
    <w:tbl>
      <w:tblPr>
        <w:tblW w:w="5838" w:type="dxa"/>
        <w:jc w:val="left"/>
        <w:tblInd w:w="0" w:type="dxa"/>
        <w:tblLayout w:type="fixed"/>
        <w:tblCellMar>
          <w:top w:w="28" w:type="dxa"/>
          <w:left w:w="28" w:type="dxa"/>
          <w:bottom w:w="28" w:type="dxa"/>
          <w:right w:w="28" w:type="dxa"/>
        </w:tblCellMar>
      </w:tblPr>
      <w:tblGrid>
        <w:gridCol w:w="380"/>
        <w:gridCol w:w="334"/>
        <w:gridCol w:w="336"/>
        <w:gridCol w:w="190"/>
        <w:gridCol w:w="190"/>
        <w:gridCol w:w="191"/>
        <w:gridCol w:w="225"/>
        <w:gridCol w:w="225"/>
        <w:gridCol w:w="226"/>
        <w:gridCol w:w="330"/>
        <w:gridCol w:w="330"/>
        <w:gridCol w:w="331"/>
        <w:gridCol w:w="335"/>
        <w:gridCol w:w="335"/>
        <w:gridCol w:w="336"/>
        <w:gridCol w:w="452"/>
        <w:gridCol w:w="452"/>
        <w:gridCol w:w="640"/>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Version #</w:t>
            </w:r>
          </w:p>
        </w:tc>
        <w:tc>
          <w:tcPr>
            <w:tcW w:w="571"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Date</w:t>
            </w:r>
          </w:p>
        </w:tc>
        <w:tc>
          <w:tcPr>
            <w:tcW w:w="676"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Editor</w:t>
            </w:r>
          </w:p>
        </w:tc>
        <w:tc>
          <w:tcPr>
            <w:tcW w:w="991"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Changes</w:t>
            </w:r>
          </w:p>
        </w:tc>
        <w:tc>
          <w:tcPr>
            <w:tcW w:w="1006"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Approver</w:t>
            </w:r>
          </w:p>
        </w:tc>
        <w:tc>
          <w:tcPr>
            <w:tcW w:w="1544"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Approval Date</w:t>
            </w:r>
          </w:p>
        </w:tc>
      </w:tr>
      <w:tr>
        <w:trPr/>
        <w:tc>
          <w:tcPr>
            <w:tcW w:w="105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BAKKT HOLDINGS,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OUTSIDE DIRECTOR COMPENSATION PROGRAM</w:t>
      </w:r>
    </w:p>
    <w:p>
      <w:pPr>
        <w:pStyle w:val="TextBody"/>
        <w:bidi w:val="0"/>
        <w:spacing w:lineRule="auto" w:line="288" w:before="0" w:after="240"/>
        <w:ind w:left="0" w:right="0" w:firstLine="720"/>
        <w:jc w:val="both"/>
        <w:rPr/>
      </w:pPr>
      <w:r>
        <w:rPr>
          <w:rFonts w:ascii="Arial;sans-serif" w:hAnsi="Arial;sans-serif"/>
          <w:b w:val="false"/>
          <w:color w:val="000000"/>
          <w:sz w:val="24"/>
        </w:rPr>
        <w:t>The Company (as defined below) believes that the granting of equity and cash compensation to members of the Company’s Board of Directors (the “</w:t>
      </w:r>
      <w:r>
        <w:rPr>
          <w:rFonts w:ascii="Arial;sans-serif" w:hAnsi="Arial;sans-serif"/>
          <w:b/>
          <w:color w:val="000000"/>
          <w:sz w:val="24"/>
        </w:rPr>
        <w:t>Board</w:t>
      </w:r>
      <w:r>
        <w:rPr>
          <w:rFonts w:ascii="Arial;sans-serif" w:hAnsi="Arial;sans-serif"/>
          <w:b w:val="false"/>
          <w:color w:val="000000"/>
          <w:sz w:val="24"/>
        </w:rPr>
        <w:t>,” and members of the Board, “</w:t>
      </w:r>
      <w:r>
        <w:rPr>
          <w:rFonts w:ascii="Arial;sans-serif" w:hAnsi="Arial;sans-serif"/>
          <w:b/>
          <w:color w:val="000000"/>
          <w:sz w:val="24"/>
        </w:rPr>
        <w:t>Directors</w:t>
      </w:r>
      <w:r>
        <w:rPr>
          <w:color w:val="000000"/>
        </w:rPr>
        <w:t>”</w:t>
      </w:r>
      <w:r>
        <w:rPr>
          <w:rFonts w:ascii="Arial;sans-serif" w:hAnsi="Arial;sans-serif"/>
          <w:b w:val="false"/>
          <w:color w:val="000000"/>
          <w:sz w:val="24"/>
        </w:rPr>
        <w:t>) represents an effective tool to attract, retain and reward Directors who are not employees of the Company (“</w:t>
      </w:r>
      <w:r>
        <w:rPr>
          <w:rFonts w:ascii="Arial;sans-serif" w:hAnsi="Arial;sans-serif"/>
          <w:b/>
          <w:color w:val="000000"/>
          <w:sz w:val="24"/>
        </w:rPr>
        <w:t>Outside Directors</w:t>
      </w:r>
      <w:r>
        <w:rPr>
          <w:color w:val="000000"/>
        </w:rPr>
        <w:t>”</w:t>
      </w:r>
      <w:r>
        <w:rPr>
          <w:rFonts w:ascii="Arial;sans-serif" w:hAnsi="Arial;sans-serif"/>
          <w:b w:val="false"/>
          <w:color w:val="000000"/>
          <w:sz w:val="24"/>
        </w:rPr>
        <w:t>). This Outside Director Compensation Program (the “</w:t>
      </w:r>
      <w:r>
        <w:rPr>
          <w:rFonts w:ascii="Arial;sans-serif" w:hAnsi="Arial;sans-serif"/>
          <w:b/>
          <w:color w:val="000000"/>
          <w:sz w:val="24"/>
        </w:rPr>
        <w:t>Program</w:t>
      </w:r>
      <w:r>
        <w:rPr>
          <w:color w:val="000000"/>
        </w:rPr>
        <w:t>”</w:t>
      </w:r>
      <w:r>
        <w:rPr>
          <w:rFonts w:ascii="Arial;sans-serif" w:hAnsi="Arial;sans-serif"/>
          <w:b w:val="false"/>
          <w:color w:val="000000"/>
          <w:sz w:val="24"/>
        </w:rPr>
        <w:t>) is intended to formalize the Company’s policy regarding cash compensation and grants of equity awards to its Outside Directors. Unless otherwise defined herein, capitalized terms used in this Program will have the meaning given such term in the Company’s 2021 Omnibus Incentive Plan, as amended from time to time, or if such plan no longer is in use at the time of the grant of an equity award, the meaning given such term or similar term in the equity plan then in place under which the equity award is granted (the “</w:t>
      </w:r>
      <w:r>
        <w:rPr>
          <w:rFonts w:ascii="Arial;sans-serif" w:hAnsi="Arial;sans-serif"/>
          <w:b/>
          <w:color w:val="000000"/>
          <w:sz w:val="24"/>
        </w:rPr>
        <w:t>Plan</w:t>
      </w:r>
      <w:r>
        <w:rPr>
          <w:color w:val="000000"/>
        </w:rPr>
        <w:t>”</w:t>
      </w:r>
      <w:r>
        <w:rPr>
          <w:rFonts w:ascii="Arial;sans-serif" w:hAnsi="Arial;sans-serif"/>
          <w:b w:val="false"/>
          <w:color w:val="000000"/>
          <w:sz w:val="24"/>
        </w:rPr>
        <w:t>). Each Outside Director will be solely responsible for any tax obligations incurred by such Outside Director as a result of the equity awards and cash and other compensation such Outside Director receives under this Program. “</w:t>
      </w:r>
      <w:r>
        <w:rPr>
          <w:rFonts w:ascii="Arial;sans-serif" w:hAnsi="Arial;sans-serif"/>
          <w:b/>
          <w:color w:val="000000"/>
          <w:sz w:val="24"/>
        </w:rPr>
        <w:t>Company</w:t>
      </w:r>
      <w:r>
        <w:rPr>
          <w:color w:val="000000"/>
        </w:rPr>
        <w:t xml:space="preserve">” </w:t>
      </w:r>
      <w:r>
        <w:rPr>
          <w:rFonts w:ascii="Arial;sans-serif" w:hAnsi="Arial;sans-serif"/>
          <w:b w:val="false"/>
          <w:color w:val="000000"/>
          <w:sz w:val="24"/>
        </w:rPr>
        <w:t>means Bakkt Holdings, LLC (which, on or following the Closing, will be Bakkt Holdings, Inc.), a Delaware corporation, or any successor thereto.</w:t>
      </w:r>
    </w:p>
    <w:p>
      <w:pPr>
        <w:pStyle w:val="TextBody"/>
        <w:bidi w:val="0"/>
        <w:spacing w:lineRule="auto" w:line="288" w:before="0" w:after="240"/>
        <w:ind w:left="0" w:right="0" w:firstLine="720"/>
        <w:jc w:val="both"/>
        <w:rPr/>
      </w:pPr>
      <w:r>
        <w:rPr>
          <w:rFonts w:ascii="Arial;sans-serif" w:hAnsi="Arial;sans-serif"/>
          <w:b w:val="false"/>
          <w:color w:val="000000"/>
          <w:sz w:val="24"/>
        </w:rPr>
        <w:t>1.    </w:t>
      </w:r>
      <w:r>
        <w:rPr>
          <w:rFonts w:ascii="Arial;sans-serif" w:hAnsi="Arial;sans-serif"/>
          <w:b/>
          <w:color w:val="000000"/>
          <w:sz w:val="24"/>
        </w:rPr>
        <w:t>Effective Date</w:t>
      </w:r>
      <w:r>
        <w:rPr>
          <w:rFonts w:ascii="Arial;sans-serif" w:hAnsi="Arial;sans-serif"/>
          <w:b w:val="false"/>
          <w:color w:val="000000"/>
          <w:sz w:val="24"/>
        </w:rPr>
        <w:t>. This Program will be effective as of the day immediately prior to the date of the closing of the merger contemplated by that certain Agreement and Plan of Merger by and among the Company, VPC Impact Acquisition Holdings, a Cayman Islands exempted company, and certain other parties, dated January 11, 2021, as amended from time to time (such closing, the “</w:t>
      </w:r>
      <w:r>
        <w:rPr>
          <w:rFonts w:ascii="Arial;sans-serif" w:hAnsi="Arial;sans-serif"/>
          <w:b/>
          <w:color w:val="000000"/>
          <w:sz w:val="24"/>
        </w:rPr>
        <w:t>Closing</w:t>
      </w:r>
      <w:r>
        <w:rPr>
          <w:rFonts w:ascii="Arial;sans-serif" w:hAnsi="Arial;sans-serif"/>
          <w:b w:val="false"/>
          <w:color w:val="000000"/>
          <w:sz w:val="24"/>
        </w:rPr>
        <w:t>,” and the effective date of this Program, the “</w:t>
      </w:r>
      <w:r>
        <w:rPr>
          <w:rFonts w:ascii="Arial;sans-serif" w:hAnsi="Arial;sans-serif"/>
          <w:b/>
          <w:color w:val="000000"/>
          <w:sz w:val="24"/>
        </w:rPr>
        <w:t>Effective Date</w:t>
      </w:r>
      <w:r>
        <w:rPr>
          <w:color w:val="000000"/>
        </w:rPr>
        <w:t>”</w:t>
      </w:r>
      <w:r>
        <w:rPr>
          <w:rFonts w:ascii="Arial;sans-serif" w:hAnsi="Arial;sans-serif"/>
          <w:b w:val="false"/>
          <w:color w:val="000000"/>
          <w:sz w:val="24"/>
        </w:rPr>
        <w:t>).</w:t>
      </w:r>
    </w:p>
    <w:p>
      <w:pPr>
        <w:pStyle w:val="TextBody"/>
        <w:bidi w:val="0"/>
        <w:spacing w:lineRule="auto" w:line="288" w:before="0" w:after="240"/>
        <w:ind w:left="0" w:right="0" w:firstLine="720"/>
        <w:jc w:val="both"/>
        <w:rPr/>
      </w:pPr>
      <w:r>
        <w:rPr>
          <w:rFonts w:ascii="Arial;sans-serif" w:hAnsi="Arial;sans-serif"/>
          <w:b w:val="false"/>
          <w:color w:val="000000"/>
          <w:sz w:val="24"/>
        </w:rPr>
        <w:t>2.    </w:t>
      </w:r>
      <w:r>
        <w:rPr>
          <w:rFonts w:ascii="Arial;sans-serif" w:hAnsi="Arial;sans-serif"/>
          <w:b/>
          <w:color w:val="000000"/>
          <w:sz w:val="24"/>
        </w:rPr>
        <w:t>Cash Compensation</w:t>
      </w:r>
      <w:r>
        <w:rPr>
          <w:color w:val="000000"/>
        </w:rPr>
        <w:t xml:space="preserve"> </w:t>
      </w:r>
      <w:r>
        <w:rPr>
          <w:rFonts w:ascii="Arial;sans-serif" w:hAnsi="Arial;sans-serif"/>
          <w:b w:val="false"/>
          <w:color w:val="000000"/>
          <w:sz w:val="24"/>
        </w:rPr>
        <w:t>.</w:t>
      </w:r>
    </w:p>
    <w:p>
      <w:pPr>
        <w:pStyle w:val="TextBody"/>
        <w:bidi w:val="0"/>
        <w:spacing w:lineRule="auto" w:line="288" w:before="0" w:after="240"/>
        <w:ind w:left="0" w:right="0" w:firstLine="1440"/>
        <w:jc w:val="both"/>
        <w:rPr/>
      </w:pPr>
      <w:r>
        <w:rPr>
          <w:rFonts w:ascii="Arial;sans-serif" w:hAnsi="Arial;sans-serif"/>
          <w:b w:val="false"/>
          <w:color w:val="000000"/>
          <w:sz w:val="24"/>
        </w:rPr>
        <w:t>2.1    </w:t>
      </w:r>
      <w:r>
        <w:rPr>
          <w:rFonts w:ascii="Arial;sans-serif" w:hAnsi="Arial;sans-serif"/>
          <w:b/>
          <w:color w:val="000000"/>
          <w:sz w:val="24"/>
        </w:rPr>
        <w:t>Board Member Annual Cash Retainer</w:t>
      </w:r>
      <w:r>
        <w:rPr>
          <w:rFonts w:ascii="Arial;sans-serif" w:hAnsi="Arial;sans-serif"/>
          <w:b w:val="false"/>
          <w:color w:val="000000"/>
          <w:sz w:val="24"/>
        </w:rPr>
        <w:t>. Following the Effective Date, each Outside Director will be paid an annual cash retainer of $50,000. There are no per-meeting attendance fees for attending Board meetings or meetings of any committee of the Board.</w:t>
      </w:r>
    </w:p>
    <w:p>
      <w:pPr>
        <w:pStyle w:val="TextBody"/>
        <w:bidi w:val="0"/>
        <w:spacing w:lineRule="auto" w:line="288" w:before="0" w:after="240"/>
        <w:ind w:left="0" w:right="0" w:firstLine="1440"/>
        <w:jc w:val="both"/>
        <w:rPr/>
      </w:pPr>
      <w:r>
        <w:rPr>
          <w:rFonts w:ascii="Arial;sans-serif" w:hAnsi="Arial;sans-serif"/>
          <w:b w:val="false"/>
          <w:color w:val="000000"/>
          <w:sz w:val="24"/>
        </w:rPr>
        <w:t>2.2    </w:t>
      </w:r>
      <w:r>
        <w:rPr>
          <w:rFonts w:ascii="Arial;sans-serif" w:hAnsi="Arial;sans-serif"/>
          <w:b/>
          <w:color w:val="000000"/>
          <w:sz w:val="24"/>
        </w:rPr>
        <w:t>Additional Annual Cash Retainers</w:t>
      </w:r>
      <w:r>
        <w:rPr>
          <w:rFonts w:ascii="Arial;sans-serif" w:hAnsi="Arial;sans-serif"/>
          <w:b w:val="false"/>
          <w:color w:val="000000"/>
          <w:sz w:val="24"/>
        </w:rPr>
        <w:t>. Following the Effective Date, each Outside Director who serves as the Chair of the Board or chair or a member of a committee of the Board, will be eligible to earn additional annual fees as follows:</w:t>
      </w:r>
    </w:p>
    <w:tbl>
      <w:tblPr>
        <w:tblW w:w="5145" w:type="dxa"/>
        <w:jc w:val="left"/>
        <w:tblInd w:w="0" w:type="dxa"/>
        <w:tblLayout w:type="fixed"/>
        <w:tblCellMar>
          <w:top w:w="28" w:type="dxa"/>
          <w:left w:w="28" w:type="dxa"/>
          <w:bottom w:w="28" w:type="dxa"/>
          <w:right w:w="28" w:type="dxa"/>
        </w:tblCellMar>
      </w:tblPr>
      <w:tblGrid>
        <w:gridCol w:w="1357"/>
        <w:gridCol w:w="1194"/>
        <w:gridCol w:w="1198"/>
        <w:gridCol w:w="409"/>
        <w:gridCol w:w="409"/>
        <w:gridCol w:w="578"/>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Non-Executive Chair of the Board:</w:t>
            </w:r>
          </w:p>
        </w:tc>
        <w:tc>
          <w:tcPr>
            <w:tcW w:w="13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4"/>
              </w:rPr>
              <w:t>$100,000</w:t>
            </w:r>
          </w:p>
        </w:tc>
      </w:tr>
      <w:tr>
        <w:trPr/>
        <w:tc>
          <w:tcPr>
            <w:tcW w:w="37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Audit Committee Chair:</w:t>
            </w:r>
          </w:p>
        </w:tc>
        <w:tc>
          <w:tcPr>
            <w:tcW w:w="13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4"/>
              </w:rPr>
              <w:t>$25,000</w:t>
            </w:r>
          </w:p>
        </w:tc>
      </w:tr>
      <w:tr>
        <w:trPr/>
        <w:tc>
          <w:tcPr>
            <w:tcW w:w="374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Audit Committee Member:</w:t>
            </w:r>
          </w:p>
        </w:tc>
        <w:tc>
          <w:tcPr>
            <w:tcW w:w="13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4"/>
              </w:rPr>
              <w:t>$10,000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tbl>
      <w:tblPr>
        <w:tblW w:w="7770" w:type="dxa"/>
        <w:jc w:val="left"/>
        <w:tblInd w:w="0" w:type="dxa"/>
        <w:tblLayout w:type="fixed"/>
        <w:tblCellMar>
          <w:top w:w="28" w:type="dxa"/>
          <w:left w:w="28" w:type="dxa"/>
          <w:bottom w:w="28" w:type="dxa"/>
          <w:right w:w="28" w:type="dxa"/>
        </w:tblCellMar>
      </w:tblPr>
      <w:tblGrid>
        <w:gridCol w:w="2357"/>
        <w:gridCol w:w="2073"/>
        <w:gridCol w:w="2079"/>
        <w:gridCol w:w="369"/>
        <w:gridCol w:w="369"/>
        <w:gridCol w:w="523"/>
      </w:tblGrid>
      <w:tr>
        <w:trPr/>
        <w:tc>
          <w:tcPr>
            <w:tcW w:w="235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Compensation Committee Chair:</w:t>
            </w:r>
          </w:p>
        </w:tc>
        <w:tc>
          <w:tcPr>
            <w:tcW w:w="126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4"/>
              </w:rPr>
              <w:t>$20,000</w:t>
            </w:r>
          </w:p>
        </w:tc>
      </w:tr>
      <w:tr>
        <w:trPr/>
        <w:tc>
          <w:tcPr>
            <w:tcW w:w="65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Compensation Committee Member:</w:t>
            </w:r>
          </w:p>
        </w:tc>
        <w:tc>
          <w:tcPr>
            <w:tcW w:w="126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4"/>
              </w:rPr>
              <w:t>$7,500</w:t>
            </w:r>
          </w:p>
        </w:tc>
      </w:tr>
      <w:tr>
        <w:trPr/>
        <w:tc>
          <w:tcPr>
            <w:tcW w:w="65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Corporate Governance and Nominating Committee Chair:</w:t>
            </w:r>
          </w:p>
        </w:tc>
        <w:tc>
          <w:tcPr>
            <w:tcW w:w="126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4"/>
              </w:rPr>
              <w:t>$12,000</w:t>
            </w:r>
          </w:p>
        </w:tc>
      </w:tr>
      <w:tr>
        <w:trPr/>
        <w:tc>
          <w:tcPr>
            <w:tcW w:w="650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Corporate Governance and Nominating Committee Member:</w:t>
            </w:r>
          </w:p>
        </w:tc>
        <w:tc>
          <w:tcPr>
            <w:tcW w:w="126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4"/>
              </w:rPr>
              <w:t>$5,000</w:t>
            </w:r>
          </w:p>
        </w:tc>
      </w:tr>
    </w:tbl>
    <w:p>
      <w:pPr>
        <w:pStyle w:val="TextBody"/>
        <w:bidi w:val="0"/>
        <w:spacing w:lineRule="auto" w:line="288" w:before="240" w:after="24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 </w:t>
      </w:r>
    </w:p>
    <w:p>
      <w:pPr>
        <w:pStyle w:val="TextBody"/>
        <w:bidi w:val="0"/>
        <w:spacing w:lineRule="auto" w:line="288" w:before="0" w:after="240"/>
        <w:ind w:left="0" w:right="0" w:firstLine="1440"/>
        <w:jc w:val="both"/>
        <w:rPr/>
      </w:pPr>
      <w:r>
        <w:rPr>
          <w:rFonts w:ascii="Arial;sans-serif" w:hAnsi="Arial;sans-serif"/>
          <w:b w:val="false"/>
          <w:color w:val="000000"/>
          <w:sz w:val="24"/>
        </w:rPr>
        <w:t>2.3    </w:t>
      </w:r>
      <w:r>
        <w:rPr>
          <w:rFonts w:ascii="Arial;sans-serif" w:hAnsi="Arial;sans-serif"/>
          <w:b/>
          <w:color w:val="000000"/>
          <w:sz w:val="24"/>
        </w:rPr>
        <w:t>Payment Timing and Proration</w:t>
      </w:r>
      <w:r>
        <w:rPr>
          <w:rFonts w:ascii="Arial;sans-serif" w:hAnsi="Arial;sans-serif"/>
          <w:b w:val="false"/>
          <w:color w:val="000000"/>
          <w:sz w:val="24"/>
        </w:rPr>
        <w:t>. Each annual cash retainer under this Program will be paid quarterly in arrears on a prorated basis to each Outside Director who has served in the relevant capacity at any time during the immediately preceding fiscal quarter of the Company (“</w:t>
      </w:r>
      <w:r>
        <w:rPr>
          <w:rFonts w:ascii="Arial;sans-serif" w:hAnsi="Arial;sans-serif"/>
          <w:b/>
          <w:color w:val="000000"/>
          <w:sz w:val="24"/>
        </w:rPr>
        <w:t>Fiscal Quarter</w:t>
      </w:r>
      <w:r>
        <w:rPr>
          <w:color w:val="000000"/>
        </w:rPr>
        <w:t>”</w:t>
      </w:r>
      <w:r>
        <w:rPr>
          <w:rFonts w:ascii="Arial;sans-serif" w:hAnsi="Arial;sans-serif"/>
          <w:b w:val="false"/>
          <w:color w:val="000000"/>
          <w:sz w:val="24"/>
        </w:rPr>
        <w:t>), and such payment will be made no later than 30 days following the end of such immediately preceding Fiscal Quarter. An Outside Director who has served as an Outside Director, as a member of an applicable committee (or chair thereof), or as Chair of the Board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An Outside Director who has served as an Outside Director, as a member of an applicable committee (or chair thereof), or as Chair of the Board the Effective Date through the end of the Fiscal Quarter containing the Effective Date (the “</w:t>
      </w:r>
      <w:r>
        <w:rPr>
          <w:rFonts w:ascii="Arial;sans-serif" w:hAnsi="Arial;sans-serif"/>
          <w:b/>
          <w:color w:val="000000"/>
          <w:sz w:val="24"/>
        </w:rPr>
        <w:t>Initial Period</w:t>
      </w:r>
      <w:r>
        <w:rPr>
          <w:color w:val="000000"/>
        </w:rPr>
        <w:t>”</w:t>
      </w:r>
      <w:r>
        <w:rPr>
          <w:rFonts w:ascii="Arial;sans-serif" w:hAnsi="Arial;sans-serif"/>
          <w:b w:val="false"/>
          <w:color w:val="000000"/>
          <w:sz w:val="24"/>
        </w:rPr>
        <w:t>), as applicable, will receive a prorated payment of the quarterly installment of the applicable annual cash retainer(s), calculated based on the number of days during the Initial Period that such Outside Director has served in the relevant capacities.</w:t>
      </w:r>
    </w:p>
    <w:p>
      <w:pPr>
        <w:pStyle w:val="TextBody"/>
        <w:bidi w:val="0"/>
        <w:spacing w:lineRule="auto" w:line="288" w:before="0" w:after="240"/>
        <w:ind w:left="0" w:right="0" w:firstLine="1440"/>
        <w:jc w:val="both"/>
        <w:rPr/>
      </w:pPr>
      <w:r>
        <w:rPr>
          <w:rFonts w:ascii="Arial;sans-serif" w:hAnsi="Arial;sans-serif"/>
          <w:b w:val="false"/>
          <w:color w:val="000000"/>
          <w:sz w:val="24"/>
        </w:rPr>
        <w:t>2.4    </w:t>
      </w:r>
      <w:r>
        <w:rPr>
          <w:rFonts w:ascii="Arial;sans-serif" w:hAnsi="Arial;sans-serif"/>
          <w:b/>
          <w:color w:val="000000"/>
          <w:sz w:val="24"/>
        </w:rPr>
        <w:t>Form of Payment</w:t>
      </w:r>
      <w:r>
        <w:rPr>
          <w:rFonts w:ascii="Arial;sans-serif" w:hAnsi="Arial;sans-serif"/>
          <w:b w:val="false"/>
          <w:color w:val="000000"/>
          <w:sz w:val="24"/>
        </w:rPr>
        <w:t>. The Company may allow Outside Directors to elect to receive all or a portion of the cash retainers in the form of restricted stock unit awards issued under the Plan.</w:t>
      </w:r>
    </w:p>
    <w:p>
      <w:pPr>
        <w:pStyle w:val="TextBody"/>
        <w:bidi w:val="0"/>
        <w:spacing w:lineRule="auto" w:line="288" w:before="0" w:after="240"/>
        <w:ind w:left="0" w:right="0" w:firstLine="720"/>
        <w:jc w:val="both"/>
        <w:rPr/>
      </w:pPr>
      <w:r>
        <w:rPr>
          <w:rFonts w:ascii="Arial;sans-serif" w:hAnsi="Arial;sans-serif"/>
          <w:b w:val="false"/>
          <w:color w:val="000000"/>
          <w:sz w:val="24"/>
        </w:rPr>
        <w:t>3.    </w:t>
      </w:r>
      <w:r>
        <w:rPr>
          <w:rFonts w:ascii="Arial;sans-serif" w:hAnsi="Arial;sans-serif"/>
          <w:b/>
          <w:color w:val="000000"/>
          <w:sz w:val="24"/>
        </w:rPr>
        <w:t>Equity Compensation</w:t>
      </w:r>
      <w:r>
        <w:rPr>
          <w:rFonts w:ascii="Arial;sans-serif" w:hAnsi="Arial;sans-serif"/>
          <w:b w:val="false"/>
          <w:color w:val="000000"/>
          <w:sz w:val="24"/>
        </w:rPr>
        <w:t>. Outside Directors will be eligible to receive all types of Awards (except Incentive Stock Options) under the Plan, including discretionary Awards not covered under this Program. All grants of Awards to Outside Directors pursuant to Section 3.2 of this Program will be automatic and nondiscretionary, except as otherwise provided herein, and will be made in accordance with the following provisions:</w:t>
      </w:r>
    </w:p>
    <w:p>
      <w:pPr>
        <w:pStyle w:val="TextBody"/>
        <w:bidi w:val="0"/>
        <w:spacing w:lineRule="auto" w:line="288" w:before="0" w:after="240"/>
        <w:ind w:left="0" w:right="0" w:firstLine="1440"/>
        <w:jc w:val="both"/>
        <w:rPr/>
      </w:pPr>
      <w:r>
        <w:rPr>
          <w:rFonts w:ascii="Arial;sans-serif" w:hAnsi="Arial;sans-serif"/>
          <w:b w:val="false"/>
          <w:color w:val="000000"/>
          <w:sz w:val="24"/>
        </w:rPr>
        <w:t>3.1    </w:t>
      </w:r>
      <w:r>
        <w:rPr>
          <w:rFonts w:ascii="Arial;sans-serif" w:hAnsi="Arial;sans-serif"/>
          <w:b/>
          <w:color w:val="000000"/>
          <w:sz w:val="24"/>
        </w:rPr>
        <w:t>No Discretion</w:t>
      </w:r>
      <w:r>
        <w:rPr>
          <w:rFonts w:ascii="Arial;sans-serif" w:hAnsi="Arial;sans-serif"/>
          <w:b w:val="false"/>
          <w:color w:val="000000"/>
          <w:sz w:val="24"/>
        </w:rPr>
        <w:t>. No person will have any discretion to select which Outside Directors will be granted Awards under this Program or to determine the number of Shares to be covered by such Awards (except as provided in Sections 3.2 and 8 below).</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4"/>
        </w:rPr>
        <w:t>3.2    </w:t>
      </w:r>
      <w:r>
        <w:rPr>
          <w:rFonts w:ascii="Arial;sans-serif" w:hAnsi="Arial;sans-serif"/>
          <w:b/>
          <w:color w:val="000000"/>
          <w:sz w:val="24"/>
        </w:rPr>
        <w:t>Equity Awards</w:t>
      </w:r>
      <w:r>
        <w:rPr>
          <w:rFonts w:ascii="Arial;sans-serif" w:hAnsi="Arial;sans-serif"/>
          <w:b w:val="false"/>
          <w:color w:val="000000"/>
          <w:sz w:val="24"/>
        </w:rPr>
        <w:t>. Each Outside Director will be granted an award of Restricted Stock Units (the “</w:t>
      </w:r>
      <w:r>
        <w:rPr>
          <w:rFonts w:ascii="Arial;sans-serif" w:hAnsi="Arial;sans-serif"/>
          <w:b/>
          <w:color w:val="000000"/>
          <w:sz w:val="24"/>
        </w:rPr>
        <w:t>Annual Award</w:t>
      </w:r>
      <w:r>
        <w:rPr>
          <w:color w:val="000000"/>
        </w:rPr>
        <w:t>”</w:t>
      </w:r>
      <w:r>
        <w:rPr>
          <w:rFonts w:ascii="Arial;sans-serif" w:hAnsi="Arial;sans-serif"/>
          <w:b w:val="false"/>
          <w:color w:val="000000"/>
          <w:sz w:val="24"/>
        </w:rPr>
        <w:t>) that will have a value of $200,000. Each Annual Award shall be granted on the date of the Annual Meeting of the Company’s stockholders (an “</w:t>
      </w:r>
      <w:r>
        <w:rPr>
          <w:rFonts w:ascii="Arial;sans-serif" w:hAnsi="Arial;sans-serif"/>
          <w:b/>
          <w:color w:val="000000"/>
          <w:sz w:val="24"/>
        </w:rPr>
        <w:t>Annual Meeting</w:t>
      </w:r>
      <w:r>
        <w:rPr>
          <w:color w:val="000000"/>
        </w:rPr>
        <w:t>”</w:t>
      </w:r>
      <w:r>
        <w:rPr>
          <w:rFonts w:ascii="Arial;sans-serif" w:hAnsi="Arial;sans-serif"/>
          <w:b w:val="false"/>
          <w:color w:val="000000"/>
          <w:sz w:val="24"/>
        </w:rPr>
        <w:t>) that occurs after the Effective Date, to Outside Directors serving on the Board as of such date who are continuing in service as Outside Directors following such date. Each Annual Award shall cover a number of shares of Company common stock (rounded to the nearest whole Share) equal to $200,000 divided by the closing price of the Company’s common stock on the grant date. Each Annual Award will be scheduled to vest on the one-year anniversary of the grant date, subject to the Outside Director remaining a Service Provider through the applicable vesting date.</w:t>
      </w:r>
    </w:p>
    <w:p>
      <w:pPr>
        <w:pStyle w:val="TextBody"/>
        <w:bidi w:val="0"/>
        <w:spacing w:lineRule="auto" w:line="288" w:before="0" w:after="240"/>
        <w:jc w:val="both"/>
        <w:rPr/>
      </w:pPr>
      <w:r>
        <w:rPr>
          <w:rFonts w:ascii="Arial;sans-serif" w:hAnsi="Arial;sans-serif"/>
          <w:b w:val="false"/>
          <w:color w:val="000000"/>
          <w:sz w:val="24"/>
        </w:rPr>
        <w:t>On and after June 1, 2024, each individual who first becomes an Outside Director on a date other than the date of an Annual Meeting will be granted an award of Restricted Stock Units (an “</w:t>
      </w:r>
      <w:r>
        <w:rPr>
          <w:rFonts w:ascii="Arial;sans-serif" w:hAnsi="Arial;sans-serif"/>
          <w:b/>
          <w:color w:val="000000"/>
          <w:sz w:val="24"/>
        </w:rPr>
        <w:t>Initial Award</w:t>
      </w:r>
      <w:r>
        <w:rPr>
          <w:color w:val="000000"/>
        </w:rPr>
        <w:t>”</w:t>
      </w:r>
      <w:r>
        <w:rPr>
          <w:rFonts w:ascii="Arial;sans-serif" w:hAnsi="Arial;sans-serif"/>
          <w:b w:val="false"/>
          <w:color w:val="000000"/>
          <w:sz w:val="24"/>
        </w:rPr>
        <w:t>), with a value equal to the product of (a) $200,000, multiplied by (b) a fraction obtained by dividing (i) the number of days during the period beginning on the date the individual first becomes an Outside Director through the one-year anniversary of the date of the Company’s then most recently held Annual Meeting, by (ii) 365 (such value, the “</w:t>
      </w:r>
      <w:r>
        <w:rPr>
          <w:rFonts w:ascii="Arial;sans-serif" w:hAnsi="Arial;sans-serif"/>
          <w:b/>
          <w:color w:val="000000"/>
          <w:sz w:val="24"/>
        </w:rPr>
        <w:t>Initial Award Value</w:t>
      </w:r>
      <w:r>
        <w:rPr>
          <w:color w:val="000000"/>
        </w:rPr>
        <w:t>”</w:t>
      </w:r>
      <w:r>
        <w:rPr>
          <w:rFonts w:ascii="Arial;sans-serif" w:hAnsi="Arial;sans-serif"/>
          <w:b w:val="false"/>
          <w:color w:val="000000"/>
          <w:sz w:val="24"/>
        </w:rPr>
        <w:t>). Each Initial Award shall cover a number of shares of Company common stock (rounded to the nearest whole Share) equal to the applicable Initial Award Value divided by the closing price of the Company’s common stock on the grant date. If an individual was a member of the Board and also an Employee, becoming an Outside Director due to termination of employment will not entitle the Outside Director to an Initial Award.</w:t>
      </w:r>
    </w:p>
    <w:p>
      <w:pPr>
        <w:pStyle w:val="TextBody"/>
        <w:bidi w:val="0"/>
        <w:spacing w:lineRule="auto" w:line="288" w:before="0" w:after="240"/>
        <w:ind w:left="0" w:right="0" w:firstLine="1440"/>
        <w:jc w:val="both"/>
        <w:rPr/>
      </w:pPr>
      <w:r>
        <w:rPr>
          <w:rFonts w:ascii="Arial;sans-serif" w:hAnsi="Arial;sans-serif"/>
          <w:b w:val="false"/>
          <w:color w:val="000000"/>
          <w:sz w:val="24"/>
        </w:rPr>
        <w:t>3.3    </w:t>
      </w:r>
      <w:r>
        <w:rPr>
          <w:rFonts w:ascii="Arial;sans-serif" w:hAnsi="Arial;sans-serif"/>
          <w:b/>
          <w:color w:val="000000"/>
          <w:sz w:val="24"/>
        </w:rPr>
        <w:t>Additional Terms of Equity Awards</w:t>
      </w:r>
      <w:r>
        <w:rPr>
          <w:rFonts w:ascii="Arial;sans-serif" w:hAnsi="Arial;sans-serif"/>
          <w:b w:val="false"/>
          <w:color w:val="000000"/>
          <w:sz w:val="24"/>
        </w:rPr>
        <w:t xml:space="preserve">. The terms and conditions of each Annual Award and Initial Award will be as follows. </w:t>
      </w:r>
    </w:p>
    <w:p>
      <w:pPr>
        <w:pStyle w:val="TextBody"/>
        <w:bidi w:val="0"/>
        <w:spacing w:lineRule="auto" w:line="288" w:before="0" w:after="240"/>
        <w:ind w:left="0" w:right="0" w:firstLine="2880"/>
        <w:jc w:val="both"/>
        <w:rPr>
          <w:rFonts w:ascii="Arial;sans-serif" w:hAnsi="Arial;sans-serif"/>
          <w:b w:val="false"/>
          <w:color w:val="000000"/>
          <w:sz w:val="24"/>
        </w:rPr>
      </w:pPr>
      <w:r>
        <w:rPr>
          <w:rFonts w:ascii="Arial;sans-serif" w:hAnsi="Arial;sans-serif"/>
          <w:b w:val="false"/>
          <w:color w:val="000000"/>
          <w:sz w:val="24"/>
        </w:rPr>
        <w:t xml:space="preserve">3.3.1    Each Annual Award or Initial Award will be granted under and subject to the terms and conditions of the Plan and the applicable form of Award Agreement previously approved by the Board or its Committee (as defined below), as applicable, for use thereunder. The Board or its Committee, as applicable and in its discretion, may change and otherwise revise the terms of Annual Awards and Initial Awards to be granted in the future pursuant to this Program, including without limitation the number of Shares subject thereto and type of Award. </w:t>
      </w:r>
    </w:p>
    <w:p>
      <w:pPr>
        <w:pStyle w:val="TextBody"/>
        <w:bidi w:val="0"/>
        <w:spacing w:lineRule="auto" w:line="288" w:before="0" w:after="240"/>
        <w:ind w:left="0" w:right="0" w:firstLine="720"/>
        <w:jc w:val="both"/>
        <w:rPr/>
      </w:pPr>
      <w:r>
        <w:rPr>
          <w:rFonts w:ascii="Arial;sans-serif" w:hAnsi="Arial;sans-serif"/>
          <w:b w:val="false"/>
          <w:color w:val="000000"/>
          <w:sz w:val="24"/>
        </w:rPr>
        <w:t>4.    </w:t>
      </w:r>
      <w:r>
        <w:rPr>
          <w:rFonts w:ascii="Arial;sans-serif" w:hAnsi="Arial;sans-serif"/>
          <w:b/>
          <w:color w:val="000000"/>
          <w:sz w:val="24"/>
        </w:rPr>
        <w:t>Change in Control</w:t>
      </w:r>
      <w:r>
        <w:rPr>
          <w:rFonts w:ascii="Arial;sans-serif" w:hAnsi="Arial;sans-serif"/>
          <w:b w:val="false"/>
          <w:color w:val="000000"/>
          <w:sz w:val="24"/>
        </w:rPr>
        <w:t>. In the event of a Change in Control, each Outside Director will fully vest in and have the right to exercise his or her outstanding equity awards and, with respect to equity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the Outside Director and the Company or any of its Parents or Subsidiaries, as applicable, that is authorized by the Administrator.</w:t>
      </w:r>
    </w:p>
    <w:p>
      <w:pPr>
        <w:pStyle w:val="TextBody"/>
        <w:bidi w:val="0"/>
        <w:spacing w:lineRule="auto" w:line="288" w:before="0" w:after="240"/>
        <w:ind w:left="0" w:right="0" w:firstLine="720"/>
        <w:jc w:val="both"/>
        <w:rPr/>
      </w:pPr>
      <w:r>
        <w:rPr>
          <w:rFonts w:ascii="Arial;sans-serif" w:hAnsi="Arial;sans-serif"/>
          <w:b w:val="false"/>
          <w:color w:val="000000"/>
          <w:sz w:val="24"/>
        </w:rPr>
        <w:t>5.    </w:t>
      </w:r>
      <w:r>
        <w:rPr>
          <w:rFonts w:ascii="Arial;sans-serif" w:hAnsi="Arial;sans-serif"/>
          <w:b/>
          <w:color w:val="000000"/>
          <w:sz w:val="24"/>
        </w:rPr>
        <w:t>Annual Compensation Limit</w:t>
      </w:r>
      <w:r>
        <w:rPr>
          <w:rFonts w:ascii="Arial;sans-serif" w:hAnsi="Arial;sans-serif"/>
          <w:b w:val="false"/>
          <w:color w:val="000000"/>
          <w:sz w:val="24"/>
        </w:rPr>
        <w:t xml:space="preserve">. Notwithstanding anything to the contrary in this Program, all compensation payable under this Program will be subject to any limits on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4"/>
        </w:rPr>
      </w:pPr>
      <w:r>
        <w:rPr>
          <w:rFonts w:ascii="Arial;sans-serif" w:hAnsi="Arial;sans-serif"/>
          <w:b w:val="false"/>
          <w:color w:val="000000"/>
          <w:sz w:val="24"/>
        </w:rPr>
        <w:t>the maximum amount of non-employee director compensation as set forth in the Plan, as in effect from time to time.</w:t>
      </w:r>
    </w:p>
    <w:p>
      <w:pPr>
        <w:pStyle w:val="TextBody"/>
        <w:bidi w:val="0"/>
        <w:spacing w:lineRule="auto" w:line="288" w:before="0" w:after="240"/>
        <w:ind w:left="0" w:right="0" w:firstLine="720"/>
        <w:jc w:val="both"/>
        <w:rPr/>
      </w:pPr>
      <w:r>
        <w:rPr>
          <w:rFonts w:ascii="Arial;sans-serif" w:hAnsi="Arial;sans-serif"/>
          <w:b w:val="false"/>
          <w:color w:val="000000"/>
          <w:sz w:val="24"/>
        </w:rPr>
        <w:t>6.    </w:t>
      </w:r>
      <w:r>
        <w:rPr>
          <w:rFonts w:ascii="Arial;sans-serif" w:hAnsi="Arial;sans-serif"/>
          <w:b/>
          <w:color w:val="000000"/>
          <w:sz w:val="24"/>
        </w:rPr>
        <w:t>Travel Expenses</w:t>
      </w:r>
      <w:r>
        <w:rPr>
          <w:rFonts w:ascii="Arial;sans-serif" w:hAnsi="Arial;sans-serif"/>
          <w:b w:val="false"/>
          <w:color w:val="000000"/>
          <w:sz w:val="24"/>
        </w:rPr>
        <w:t>. Each Outside Director’s reasonable, customary and properly documented travel expenses to meetings of the Board and any of its committees, as applicable, will be reimbursed by the Company.</w:t>
      </w:r>
    </w:p>
    <w:p>
      <w:pPr>
        <w:pStyle w:val="TextBody"/>
        <w:bidi w:val="0"/>
        <w:spacing w:lineRule="auto" w:line="288" w:before="0" w:after="240"/>
        <w:ind w:left="0" w:right="0" w:firstLine="720"/>
        <w:jc w:val="both"/>
        <w:rPr/>
      </w:pPr>
      <w:r>
        <w:rPr>
          <w:rFonts w:ascii="Arial;sans-serif" w:hAnsi="Arial;sans-serif"/>
          <w:b w:val="false"/>
          <w:color w:val="000000"/>
          <w:sz w:val="24"/>
        </w:rPr>
        <w:t>7.    </w:t>
      </w:r>
      <w:r>
        <w:rPr>
          <w:rFonts w:ascii="Arial;sans-serif" w:hAnsi="Arial;sans-serif"/>
          <w:b/>
          <w:color w:val="000000"/>
          <w:sz w:val="24"/>
        </w:rPr>
        <w:t>Section 409A</w:t>
      </w:r>
      <w:r>
        <w:rPr>
          <w:rFonts w:ascii="Arial;sans-serif" w:hAnsi="Arial;sans-serif"/>
          <w:b w:val="false"/>
          <w:color w:val="000000"/>
          <w:sz w:val="24"/>
        </w:rPr>
        <w:t>. In no event will cash compensation or expense reimbursement payments under this Program be paid after the later of (a) the 15th day of the 3rd month following the end of the Company’s taxable year in which the compensation is earned or expenses are incurred, as applicable, or (b) the 15th day of the 3rd month following the end of the calendar year in which the compensation is earned or expenses are incurred, as applicable, in compliance with the “short-term deferral” exception under Section 409A. It is the intent of this Program that this Program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bidi w:val="0"/>
        <w:spacing w:lineRule="auto" w:line="288"/>
        <w:ind w:left="0" w:right="0" w:firstLine="720"/>
        <w:jc w:val="both"/>
        <w:rPr/>
      </w:pPr>
      <w:r>
        <w:rPr>
          <w:rFonts w:ascii="Arial;sans-serif" w:hAnsi="Arial;sans-serif"/>
          <w:b w:val="false"/>
          <w:color w:val="000000"/>
          <w:sz w:val="24"/>
        </w:rPr>
        <w:t>8.    </w:t>
      </w:r>
      <w:r>
        <w:rPr>
          <w:rFonts w:ascii="Arial;sans-serif" w:hAnsi="Arial;sans-serif"/>
          <w:b/>
          <w:color w:val="000000"/>
          <w:sz w:val="24"/>
        </w:rPr>
        <w:t>Revisions</w:t>
      </w:r>
      <w:r>
        <w:rPr>
          <w:rFonts w:ascii="Arial;sans-serif" w:hAnsi="Arial;sans-serif"/>
          <w:b w:val="false"/>
          <w:color w:val="000000"/>
          <w:sz w:val="24"/>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Arial;sans-serif" w:hAnsi="Arial;sans-serif"/>
          <w:b/>
          <w:color w:val="000000"/>
          <w:sz w:val="24"/>
        </w:rPr>
        <w:t>Committee</w:t>
      </w:r>
      <w:r>
        <w:rPr>
          <w:color w:val="000000"/>
        </w:rPr>
        <w:t>”</w:t>
      </w:r>
      <w:r>
        <w:rPr>
          <w:rFonts w:ascii="Arial;sans-serif" w:hAnsi="Arial;sans-serif"/>
          <w:b w:val="false"/>
          <w:color w:val="000000"/>
          <w:sz w:val="24"/>
        </w:rPr>
        <w:t>) may amend, alter, suspend or terminate this Program at any time and for any reason. Further, the Board may provide for cash, equity, or other compensation to Outside Directors in addition to the compensation provided under this Program. No amendment, alteration, suspension or termination of this Program will materially impair the rights of an Outside Director with respect to compensation that already has been paid or awarded, unless otherwise mutually agreed between the Outside Director and the Company. Termination of this Program will not affect the Board’s or the Committee’s ability to exercise the powers granted to it with respect to Awards granted under the Plan pursuant to this Program before the date of such termination, including without limitation such applicable powers set forth in the Plan.</w:t>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302/000119312523089016/d482123dex22.htm" TargetMode="External"/><Relationship Id="rId3" Type="http://schemas.openxmlformats.org/officeDocument/2006/relationships/hyperlink" Target="https://www.sec.gov/Archives/edgar/data/1820302/000119312524176416/d133420dex41.htm" TargetMode="External"/><Relationship Id="rId4" Type="http://schemas.openxmlformats.org/officeDocument/2006/relationships/hyperlink" Target="https://www.sec.gov/Archives/edgar/data/0001820302/000119312521303985/d219325dex32.htm" TargetMode="External"/><Relationship Id="rId5" Type="http://schemas.openxmlformats.org/officeDocument/2006/relationships/hyperlink" Target="https://www.sec.gov/Archives/edgar/data/1820302/000119312524176416/d133420dex46.htm" TargetMode="External"/><Relationship Id="rId6" Type="http://schemas.openxmlformats.org/officeDocument/2006/relationships/hyperlink" Target="https://www.sec.gov/Archives/edgar/data/1820302/000182030224000119/exhibit102revolvingcredita.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36849</Words>
  <Characters>201645</Characters>
  <CharactersWithSpaces>236623</CharactersWithSpaces>
  <Paragraphs>3643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