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Baes Nicholas</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12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04/09/2025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800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74,599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("RSUs") on April 1, 2025, the issuer withheld Class A Common Stock that would otherwise have been issued to the reporting person to satisfy such person's tax withholding obligations. The number of shares withheld was determined based on the closing price per share of Class A Common Stock on April 1,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71,578 shares of Class A Common Stock subject to RSUs that remain subject to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4"/>
          <w:szCs w:val="34"/>
          <w:color w:val="0000FF"/>
          <w:vertAlign w:val="subscript"/>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Nicholas Baes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5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52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368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2025-04-10T16:41:38Z</dcterms:created>
  <dcterms:modified xsi:type="dcterms:W3CDTF">2025-04-10T16:41:38Z</dcterms:modified>
</cp:coreProperties>
</file>