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13G</w:t>
      </w:r>
    </w:p>
    <w:p>
      <w:pPr>
        <w:spacing w:after="0" w:line="23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Under the Securities Exchange Act of 1934*</w:t>
      </w:r>
    </w:p>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VPC IMPACT ACQUISITION HOLDINGS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Class A ordinary shares, par value $0.0001</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G9441E100</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(CUSIP Number)</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October 4, 2021</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11" w:lineRule="exact"/>
        <w:rPr>
          <w:sz w:val="24"/>
          <w:szCs w:val="24"/>
          <w:color w:val="auto"/>
        </w:rPr>
      </w:pPr>
    </w:p>
    <w:p>
      <w:pPr>
        <w:ind w:left="660"/>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1520" w:hanging="216"/>
        <w:spacing w:after="0"/>
        <w:tabs>
          <w:tab w:leader="none" w:pos="15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sz w:val="24"/>
          <w:szCs w:val="24"/>
          <w:color w:val="auto"/>
        </w:rPr>
      </w:pPr>
    </w:p>
    <w:p>
      <w:pPr>
        <w:ind w:left="1520" w:hanging="216"/>
        <w:spacing w:after="0"/>
        <w:tabs>
          <w:tab w:leader="none" w:pos="15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sz w:val="24"/>
          <w:szCs w:val="24"/>
          <w:color w:val="auto"/>
        </w:rPr>
      </w:pPr>
    </w:p>
    <w:p>
      <w:pPr>
        <w:ind w:left="1520" w:hanging="216"/>
        <w:spacing w:after="0"/>
        <w:tabs>
          <w:tab w:leader="none" w:pos="15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46"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431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476885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CUSIP No.</w:t>
            </w:r>
          </w:p>
        </w:tc>
        <w:tc>
          <w:tcPr>
            <w:tcW w:w="1120" w:type="dxa"/>
            <w:vAlign w:val="bottom"/>
          </w:tcPr>
          <w:p>
            <w:pPr>
              <w:ind w:left="240"/>
              <w:spacing w:after="0"/>
              <w:rPr>
                <w:sz w:val="20"/>
                <w:szCs w:val="20"/>
                <w:color w:val="auto"/>
              </w:rPr>
            </w:pPr>
            <w:r>
              <w:rPr>
                <w:rFonts w:ascii="Arial" w:cs="Arial" w:eastAsia="Arial" w:hAnsi="Arial"/>
                <w:sz w:val="18"/>
                <w:szCs w:val="18"/>
                <w:color w:val="auto"/>
                <w:w w:val="89"/>
              </w:rPr>
              <w:t>G9441E100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9" w:lineRule="exact"/>
        <w:rPr>
          <w:sz w:val="20"/>
          <w:szCs w:val="20"/>
          <w:color w:val="auto"/>
        </w:rPr>
      </w:pPr>
    </w:p>
    <w:p>
      <w:pPr>
        <w:ind w:left="660" w:hanging="65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color w:val="auto"/>
        </w:rPr>
      </w:pPr>
    </w:p>
    <w:p>
      <w:pPr>
        <w:ind w:left="660" w:right="5000"/>
        <w:spacing w:after="0" w:line="383"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Tenor Capital Management Company, L.P.</w:t>
      </w:r>
    </w:p>
    <w:p>
      <w:pPr>
        <w:ind w:left="660" w:hanging="65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 [ ]</w:t>
      </w:r>
    </w:p>
    <w:p>
      <w:pPr>
        <w:spacing w:after="0" w:line="9" w:lineRule="exact"/>
        <w:rPr>
          <w:sz w:val="20"/>
          <w:szCs w:val="20"/>
          <w:color w:val="auto"/>
        </w:rPr>
      </w:pPr>
    </w:p>
    <w:p>
      <w:pPr>
        <w:ind w:left="10740"/>
        <w:spacing w:after="0"/>
        <w:rPr>
          <w:sz w:val="20"/>
          <w:szCs w:val="20"/>
          <w:color w:val="auto"/>
        </w:rPr>
      </w:pPr>
      <w:r>
        <w:rPr>
          <w:rFonts w:ascii="Arial" w:cs="Arial" w:eastAsia="Arial" w:hAnsi="Arial"/>
          <w:sz w:val="18"/>
          <w:szCs w:val="18"/>
          <w:color w:val="auto"/>
        </w:rPr>
        <w:t>(b) [X]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 w:lineRule="exact"/>
        <w:rPr>
          <w:sz w:val="20"/>
          <w:szCs w:val="20"/>
          <w:color w:val="auto"/>
        </w:rPr>
      </w:pPr>
    </w:p>
    <w:p>
      <w:pPr>
        <w:ind w:left="660" w:hanging="65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52" w:lineRule="exact"/>
        <w:rPr>
          <w:rFonts w:ascii="Arial" w:cs="Arial" w:eastAsia="Arial" w:hAnsi="Arial"/>
          <w:sz w:val="18"/>
          <w:szCs w:val="18"/>
          <w:color w:val="auto"/>
        </w:rPr>
      </w:pPr>
    </w:p>
    <w:p>
      <w:pPr>
        <w:ind w:left="660" w:right="6920" w:hanging="652"/>
        <w:spacing w:after="0" w:line="516"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CITIZENSHIP OR PLACE OF ORGANIZATION Delaware, USA</w:t>
      </w:r>
    </w:p>
    <w:p>
      <w:pPr>
        <w:ind w:left="2280" w:hanging="328"/>
        <w:spacing w:after="0"/>
        <w:tabs>
          <w:tab w:leader="none" w:pos="2280" w:val="left"/>
        </w:tabs>
        <w:numPr>
          <w:ilvl w:val="1"/>
          <w:numId w:val="5"/>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-139065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5"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1620" w:type="dxa"/>
            <w:vAlign w:val="bottom"/>
            <w:vMerge w:val="restart"/>
          </w:tcPr>
          <w:p>
            <w:pPr>
              <w:jc w:val="center"/>
              <w:ind w:right="250"/>
              <w:spacing w:after="0"/>
              <w:rPr>
                <w:sz w:val="20"/>
                <w:szCs w:val="20"/>
                <w:color w:val="auto"/>
              </w:rPr>
            </w:pPr>
            <w:r>
              <w:rPr>
                <w:rFonts w:ascii="Arial" w:cs="Arial" w:eastAsia="Arial" w:hAnsi="Arial"/>
                <w:sz w:val="18"/>
                <w:szCs w:val="18"/>
                <w:color w:val="auto"/>
                <w:w w:val="96"/>
              </w:rPr>
              <w:t>NUMBER OF</w:t>
            </w:r>
          </w:p>
        </w:tc>
        <w:tc>
          <w:tcPr>
            <w:tcW w:w="220" w:type="dxa"/>
            <w:vAlign w:val="bottom"/>
          </w:tcPr>
          <w:p>
            <w:pPr>
              <w:spacing w:after="0"/>
              <w:rPr>
                <w:sz w:val="20"/>
                <w:szCs w:val="20"/>
                <w:color w:val="auto"/>
              </w:rPr>
            </w:pPr>
          </w:p>
        </w:tc>
        <w:tc>
          <w:tcPr>
            <w:tcW w:w="9060" w:type="dxa"/>
            <w:vAlign w:val="bottom"/>
          </w:tcPr>
          <w:p>
            <w:pPr>
              <w:ind w:lef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34"/>
        </w:trPr>
        <w:tc>
          <w:tcPr>
            <w:tcW w:w="1620" w:type="dxa"/>
            <w:vAlign w:val="bottom"/>
            <w:vMerge w:val="continue"/>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94"/>
        </w:trPr>
        <w:tc>
          <w:tcPr>
            <w:tcW w:w="1620" w:type="dxa"/>
            <w:vAlign w:val="bottom"/>
            <w:vMerge w:val="continue"/>
          </w:tcPr>
          <w:p>
            <w:pPr>
              <w:spacing w:after="0"/>
              <w:rPr>
                <w:sz w:val="8"/>
                <w:szCs w:val="8"/>
                <w:color w:val="auto"/>
              </w:rPr>
            </w:pPr>
          </w:p>
        </w:tc>
        <w:tc>
          <w:tcPr>
            <w:tcW w:w="220" w:type="dxa"/>
            <w:vAlign w:val="bottom"/>
            <w:vMerge w:val="restart"/>
          </w:tcPr>
          <w:p>
            <w:pPr>
              <w:jc w:val="right"/>
              <w:ind w:right="16"/>
              <w:spacing w:after="0"/>
              <w:rPr>
                <w:sz w:val="20"/>
                <w:szCs w:val="20"/>
                <w:color w:val="auto"/>
              </w:rPr>
            </w:pPr>
            <w:r>
              <w:rPr>
                <w:rFonts w:ascii="Arial" w:cs="Arial" w:eastAsia="Arial" w:hAnsi="Arial"/>
                <w:sz w:val="17"/>
                <w:szCs w:val="17"/>
                <w:color w:val="auto"/>
                <w:w w:val="70"/>
              </w:rPr>
              <w:t>6.</w:t>
            </w:r>
          </w:p>
        </w:tc>
        <w:tc>
          <w:tcPr>
            <w:tcW w:w="9060" w:type="dxa"/>
            <w:vAlign w:val="bottom"/>
            <w:vMerge w:val="restart"/>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37"/>
        </w:trPr>
        <w:tc>
          <w:tcPr>
            <w:tcW w:w="1620" w:type="dxa"/>
            <w:vAlign w:val="bottom"/>
            <w:vMerge w:val="restart"/>
          </w:tcPr>
          <w:p>
            <w:pPr>
              <w:jc w:val="center"/>
              <w:ind w:right="250"/>
              <w:spacing w:after="0"/>
              <w:rPr>
                <w:sz w:val="20"/>
                <w:szCs w:val="20"/>
                <w:color w:val="auto"/>
              </w:rPr>
            </w:pPr>
            <w:r>
              <w:rPr>
                <w:rFonts w:ascii="Arial" w:cs="Arial" w:eastAsia="Arial" w:hAnsi="Arial"/>
                <w:sz w:val="18"/>
                <w:szCs w:val="18"/>
                <w:color w:val="auto"/>
                <w:w w:val="91"/>
              </w:rPr>
              <w:t>SHARES</w:t>
            </w:r>
          </w:p>
        </w:tc>
        <w:tc>
          <w:tcPr>
            <w:tcW w:w="220" w:type="dxa"/>
            <w:vAlign w:val="bottom"/>
            <w:vMerge w:val="continue"/>
          </w:tcPr>
          <w:p>
            <w:pPr>
              <w:spacing w:after="0"/>
              <w:rPr>
                <w:sz w:val="11"/>
                <w:szCs w:val="11"/>
                <w:color w:val="auto"/>
              </w:rPr>
            </w:pPr>
          </w:p>
        </w:tc>
        <w:tc>
          <w:tcPr>
            <w:tcW w:w="90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162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90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620" w:type="dxa"/>
            <w:vAlign w:val="bottom"/>
          </w:tcPr>
          <w:p>
            <w:pPr>
              <w:jc w:val="center"/>
              <w:ind w:right="250"/>
              <w:spacing w:after="0"/>
              <w:rPr>
                <w:sz w:val="20"/>
                <w:szCs w:val="20"/>
                <w:color w:val="auto"/>
              </w:rPr>
            </w:pPr>
            <w:r>
              <w:rPr>
                <w:rFonts w:ascii="Arial" w:cs="Arial" w:eastAsia="Arial" w:hAnsi="Arial"/>
                <w:sz w:val="18"/>
                <w:szCs w:val="18"/>
                <w:color w:val="auto"/>
              </w:rPr>
              <w:t>BENEFICIALLY</w:t>
            </w:r>
          </w:p>
        </w:tc>
        <w:tc>
          <w:tcPr>
            <w:tcW w:w="220" w:type="dxa"/>
            <w:vAlign w:val="bottom"/>
          </w:tcPr>
          <w:p>
            <w:pPr>
              <w:spacing w:after="0"/>
              <w:rPr>
                <w:sz w:val="18"/>
                <w:szCs w:val="18"/>
                <w:color w:val="auto"/>
              </w:rPr>
            </w:pPr>
          </w:p>
        </w:tc>
        <w:tc>
          <w:tcPr>
            <w:tcW w:w="9060" w:type="dxa"/>
            <w:vAlign w:val="bottom"/>
            <w:vMerge w:val="restart"/>
          </w:tcPr>
          <w:p>
            <w:pPr>
              <w:ind w:left="100"/>
              <w:spacing w:after="0"/>
              <w:rPr>
                <w:sz w:val="20"/>
                <w:szCs w:val="20"/>
                <w:color w:val="auto"/>
              </w:rPr>
            </w:pPr>
            <w:r>
              <w:rPr>
                <w:rFonts w:ascii="Arial" w:cs="Arial" w:eastAsia="Arial" w:hAnsi="Arial"/>
                <w:sz w:val="18"/>
                <w:szCs w:val="18"/>
                <w:color w:val="auto"/>
              </w:rPr>
              <w:t>1,376,658*</w:t>
            </w:r>
          </w:p>
        </w:tc>
        <w:tc>
          <w:tcPr>
            <w:tcW w:w="0" w:type="dxa"/>
            <w:vAlign w:val="bottom"/>
          </w:tcPr>
          <w:p>
            <w:pPr>
              <w:spacing w:after="0"/>
              <w:rPr>
                <w:sz w:val="1"/>
                <w:szCs w:val="1"/>
                <w:color w:val="auto"/>
              </w:rPr>
            </w:pPr>
          </w:p>
        </w:tc>
      </w:tr>
      <w:tr>
        <w:trPr>
          <w:trHeight w:val="129"/>
        </w:trPr>
        <w:tc>
          <w:tcPr>
            <w:tcW w:w="1620" w:type="dxa"/>
            <w:vAlign w:val="bottom"/>
            <w:vMerge w:val="restart"/>
          </w:tcPr>
          <w:p>
            <w:pPr>
              <w:jc w:val="center"/>
              <w:ind w:right="250"/>
              <w:spacing w:after="0"/>
              <w:rPr>
                <w:sz w:val="20"/>
                <w:szCs w:val="20"/>
                <w:color w:val="auto"/>
              </w:rPr>
            </w:pPr>
            <w:r>
              <w:rPr>
                <w:rFonts w:ascii="Arial" w:cs="Arial" w:eastAsia="Arial" w:hAnsi="Arial"/>
                <w:sz w:val="18"/>
                <w:szCs w:val="18"/>
                <w:color w:val="auto"/>
                <w:w w:val="97"/>
              </w:rPr>
              <w:t>OWNED BY</w:t>
            </w:r>
          </w:p>
        </w:tc>
        <w:tc>
          <w:tcPr>
            <w:tcW w:w="220" w:type="dxa"/>
            <w:vAlign w:val="bottom"/>
            <w:tcBorders>
              <w:bottom w:val="single" w:sz="8" w:color="auto"/>
            </w:tcBorders>
          </w:tcPr>
          <w:p>
            <w:pPr>
              <w:spacing w:after="0"/>
              <w:rPr>
                <w:sz w:val="11"/>
                <w:szCs w:val="11"/>
                <w:color w:val="auto"/>
              </w:rPr>
            </w:pPr>
          </w:p>
        </w:tc>
        <w:tc>
          <w:tcPr>
            <w:tcW w:w="906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7"/>
        </w:trPr>
        <w:tc>
          <w:tcPr>
            <w:tcW w:w="1620" w:type="dxa"/>
            <w:vAlign w:val="bottom"/>
            <w:vMerge w:val="continue"/>
          </w:tcPr>
          <w:p>
            <w:pPr>
              <w:spacing w:after="0"/>
              <w:rPr>
                <w:sz w:val="5"/>
                <w:szCs w:val="5"/>
                <w:color w:val="auto"/>
              </w:rPr>
            </w:pPr>
          </w:p>
        </w:tc>
        <w:tc>
          <w:tcPr>
            <w:tcW w:w="220" w:type="dxa"/>
            <w:vAlign w:val="bottom"/>
            <w:vMerge w:val="restart"/>
          </w:tcPr>
          <w:p>
            <w:pPr>
              <w:jc w:val="right"/>
              <w:ind w:right="16"/>
              <w:spacing w:after="0"/>
              <w:rPr>
                <w:sz w:val="20"/>
                <w:szCs w:val="20"/>
                <w:color w:val="auto"/>
              </w:rPr>
            </w:pPr>
            <w:r>
              <w:rPr>
                <w:rFonts w:ascii="Arial" w:cs="Arial" w:eastAsia="Arial" w:hAnsi="Arial"/>
                <w:sz w:val="17"/>
                <w:szCs w:val="17"/>
                <w:color w:val="auto"/>
                <w:w w:val="70"/>
              </w:rPr>
              <w:t>7.</w:t>
            </w:r>
          </w:p>
        </w:tc>
        <w:tc>
          <w:tcPr>
            <w:tcW w:w="9060" w:type="dxa"/>
            <w:vAlign w:val="bottom"/>
            <w:vMerge w:val="restart"/>
          </w:tcPr>
          <w:p>
            <w:pPr>
              <w:ind w:left="1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64"/>
        </w:trPr>
        <w:tc>
          <w:tcPr>
            <w:tcW w:w="1620" w:type="dxa"/>
            <w:vAlign w:val="bottom"/>
            <w:vMerge w:val="restart"/>
          </w:tcPr>
          <w:p>
            <w:pPr>
              <w:jc w:val="center"/>
              <w:ind w:right="250"/>
              <w:spacing w:after="0"/>
              <w:rPr>
                <w:sz w:val="20"/>
                <w:szCs w:val="20"/>
                <w:color w:val="auto"/>
              </w:rPr>
            </w:pPr>
            <w:r>
              <w:rPr>
                <w:rFonts w:ascii="Arial" w:cs="Arial" w:eastAsia="Arial" w:hAnsi="Arial"/>
                <w:sz w:val="18"/>
                <w:szCs w:val="18"/>
                <w:color w:val="auto"/>
                <w:w w:val="95"/>
              </w:rPr>
              <w:t>EACH</w:t>
            </w:r>
          </w:p>
        </w:tc>
        <w:tc>
          <w:tcPr>
            <w:tcW w:w="220" w:type="dxa"/>
            <w:vAlign w:val="bottom"/>
            <w:vMerge w:val="continue"/>
          </w:tcPr>
          <w:p>
            <w:pPr>
              <w:spacing w:after="0"/>
              <w:rPr>
                <w:sz w:val="14"/>
                <w:szCs w:val="14"/>
                <w:color w:val="auto"/>
              </w:rPr>
            </w:pPr>
          </w:p>
        </w:tc>
        <w:tc>
          <w:tcPr>
            <w:tcW w:w="9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67"/>
        </w:trPr>
        <w:tc>
          <w:tcPr>
            <w:tcW w:w="16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90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380" w:type="dxa"/>
        <w:tblCellMar>
          <w:top w:w="0" w:type="dxa"/>
          <w:left w:w="0" w:type="dxa"/>
          <w:bottom w:w="0" w:type="dxa"/>
          <w:right w:w="0" w:type="dxa"/>
        </w:tblCellMar>
      </w:tblPr>
      <w:tr>
        <w:trPr>
          <w:trHeight w:val="202"/>
        </w:trPr>
        <w:tc>
          <w:tcPr>
            <w:tcW w:w="1580" w:type="dxa"/>
            <w:vAlign w:val="bottom"/>
          </w:tcPr>
          <w:p>
            <w:pPr>
              <w:jc w:val="center"/>
              <w:ind w:right="290"/>
              <w:spacing w:after="0" w:line="201" w:lineRule="exact"/>
              <w:rPr>
                <w:sz w:val="20"/>
                <w:szCs w:val="20"/>
                <w:color w:val="auto"/>
              </w:rPr>
            </w:pPr>
            <w:r>
              <w:rPr>
                <w:rFonts w:ascii="Arial" w:cs="Arial" w:eastAsia="Arial" w:hAnsi="Arial"/>
                <w:sz w:val="18"/>
                <w:szCs w:val="18"/>
                <w:color w:val="auto"/>
                <w:w w:val="93"/>
              </w:rPr>
              <w:t>REPORTING</w:t>
            </w:r>
          </w:p>
        </w:tc>
        <w:tc>
          <w:tcPr>
            <w:tcW w:w="9280" w:type="dxa"/>
            <w:vAlign w:val="bottom"/>
            <w:vMerge w:val="restart"/>
          </w:tcPr>
          <w:p>
            <w:pPr>
              <w:jc w:val="right"/>
              <w:ind w:right="879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61"/>
        </w:trPr>
        <w:tc>
          <w:tcPr>
            <w:tcW w:w="1580" w:type="dxa"/>
            <w:vAlign w:val="bottom"/>
          </w:tcPr>
          <w:p>
            <w:pPr>
              <w:jc w:val="center"/>
              <w:ind w:right="290"/>
              <w:spacing w:after="0" w:line="157" w:lineRule="exact"/>
              <w:rPr>
                <w:sz w:val="20"/>
                <w:szCs w:val="20"/>
                <w:color w:val="auto"/>
              </w:rPr>
            </w:pPr>
            <w:r>
              <w:rPr>
                <w:rFonts w:ascii="Arial" w:cs="Arial" w:eastAsia="Arial" w:hAnsi="Arial"/>
                <w:sz w:val="18"/>
                <w:szCs w:val="18"/>
                <w:color w:val="auto"/>
                <w:w w:val="94"/>
              </w:rPr>
              <w:t>PERSON WITH</w:t>
            </w:r>
          </w:p>
        </w:tc>
        <w:tc>
          <w:tcPr>
            <w:tcW w:w="928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bl>
    <w:p>
      <w:pPr>
        <w:ind w:left="2280" w:right="6440" w:hanging="328"/>
        <w:spacing w:after="0" w:line="508" w:lineRule="auto"/>
        <w:tabs>
          <w:tab w:leader="none" w:pos="2280" w:val="left"/>
        </w:tabs>
        <w:numPr>
          <w:ilvl w:val="1"/>
          <w:numId w:val="6"/>
        </w:numPr>
        <w:rPr>
          <w:rFonts w:ascii="Arial" w:cs="Arial" w:eastAsia="Arial" w:hAnsi="Arial"/>
          <w:sz w:val="18"/>
          <w:szCs w:val="18"/>
          <w:color w:val="auto"/>
        </w:rPr>
      </w:pPr>
      <w:r>
        <w:rPr>
          <w:rFonts w:ascii="Arial" w:cs="Arial" w:eastAsia="Arial" w:hAnsi="Arial"/>
          <w:sz w:val="18"/>
          <w:szCs w:val="18"/>
          <w:color w:val="auto"/>
        </w:rPr>
        <w:t>SHARED DISPOSITIVE POWER 1,376,658*</w:t>
      </w:r>
    </w:p>
    <w:p>
      <w:pPr>
        <w:ind w:left="660" w:right="4040" w:hanging="652"/>
        <w:spacing w:after="0" w:line="391"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1,376,658*</w:t>
      </w:r>
    </w:p>
    <w:p>
      <w:pPr>
        <w:ind w:left="660" w:hanging="652"/>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-567690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-139065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ind w:left="660" w:right="5520" w:hanging="652"/>
        <w:spacing w:after="0" w:line="391"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PERCENT OF CLASS REPRESENTED BY AMOUNT IN ROW (9) 6.64%*</w:t>
      </w:r>
    </w:p>
    <w:p>
      <w:pPr>
        <w:ind w:left="660" w:right="6260" w:hanging="652"/>
        <w:spacing w:after="0" w:line="52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TYPE OF REPORTING PERSON (SEE INSTRUCTIONS)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-584835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-156210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CUSIP No.</w:t>
            </w:r>
          </w:p>
        </w:tc>
        <w:tc>
          <w:tcPr>
            <w:tcW w:w="1120" w:type="dxa"/>
            <w:vAlign w:val="bottom"/>
          </w:tcPr>
          <w:p>
            <w:pPr>
              <w:ind w:left="240"/>
              <w:spacing w:after="0"/>
              <w:rPr>
                <w:sz w:val="20"/>
                <w:szCs w:val="20"/>
                <w:color w:val="auto"/>
              </w:rPr>
            </w:pPr>
            <w:r>
              <w:rPr>
                <w:rFonts w:ascii="Arial" w:cs="Arial" w:eastAsia="Arial" w:hAnsi="Arial"/>
                <w:sz w:val="18"/>
                <w:szCs w:val="18"/>
                <w:color w:val="auto"/>
                <w:w w:val="89"/>
              </w:rPr>
              <w:t>G9441E100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9"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color w:val="auto"/>
        </w:rPr>
      </w:pPr>
    </w:p>
    <w:p>
      <w:pPr>
        <w:ind w:left="660" w:right="5000"/>
        <w:spacing w:after="0" w:line="383"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Tenor Opportunity Master Fund, Ltd.</w:t>
      </w:r>
    </w:p>
    <w:p>
      <w:pPr>
        <w:ind w:left="660" w:hanging="65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 [ ]</w:t>
      </w:r>
    </w:p>
    <w:p>
      <w:pPr>
        <w:spacing w:after="0" w:line="9" w:lineRule="exact"/>
        <w:rPr>
          <w:sz w:val="20"/>
          <w:szCs w:val="20"/>
          <w:color w:val="auto"/>
        </w:rPr>
      </w:pPr>
    </w:p>
    <w:p>
      <w:pPr>
        <w:ind w:left="10740"/>
        <w:spacing w:after="0"/>
        <w:rPr>
          <w:sz w:val="20"/>
          <w:szCs w:val="20"/>
          <w:color w:val="auto"/>
        </w:rPr>
      </w:pPr>
      <w:r>
        <w:rPr>
          <w:rFonts w:ascii="Arial" w:cs="Arial" w:eastAsia="Arial" w:hAnsi="Arial"/>
          <w:sz w:val="18"/>
          <w:szCs w:val="18"/>
          <w:color w:val="auto"/>
        </w:rPr>
        <w:t>(b) [X]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 w:lineRule="exact"/>
        <w:rPr>
          <w:sz w:val="20"/>
          <w:szCs w:val="20"/>
          <w:color w:val="auto"/>
        </w:rPr>
      </w:pPr>
    </w:p>
    <w:p>
      <w:pPr>
        <w:ind w:left="660" w:hanging="65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52" w:lineRule="exact"/>
        <w:rPr>
          <w:rFonts w:ascii="Arial" w:cs="Arial" w:eastAsia="Arial" w:hAnsi="Arial"/>
          <w:sz w:val="18"/>
          <w:szCs w:val="18"/>
          <w:color w:val="auto"/>
        </w:rPr>
      </w:pPr>
    </w:p>
    <w:p>
      <w:pPr>
        <w:ind w:left="660" w:right="6920" w:hanging="652"/>
        <w:spacing w:after="0" w:line="516"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CITIZENSHIP OR PLACE OF ORGANIZATION Cayman Islands</w:t>
      </w:r>
    </w:p>
    <w:p>
      <w:pPr>
        <w:ind w:left="2280" w:hanging="328"/>
        <w:spacing w:after="0"/>
        <w:tabs>
          <w:tab w:leader="none" w:pos="22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-139065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5" w:lineRule="exact"/>
        <w:rPr>
          <w:sz w:val="20"/>
          <w:szCs w:val="20"/>
          <w:color w:val="auto"/>
        </w:rPr>
      </w:pPr>
    </w:p>
    <w:tbl>
      <w:tblPr>
        <w:tblLayout w:type="fixed"/>
        <w:tblInd w:w="340" w:type="dxa"/>
        <w:tblCellMar>
          <w:top w:w="0" w:type="dxa"/>
          <w:left w:w="0" w:type="dxa"/>
          <w:bottom w:w="0" w:type="dxa"/>
          <w:right w:w="0" w:type="dxa"/>
        </w:tblCellMar>
      </w:tblPr>
      <w:tr>
        <w:trPr>
          <w:trHeight w:val="237"/>
        </w:trPr>
        <w:tc>
          <w:tcPr>
            <w:tcW w:w="1620" w:type="dxa"/>
            <w:vAlign w:val="bottom"/>
            <w:vMerge w:val="restart"/>
          </w:tcPr>
          <w:p>
            <w:pPr>
              <w:jc w:val="center"/>
              <w:ind w:right="250"/>
              <w:spacing w:after="0"/>
              <w:rPr>
                <w:sz w:val="20"/>
                <w:szCs w:val="20"/>
                <w:color w:val="auto"/>
              </w:rPr>
            </w:pPr>
            <w:r>
              <w:rPr>
                <w:rFonts w:ascii="Arial" w:cs="Arial" w:eastAsia="Arial" w:hAnsi="Arial"/>
                <w:sz w:val="18"/>
                <w:szCs w:val="18"/>
                <w:color w:val="auto"/>
                <w:w w:val="96"/>
              </w:rPr>
              <w:t>NUMBER OF</w:t>
            </w:r>
          </w:p>
        </w:tc>
        <w:tc>
          <w:tcPr>
            <w:tcW w:w="220" w:type="dxa"/>
            <w:vAlign w:val="bottom"/>
            <w:tcBorders>
              <w:bottom w:val="single" w:sz="8" w:color="auto"/>
            </w:tcBorders>
          </w:tcPr>
          <w:p>
            <w:pPr>
              <w:spacing w:after="0"/>
              <w:rPr>
                <w:sz w:val="20"/>
                <w:szCs w:val="20"/>
                <w:color w:val="auto"/>
              </w:rPr>
            </w:pPr>
          </w:p>
        </w:tc>
        <w:tc>
          <w:tcPr>
            <w:tcW w:w="90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07"/>
        </w:trPr>
        <w:tc>
          <w:tcPr>
            <w:tcW w:w="1620" w:type="dxa"/>
            <w:vAlign w:val="bottom"/>
            <w:vMerge w:val="continue"/>
          </w:tcPr>
          <w:p>
            <w:pPr>
              <w:spacing w:after="0"/>
              <w:rPr>
                <w:sz w:val="9"/>
                <w:szCs w:val="9"/>
                <w:color w:val="auto"/>
              </w:rPr>
            </w:pPr>
          </w:p>
        </w:tc>
        <w:tc>
          <w:tcPr>
            <w:tcW w:w="220" w:type="dxa"/>
            <w:vAlign w:val="bottom"/>
            <w:vMerge w:val="restart"/>
          </w:tcPr>
          <w:p>
            <w:pPr>
              <w:jc w:val="right"/>
              <w:ind w:right="16"/>
              <w:spacing w:after="0"/>
              <w:rPr>
                <w:sz w:val="20"/>
                <w:szCs w:val="20"/>
                <w:color w:val="auto"/>
              </w:rPr>
            </w:pPr>
            <w:r>
              <w:rPr>
                <w:rFonts w:ascii="Arial" w:cs="Arial" w:eastAsia="Arial" w:hAnsi="Arial"/>
                <w:sz w:val="17"/>
                <w:szCs w:val="17"/>
                <w:color w:val="auto"/>
                <w:w w:val="70"/>
              </w:rPr>
              <w:t>6.</w:t>
            </w:r>
          </w:p>
        </w:tc>
        <w:tc>
          <w:tcPr>
            <w:tcW w:w="9060" w:type="dxa"/>
            <w:vAlign w:val="bottom"/>
            <w:vMerge w:val="restart"/>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23"/>
        </w:trPr>
        <w:tc>
          <w:tcPr>
            <w:tcW w:w="1620" w:type="dxa"/>
            <w:vAlign w:val="bottom"/>
            <w:vMerge w:val="restart"/>
          </w:tcPr>
          <w:p>
            <w:pPr>
              <w:jc w:val="center"/>
              <w:ind w:right="250"/>
              <w:spacing w:after="0"/>
              <w:rPr>
                <w:sz w:val="20"/>
                <w:szCs w:val="20"/>
                <w:color w:val="auto"/>
              </w:rPr>
            </w:pPr>
            <w:r>
              <w:rPr>
                <w:rFonts w:ascii="Arial" w:cs="Arial" w:eastAsia="Arial" w:hAnsi="Arial"/>
                <w:sz w:val="18"/>
                <w:szCs w:val="18"/>
                <w:color w:val="auto"/>
                <w:w w:val="91"/>
              </w:rPr>
              <w:t>SHARES</w:t>
            </w:r>
          </w:p>
        </w:tc>
        <w:tc>
          <w:tcPr>
            <w:tcW w:w="220" w:type="dxa"/>
            <w:vAlign w:val="bottom"/>
            <w:vMerge w:val="continue"/>
          </w:tcPr>
          <w:p>
            <w:pPr>
              <w:spacing w:after="0"/>
              <w:rPr>
                <w:sz w:val="10"/>
                <w:szCs w:val="10"/>
                <w:color w:val="auto"/>
              </w:rPr>
            </w:pPr>
          </w:p>
        </w:tc>
        <w:tc>
          <w:tcPr>
            <w:tcW w:w="9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1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90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620" w:type="dxa"/>
            <w:vAlign w:val="bottom"/>
          </w:tcPr>
          <w:p>
            <w:pPr>
              <w:jc w:val="center"/>
              <w:ind w:right="250"/>
              <w:spacing w:after="0"/>
              <w:rPr>
                <w:sz w:val="20"/>
                <w:szCs w:val="20"/>
                <w:color w:val="auto"/>
              </w:rPr>
            </w:pPr>
            <w:r>
              <w:rPr>
                <w:rFonts w:ascii="Arial" w:cs="Arial" w:eastAsia="Arial" w:hAnsi="Arial"/>
                <w:sz w:val="18"/>
                <w:szCs w:val="18"/>
                <w:color w:val="auto"/>
              </w:rPr>
              <w:t>BENEFICIALLY</w:t>
            </w:r>
          </w:p>
        </w:tc>
        <w:tc>
          <w:tcPr>
            <w:tcW w:w="220" w:type="dxa"/>
            <w:vAlign w:val="bottom"/>
          </w:tcPr>
          <w:p>
            <w:pPr>
              <w:spacing w:after="0"/>
              <w:rPr>
                <w:sz w:val="18"/>
                <w:szCs w:val="18"/>
                <w:color w:val="auto"/>
              </w:rPr>
            </w:pPr>
          </w:p>
        </w:tc>
        <w:tc>
          <w:tcPr>
            <w:tcW w:w="9060" w:type="dxa"/>
            <w:vAlign w:val="bottom"/>
            <w:vMerge w:val="restart"/>
          </w:tcPr>
          <w:p>
            <w:pPr>
              <w:ind w:left="100"/>
              <w:spacing w:after="0"/>
              <w:rPr>
                <w:sz w:val="20"/>
                <w:szCs w:val="20"/>
                <w:color w:val="auto"/>
              </w:rPr>
            </w:pPr>
            <w:r>
              <w:rPr>
                <w:rFonts w:ascii="Arial" w:cs="Arial" w:eastAsia="Arial" w:hAnsi="Arial"/>
                <w:sz w:val="18"/>
                <w:szCs w:val="18"/>
                <w:color w:val="auto"/>
              </w:rPr>
              <w:t>1,376,658*</w:t>
            </w:r>
          </w:p>
        </w:tc>
        <w:tc>
          <w:tcPr>
            <w:tcW w:w="0" w:type="dxa"/>
            <w:vAlign w:val="bottom"/>
          </w:tcPr>
          <w:p>
            <w:pPr>
              <w:spacing w:after="0"/>
              <w:rPr>
                <w:sz w:val="1"/>
                <w:szCs w:val="1"/>
                <w:color w:val="auto"/>
              </w:rPr>
            </w:pPr>
          </w:p>
        </w:tc>
      </w:tr>
      <w:tr>
        <w:trPr>
          <w:trHeight w:val="116"/>
        </w:trPr>
        <w:tc>
          <w:tcPr>
            <w:tcW w:w="1620" w:type="dxa"/>
            <w:vAlign w:val="bottom"/>
            <w:vMerge w:val="restart"/>
          </w:tcPr>
          <w:p>
            <w:pPr>
              <w:jc w:val="center"/>
              <w:ind w:right="250"/>
              <w:spacing w:after="0"/>
              <w:rPr>
                <w:sz w:val="20"/>
                <w:szCs w:val="20"/>
                <w:color w:val="auto"/>
              </w:rPr>
            </w:pPr>
            <w:r>
              <w:rPr>
                <w:rFonts w:ascii="Arial" w:cs="Arial" w:eastAsia="Arial" w:hAnsi="Arial"/>
                <w:sz w:val="18"/>
                <w:szCs w:val="18"/>
                <w:color w:val="auto"/>
                <w:w w:val="97"/>
              </w:rPr>
              <w:t>OWNED BY</w:t>
            </w:r>
          </w:p>
        </w:tc>
        <w:tc>
          <w:tcPr>
            <w:tcW w:w="220" w:type="dxa"/>
            <w:vAlign w:val="bottom"/>
            <w:tcBorders>
              <w:bottom w:val="single" w:sz="8" w:color="auto"/>
            </w:tcBorders>
          </w:tcPr>
          <w:p>
            <w:pPr>
              <w:spacing w:after="0"/>
              <w:rPr>
                <w:sz w:val="10"/>
                <w:szCs w:val="10"/>
                <w:color w:val="auto"/>
              </w:rPr>
            </w:pPr>
          </w:p>
        </w:tc>
        <w:tc>
          <w:tcPr>
            <w:tcW w:w="906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620" w:type="dxa"/>
            <w:vAlign w:val="bottom"/>
            <w:vMerge w:val="continue"/>
          </w:tcPr>
          <w:p>
            <w:pPr>
              <w:spacing w:after="0"/>
              <w:rPr>
                <w:sz w:val="6"/>
                <w:szCs w:val="6"/>
                <w:color w:val="auto"/>
              </w:rPr>
            </w:pPr>
          </w:p>
        </w:tc>
        <w:tc>
          <w:tcPr>
            <w:tcW w:w="220" w:type="dxa"/>
            <w:vAlign w:val="bottom"/>
            <w:vMerge w:val="restart"/>
          </w:tcPr>
          <w:p>
            <w:pPr>
              <w:jc w:val="right"/>
              <w:ind w:right="16"/>
              <w:spacing w:after="0"/>
              <w:rPr>
                <w:sz w:val="20"/>
                <w:szCs w:val="20"/>
                <w:color w:val="auto"/>
              </w:rPr>
            </w:pPr>
            <w:r>
              <w:rPr>
                <w:rFonts w:ascii="Arial" w:cs="Arial" w:eastAsia="Arial" w:hAnsi="Arial"/>
                <w:sz w:val="17"/>
                <w:szCs w:val="17"/>
                <w:color w:val="auto"/>
                <w:w w:val="70"/>
              </w:rPr>
              <w:t>7.</w:t>
            </w:r>
          </w:p>
        </w:tc>
        <w:tc>
          <w:tcPr>
            <w:tcW w:w="9060" w:type="dxa"/>
            <w:vAlign w:val="bottom"/>
            <w:vMerge w:val="restart"/>
          </w:tcPr>
          <w:p>
            <w:pPr>
              <w:ind w:left="1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620" w:type="dxa"/>
            <w:vAlign w:val="bottom"/>
            <w:vMerge w:val="restart"/>
          </w:tcPr>
          <w:p>
            <w:pPr>
              <w:jc w:val="center"/>
              <w:ind w:right="250"/>
              <w:spacing w:after="0"/>
              <w:rPr>
                <w:sz w:val="20"/>
                <w:szCs w:val="20"/>
                <w:color w:val="auto"/>
              </w:rPr>
            </w:pPr>
            <w:r>
              <w:rPr>
                <w:rFonts w:ascii="Arial" w:cs="Arial" w:eastAsia="Arial" w:hAnsi="Arial"/>
                <w:sz w:val="18"/>
                <w:szCs w:val="18"/>
                <w:color w:val="auto"/>
                <w:w w:val="95"/>
              </w:rPr>
              <w:t>EACH</w:t>
            </w:r>
          </w:p>
        </w:tc>
        <w:tc>
          <w:tcPr>
            <w:tcW w:w="220" w:type="dxa"/>
            <w:vAlign w:val="bottom"/>
            <w:vMerge w:val="continue"/>
          </w:tcPr>
          <w:p>
            <w:pPr>
              <w:spacing w:after="0"/>
              <w:rPr>
                <w:sz w:val="13"/>
                <w:szCs w:val="13"/>
                <w:color w:val="auto"/>
              </w:rPr>
            </w:pPr>
          </w:p>
        </w:tc>
        <w:tc>
          <w:tcPr>
            <w:tcW w:w="9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6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90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620" w:type="dxa"/>
            <w:vAlign w:val="bottom"/>
          </w:tcPr>
          <w:p>
            <w:pPr>
              <w:jc w:val="center"/>
              <w:ind w:right="250"/>
              <w:spacing w:after="0"/>
              <w:rPr>
                <w:sz w:val="20"/>
                <w:szCs w:val="20"/>
                <w:color w:val="auto"/>
              </w:rPr>
            </w:pPr>
            <w:r>
              <w:rPr>
                <w:rFonts w:ascii="Arial" w:cs="Arial" w:eastAsia="Arial" w:hAnsi="Arial"/>
                <w:sz w:val="18"/>
                <w:szCs w:val="18"/>
                <w:color w:val="auto"/>
                <w:w w:val="93"/>
              </w:rPr>
              <w:t>REPORTING</w:t>
            </w:r>
          </w:p>
        </w:tc>
        <w:tc>
          <w:tcPr>
            <w:tcW w:w="220" w:type="dxa"/>
            <w:vAlign w:val="bottom"/>
          </w:tcPr>
          <w:p>
            <w:pPr>
              <w:spacing w:after="0"/>
              <w:rPr>
                <w:sz w:val="18"/>
                <w:szCs w:val="18"/>
                <w:color w:val="auto"/>
              </w:rPr>
            </w:pPr>
          </w:p>
        </w:tc>
        <w:tc>
          <w:tcPr>
            <w:tcW w:w="9060" w:type="dxa"/>
            <w:vAlign w:val="bottom"/>
            <w:vMerge w:val="restart"/>
          </w:tcPr>
          <w:p>
            <w:pPr>
              <w:ind w:lef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43"/>
        </w:trPr>
        <w:tc>
          <w:tcPr>
            <w:tcW w:w="1620" w:type="dxa"/>
            <w:vAlign w:val="bottom"/>
            <w:vMerge w:val="restart"/>
          </w:tcPr>
          <w:p>
            <w:pPr>
              <w:jc w:val="center"/>
              <w:ind w:right="250"/>
              <w:spacing w:after="0"/>
              <w:rPr>
                <w:sz w:val="20"/>
                <w:szCs w:val="20"/>
                <w:color w:val="auto"/>
              </w:rPr>
            </w:pPr>
            <w:r>
              <w:rPr>
                <w:rFonts w:ascii="Arial" w:cs="Arial" w:eastAsia="Arial" w:hAnsi="Arial"/>
                <w:sz w:val="18"/>
                <w:szCs w:val="18"/>
                <w:color w:val="auto"/>
                <w:w w:val="94"/>
              </w:rPr>
              <w:t>PERSON WITH</w:t>
            </w:r>
          </w:p>
        </w:tc>
        <w:tc>
          <w:tcPr>
            <w:tcW w:w="220" w:type="dxa"/>
            <w:vAlign w:val="bottom"/>
            <w:tcBorders>
              <w:bottom w:val="single" w:sz="8" w:color="auto"/>
            </w:tcBorders>
          </w:tcPr>
          <w:p>
            <w:pPr>
              <w:spacing w:after="0"/>
              <w:rPr>
                <w:sz w:val="12"/>
                <w:szCs w:val="12"/>
                <w:color w:val="auto"/>
              </w:rPr>
            </w:pPr>
          </w:p>
        </w:tc>
        <w:tc>
          <w:tcPr>
            <w:tcW w:w="906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1620" w:type="dxa"/>
            <w:vAlign w:val="bottom"/>
            <w:vMerge w:val="continue"/>
          </w:tcPr>
          <w:p>
            <w:pPr>
              <w:spacing w:after="0"/>
              <w:rPr>
                <w:sz w:val="5"/>
                <w:szCs w:val="5"/>
                <w:color w:val="auto"/>
              </w:rPr>
            </w:pPr>
          </w:p>
        </w:tc>
        <w:tc>
          <w:tcPr>
            <w:tcW w:w="220" w:type="dxa"/>
            <w:vAlign w:val="bottom"/>
            <w:vMerge w:val="restart"/>
          </w:tcPr>
          <w:p>
            <w:pPr>
              <w:jc w:val="right"/>
              <w:ind w:right="16"/>
              <w:spacing w:after="0"/>
              <w:rPr>
                <w:sz w:val="20"/>
                <w:szCs w:val="20"/>
                <w:color w:val="auto"/>
              </w:rPr>
            </w:pPr>
            <w:r>
              <w:rPr>
                <w:rFonts w:ascii="Arial" w:cs="Arial" w:eastAsia="Arial" w:hAnsi="Arial"/>
                <w:sz w:val="17"/>
                <w:szCs w:val="17"/>
                <w:color w:val="auto"/>
                <w:w w:val="70"/>
              </w:rPr>
              <w:t>8.</w:t>
            </w:r>
          </w:p>
        </w:tc>
        <w:tc>
          <w:tcPr>
            <w:tcW w:w="9060" w:type="dxa"/>
            <w:vAlign w:val="bottom"/>
            <w:vMerge w:val="restart"/>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63"/>
        </w:trPr>
        <w:tc>
          <w:tcPr>
            <w:tcW w:w="1620" w:type="dxa"/>
            <w:vAlign w:val="bottom"/>
          </w:tcPr>
          <w:p>
            <w:pPr>
              <w:spacing w:after="0"/>
              <w:rPr>
                <w:sz w:val="14"/>
                <w:szCs w:val="14"/>
                <w:color w:val="auto"/>
              </w:rPr>
            </w:pPr>
          </w:p>
        </w:tc>
        <w:tc>
          <w:tcPr>
            <w:tcW w:w="220" w:type="dxa"/>
            <w:vAlign w:val="bottom"/>
            <w:vMerge w:val="continue"/>
          </w:tcPr>
          <w:p>
            <w:pPr>
              <w:spacing w:after="0"/>
              <w:rPr>
                <w:sz w:val="14"/>
                <w:szCs w:val="14"/>
                <w:color w:val="auto"/>
              </w:rPr>
            </w:pPr>
          </w:p>
        </w:tc>
        <w:tc>
          <w:tcPr>
            <w:tcW w:w="9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18"/>
        </w:trPr>
        <w:tc>
          <w:tcPr>
            <w:tcW w:w="1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60" w:type="dxa"/>
            <w:vAlign w:val="bottom"/>
          </w:tcPr>
          <w:p>
            <w:pPr>
              <w:ind w:left="100"/>
              <w:spacing w:after="0"/>
              <w:rPr>
                <w:sz w:val="20"/>
                <w:szCs w:val="20"/>
                <w:color w:val="auto"/>
              </w:rPr>
            </w:pPr>
            <w:r>
              <w:rPr>
                <w:rFonts w:ascii="Arial" w:cs="Arial" w:eastAsia="Arial" w:hAnsi="Arial"/>
                <w:sz w:val="18"/>
                <w:szCs w:val="18"/>
                <w:color w:val="auto"/>
              </w:rPr>
              <w:t>1,376,658*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9.</w:t>
      </w:r>
      <w:r>
        <w:rPr>
          <w:sz w:val="20"/>
          <w:szCs w:val="20"/>
          <w:color w:val="auto"/>
        </w:rPr>
        <w:tab/>
      </w:r>
      <w:r>
        <w:rPr>
          <w:rFonts w:ascii="Arial" w:cs="Arial" w:eastAsia="Arial" w:hAnsi="Arial"/>
          <w:sz w:val="18"/>
          <w:szCs w:val="18"/>
          <w:color w:val="auto"/>
        </w:rPr>
        <w:t>AGGREGATE AMOUNT BENEFICIALLY OWNED BY EACH REPORTING PERSON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1,376,658*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8"/>
          <w:szCs w:val="18"/>
          <w:color w:val="auto"/>
        </w:rPr>
        <w:t>CHECK BOX IF THE AGGREGATE AMOUNT IN ROW (9) EXCLUDES CERTAIN SHARES (SEE INSTRUCTIONS)</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ind w:left="660" w:right="5520" w:hanging="652"/>
        <w:spacing w:after="0" w:line="391"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PERCENT OF CLASS REPRESENTED BY AMOUNT IN ROW (9) 6.64%*</w:t>
      </w:r>
    </w:p>
    <w:p>
      <w:pPr>
        <w:ind w:left="660" w:right="6260" w:hanging="652"/>
        <w:spacing w:after="0" w:line="52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TYPE OF REPORTING PERSON (SEE INSTRUCTIONS) 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-584835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-156210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CUSIP No.</w:t>
            </w:r>
          </w:p>
        </w:tc>
        <w:tc>
          <w:tcPr>
            <w:tcW w:w="1120" w:type="dxa"/>
            <w:vAlign w:val="bottom"/>
          </w:tcPr>
          <w:p>
            <w:pPr>
              <w:ind w:left="240"/>
              <w:spacing w:after="0"/>
              <w:rPr>
                <w:sz w:val="20"/>
                <w:szCs w:val="20"/>
                <w:color w:val="auto"/>
              </w:rPr>
            </w:pPr>
            <w:r>
              <w:rPr>
                <w:rFonts w:ascii="Arial" w:cs="Arial" w:eastAsia="Arial" w:hAnsi="Arial"/>
                <w:sz w:val="18"/>
                <w:szCs w:val="18"/>
                <w:color w:val="auto"/>
                <w:w w:val="89"/>
              </w:rPr>
              <w:t>G9441E100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9"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color w:val="auto"/>
        </w:rPr>
      </w:pPr>
    </w:p>
    <w:p>
      <w:pPr>
        <w:ind w:left="660" w:right="5000"/>
        <w:spacing w:after="0" w:line="383"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Robin Shah</w:t>
      </w:r>
    </w:p>
    <w:p>
      <w:pPr>
        <w:ind w:left="660" w:hanging="65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 [ ]</w:t>
      </w:r>
    </w:p>
    <w:p>
      <w:pPr>
        <w:spacing w:after="0" w:line="9" w:lineRule="exact"/>
        <w:rPr>
          <w:sz w:val="20"/>
          <w:szCs w:val="20"/>
          <w:color w:val="auto"/>
        </w:rPr>
      </w:pPr>
    </w:p>
    <w:p>
      <w:pPr>
        <w:ind w:left="10740"/>
        <w:spacing w:after="0"/>
        <w:rPr>
          <w:sz w:val="20"/>
          <w:szCs w:val="20"/>
          <w:color w:val="auto"/>
        </w:rPr>
      </w:pPr>
      <w:r>
        <w:rPr>
          <w:rFonts w:ascii="Arial" w:cs="Arial" w:eastAsia="Arial" w:hAnsi="Arial"/>
          <w:sz w:val="18"/>
          <w:szCs w:val="18"/>
          <w:color w:val="auto"/>
        </w:rPr>
        <w:t>(b) [X]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 w:lineRule="exact"/>
        <w:rPr>
          <w:sz w:val="20"/>
          <w:szCs w:val="20"/>
          <w:color w:val="auto"/>
        </w:rPr>
      </w:pP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52" w:lineRule="exact"/>
        <w:rPr>
          <w:rFonts w:ascii="Arial" w:cs="Arial" w:eastAsia="Arial" w:hAnsi="Arial"/>
          <w:sz w:val="18"/>
          <w:szCs w:val="18"/>
          <w:color w:val="auto"/>
        </w:rPr>
      </w:pPr>
    </w:p>
    <w:p>
      <w:pPr>
        <w:ind w:left="660" w:right="6920" w:hanging="652"/>
        <w:spacing w:after="0" w:line="516"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CITIZENSHIP OR PLACE OF ORGANIZATION USA</w:t>
      </w:r>
    </w:p>
    <w:p>
      <w:pPr>
        <w:ind w:left="2280" w:hanging="328"/>
        <w:spacing w:after="0"/>
        <w:tabs>
          <w:tab w:leader="none" w:pos="22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-139065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5" w:lineRule="exact"/>
        <w:rPr>
          <w:sz w:val="20"/>
          <w:szCs w:val="20"/>
          <w:color w:val="auto"/>
        </w:rPr>
      </w:pPr>
    </w:p>
    <w:tbl>
      <w:tblPr>
        <w:tblLayout w:type="fixed"/>
        <w:tblInd w:w="340" w:type="dxa"/>
        <w:tblCellMar>
          <w:top w:w="0" w:type="dxa"/>
          <w:left w:w="0" w:type="dxa"/>
          <w:bottom w:w="0" w:type="dxa"/>
          <w:right w:w="0" w:type="dxa"/>
        </w:tblCellMar>
      </w:tblPr>
      <w:tr>
        <w:trPr>
          <w:trHeight w:val="237"/>
        </w:trPr>
        <w:tc>
          <w:tcPr>
            <w:tcW w:w="1620" w:type="dxa"/>
            <w:vAlign w:val="bottom"/>
            <w:vMerge w:val="restart"/>
          </w:tcPr>
          <w:p>
            <w:pPr>
              <w:jc w:val="center"/>
              <w:ind w:right="250"/>
              <w:spacing w:after="0"/>
              <w:rPr>
                <w:sz w:val="20"/>
                <w:szCs w:val="20"/>
                <w:color w:val="auto"/>
              </w:rPr>
            </w:pPr>
            <w:r>
              <w:rPr>
                <w:rFonts w:ascii="Arial" w:cs="Arial" w:eastAsia="Arial" w:hAnsi="Arial"/>
                <w:sz w:val="18"/>
                <w:szCs w:val="18"/>
                <w:color w:val="auto"/>
                <w:w w:val="96"/>
              </w:rPr>
              <w:t>NUMBER OF</w:t>
            </w:r>
          </w:p>
        </w:tc>
        <w:tc>
          <w:tcPr>
            <w:tcW w:w="220" w:type="dxa"/>
            <w:vAlign w:val="bottom"/>
            <w:tcBorders>
              <w:bottom w:val="single" w:sz="8" w:color="auto"/>
            </w:tcBorders>
          </w:tcPr>
          <w:p>
            <w:pPr>
              <w:spacing w:after="0"/>
              <w:rPr>
                <w:sz w:val="20"/>
                <w:szCs w:val="20"/>
                <w:color w:val="auto"/>
              </w:rPr>
            </w:pPr>
          </w:p>
        </w:tc>
        <w:tc>
          <w:tcPr>
            <w:tcW w:w="90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07"/>
        </w:trPr>
        <w:tc>
          <w:tcPr>
            <w:tcW w:w="1620" w:type="dxa"/>
            <w:vAlign w:val="bottom"/>
            <w:vMerge w:val="continue"/>
          </w:tcPr>
          <w:p>
            <w:pPr>
              <w:spacing w:after="0"/>
              <w:rPr>
                <w:sz w:val="9"/>
                <w:szCs w:val="9"/>
                <w:color w:val="auto"/>
              </w:rPr>
            </w:pPr>
          </w:p>
        </w:tc>
        <w:tc>
          <w:tcPr>
            <w:tcW w:w="220" w:type="dxa"/>
            <w:vAlign w:val="bottom"/>
            <w:vMerge w:val="restart"/>
          </w:tcPr>
          <w:p>
            <w:pPr>
              <w:jc w:val="right"/>
              <w:ind w:right="16"/>
              <w:spacing w:after="0"/>
              <w:rPr>
                <w:sz w:val="20"/>
                <w:szCs w:val="20"/>
                <w:color w:val="auto"/>
              </w:rPr>
            </w:pPr>
            <w:r>
              <w:rPr>
                <w:rFonts w:ascii="Arial" w:cs="Arial" w:eastAsia="Arial" w:hAnsi="Arial"/>
                <w:sz w:val="17"/>
                <w:szCs w:val="17"/>
                <w:color w:val="auto"/>
                <w:w w:val="70"/>
              </w:rPr>
              <w:t>6.</w:t>
            </w:r>
          </w:p>
        </w:tc>
        <w:tc>
          <w:tcPr>
            <w:tcW w:w="9060" w:type="dxa"/>
            <w:vAlign w:val="bottom"/>
            <w:vMerge w:val="restart"/>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23"/>
        </w:trPr>
        <w:tc>
          <w:tcPr>
            <w:tcW w:w="1620" w:type="dxa"/>
            <w:vAlign w:val="bottom"/>
            <w:vMerge w:val="restart"/>
          </w:tcPr>
          <w:p>
            <w:pPr>
              <w:jc w:val="center"/>
              <w:ind w:right="250"/>
              <w:spacing w:after="0"/>
              <w:rPr>
                <w:sz w:val="20"/>
                <w:szCs w:val="20"/>
                <w:color w:val="auto"/>
              </w:rPr>
            </w:pPr>
            <w:r>
              <w:rPr>
                <w:rFonts w:ascii="Arial" w:cs="Arial" w:eastAsia="Arial" w:hAnsi="Arial"/>
                <w:sz w:val="18"/>
                <w:szCs w:val="18"/>
                <w:color w:val="auto"/>
                <w:w w:val="91"/>
              </w:rPr>
              <w:t>SHARES</w:t>
            </w:r>
          </w:p>
        </w:tc>
        <w:tc>
          <w:tcPr>
            <w:tcW w:w="220" w:type="dxa"/>
            <w:vAlign w:val="bottom"/>
            <w:vMerge w:val="continue"/>
          </w:tcPr>
          <w:p>
            <w:pPr>
              <w:spacing w:after="0"/>
              <w:rPr>
                <w:sz w:val="10"/>
                <w:szCs w:val="10"/>
                <w:color w:val="auto"/>
              </w:rPr>
            </w:pPr>
          </w:p>
        </w:tc>
        <w:tc>
          <w:tcPr>
            <w:tcW w:w="9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1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90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620" w:type="dxa"/>
            <w:vAlign w:val="bottom"/>
          </w:tcPr>
          <w:p>
            <w:pPr>
              <w:jc w:val="center"/>
              <w:ind w:right="250"/>
              <w:spacing w:after="0"/>
              <w:rPr>
                <w:sz w:val="20"/>
                <w:szCs w:val="20"/>
                <w:color w:val="auto"/>
              </w:rPr>
            </w:pPr>
            <w:r>
              <w:rPr>
                <w:rFonts w:ascii="Arial" w:cs="Arial" w:eastAsia="Arial" w:hAnsi="Arial"/>
                <w:sz w:val="18"/>
                <w:szCs w:val="18"/>
                <w:color w:val="auto"/>
              </w:rPr>
              <w:t>BENEFICIALLY</w:t>
            </w:r>
          </w:p>
        </w:tc>
        <w:tc>
          <w:tcPr>
            <w:tcW w:w="220" w:type="dxa"/>
            <w:vAlign w:val="bottom"/>
          </w:tcPr>
          <w:p>
            <w:pPr>
              <w:spacing w:after="0"/>
              <w:rPr>
                <w:sz w:val="18"/>
                <w:szCs w:val="18"/>
                <w:color w:val="auto"/>
              </w:rPr>
            </w:pPr>
          </w:p>
        </w:tc>
        <w:tc>
          <w:tcPr>
            <w:tcW w:w="9060" w:type="dxa"/>
            <w:vAlign w:val="bottom"/>
            <w:vMerge w:val="restart"/>
          </w:tcPr>
          <w:p>
            <w:pPr>
              <w:ind w:left="100"/>
              <w:spacing w:after="0"/>
              <w:rPr>
                <w:sz w:val="20"/>
                <w:szCs w:val="20"/>
                <w:color w:val="auto"/>
              </w:rPr>
            </w:pPr>
            <w:r>
              <w:rPr>
                <w:rFonts w:ascii="Arial" w:cs="Arial" w:eastAsia="Arial" w:hAnsi="Arial"/>
                <w:sz w:val="18"/>
                <w:szCs w:val="18"/>
                <w:color w:val="auto"/>
              </w:rPr>
              <w:t>1,376,658*</w:t>
            </w:r>
          </w:p>
        </w:tc>
        <w:tc>
          <w:tcPr>
            <w:tcW w:w="0" w:type="dxa"/>
            <w:vAlign w:val="bottom"/>
          </w:tcPr>
          <w:p>
            <w:pPr>
              <w:spacing w:after="0"/>
              <w:rPr>
                <w:sz w:val="1"/>
                <w:szCs w:val="1"/>
                <w:color w:val="auto"/>
              </w:rPr>
            </w:pPr>
          </w:p>
        </w:tc>
      </w:tr>
      <w:tr>
        <w:trPr>
          <w:trHeight w:val="116"/>
        </w:trPr>
        <w:tc>
          <w:tcPr>
            <w:tcW w:w="1620" w:type="dxa"/>
            <w:vAlign w:val="bottom"/>
            <w:vMerge w:val="restart"/>
          </w:tcPr>
          <w:p>
            <w:pPr>
              <w:jc w:val="center"/>
              <w:ind w:right="250"/>
              <w:spacing w:after="0"/>
              <w:rPr>
                <w:sz w:val="20"/>
                <w:szCs w:val="20"/>
                <w:color w:val="auto"/>
              </w:rPr>
            </w:pPr>
            <w:r>
              <w:rPr>
                <w:rFonts w:ascii="Arial" w:cs="Arial" w:eastAsia="Arial" w:hAnsi="Arial"/>
                <w:sz w:val="18"/>
                <w:szCs w:val="18"/>
                <w:color w:val="auto"/>
                <w:w w:val="97"/>
              </w:rPr>
              <w:t>OWNED BY</w:t>
            </w:r>
          </w:p>
        </w:tc>
        <w:tc>
          <w:tcPr>
            <w:tcW w:w="220" w:type="dxa"/>
            <w:vAlign w:val="bottom"/>
            <w:tcBorders>
              <w:bottom w:val="single" w:sz="8" w:color="auto"/>
            </w:tcBorders>
          </w:tcPr>
          <w:p>
            <w:pPr>
              <w:spacing w:after="0"/>
              <w:rPr>
                <w:sz w:val="10"/>
                <w:szCs w:val="10"/>
                <w:color w:val="auto"/>
              </w:rPr>
            </w:pPr>
          </w:p>
        </w:tc>
        <w:tc>
          <w:tcPr>
            <w:tcW w:w="906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620" w:type="dxa"/>
            <w:vAlign w:val="bottom"/>
            <w:vMerge w:val="continue"/>
          </w:tcPr>
          <w:p>
            <w:pPr>
              <w:spacing w:after="0"/>
              <w:rPr>
                <w:sz w:val="6"/>
                <w:szCs w:val="6"/>
                <w:color w:val="auto"/>
              </w:rPr>
            </w:pPr>
          </w:p>
        </w:tc>
        <w:tc>
          <w:tcPr>
            <w:tcW w:w="220" w:type="dxa"/>
            <w:vAlign w:val="bottom"/>
            <w:vMerge w:val="restart"/>
          </w:tcPr>
          <w:p>
            <w:pPr>
              <w:jc w:val="right"/>
              <w:ind w:right="16"/>
              <w:spacing w:after="0"/>
              <w:rPr>
                <w:sz w:val="20"/>
                <w:szCs w:val="20"/>
                <w:color w:val="auto"/>
              </w:rPr>
            </w:pPr>
            <w:r>
              <w:rPr>
                <w:rFonts w:ascii="Arial" w:cs="Arial" w:eastAsia="Arial" w:hAnsi="Arial"/>
                <w:sz w:val="17"/>
                <w:szCs w:val="17"/>
                <w:color w:val="auto"/>
                <w:w w:val="70"/>
              </w:rPr>
              <w:t>7.</w:t>
            </w:r>
          </w:p>
        </w:tc>
        <w:tc>
          <w:tcPr>
            <w:tcW w:w="9060" w:type="dxa"/>
            <w:vAlign w:val="bottom"/>
            <w:vMerge w:val="restart"/>
          </w:tcPr>
          <w:p>
            <w:pPr>
              <w:ind w:left="1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620" w:type="dxa"/>
            <w:vAlign w:val="bottom"/>
            <w:vMerge w:val="restart"/>
          </w:tcPr>
          <w:p>
            <w:pPr>
              <w:jc w:val="center"/>
              <w:ind w:right="250"/>
              <w:spacing w:after="0"/>
              <w:rPr>
                <w:sz w:val="20"/>
                <w:szCs w:val="20"/>
                <w:color w:val="auto"/>
              </w:rPr>
            </w:pPr>
            <w:r>
              <w:rPr>
                <w:rFonts w:ascii="Arial" w:cs="Arial" w:eastAsia="Arial" w:hAnsi="Arial"/>
                <w:sz w:val="18"/>
                <w:szCs w:val="18"/>
                <w:color w:val="auto"/>
                <w:w w:val="95"/>
              </w:rPr>
              <w:t>EACH</w:t>
            </w:r>
          </w:p>
        </w:tc>
        <w:tc>
          <w:tcPr>
            <w:tcW w:w="220" w:type="dxa"/>
            <w:vAlign w:val="bottom"/>
            <w:vMerge w:val="continue"/>
          </w:tcPr>
          <w:p>
            <w:pPr>
              <w:spacing w:after="0"/>
              <w:rPr>
                <w:sz w:val="13"/>
                <w:szCs w:val="13"/>
                <w:color w:val="auto"/>
              </w:rPr>
            </w:pPr>
          </w:p>
        </w:tc>
        <w:tc>
          <w:tcPr>
            <w:tcW w:w="9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6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90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620" w:type="dxa"/>
            <w:vAlign w:val="bottom"/>
          </w:tcPr>
          <w:p>
            <w:pPr>
              <w:jc w:val="center"/>
              <w:ind w:right="250"/>
              <w:spacing w:after="0"/>
              <w:rPr>
                <w:sz w:val="20"/>
                <w:szCs w:val="20"/>
                <w:color w:val="auto"/>
              </w:rPr>
            </w:pPr>
            <w:r>
              <w:rPr>
                <w:rFonts w:ascii="Arial" w:cs="Arial" w:eastAsia="Arial" w:hAnsi="Arial"/>
                <w:sz w:val="18"/>
                <w:szCs w:val="18"/>
                <w:color w:val="auto"/>
                <w:w w:val="93"/>
              </w:rPr>
              <w:t>REPORTING</w:t>
            </w:r>
          </w:p>
        </w:tc>
        <w:tc>
          <w:tcPr>
            <w:tcW w:w="220" w:type="dxa"/>
            <w:vAlign w:val="bottom"/>
          </w:tcPr>
          <w:p>
            <w:pPr>
              <w:spacing w:after="0"/>
              <w:rPr>
                <w:sz w:val="18"/>
                <w:szCs w:val="18"/>
                <w:color w:val="auto"/>
              </w:rPr>
            </w:pPr>
          </w:p>
        </w:tc>
        <w:tc>
          <w:tcPr>
            <w:tcW w:w="9060" w:type="dxa"/>
            <w:vAlign w:val="bottom"/>
            <w:vMerge w:val="restart"/>
          </w:tcPr>
          <w:p>
            <w:pPr>
              <w:ind w:lef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43"/>
        </w:trPr>
        <w:tc>
          <w:tcPr>
            <w:tcW w:w="1620" w:type="dxa"/>
            <w:vAlign w:val="bottom"/>
            <w:vMerge w:val="restart"/>
          </w:tcPr>
          <w:p>
            <w:pPr>
              <w:jc w:val="center"/>
              <w:ind w:right="250"/>
              <w:spacing w:after="0"/>
              <w:rPr>
                <w:sz w:val="20"/>
                <w:szCs w:val="20"/>
                <w:color w:val="auto"/>
              </w:rPr>
            </w:pPr>
            <w:r>
              <w:rPr>
                <w:rFonts w:ascii="Arial" w:cs="Arial" w:eastAsia="Arial" w:hAnsi="Arial"/>
                <w:sz w:val="18"/>
                <w:szCs w:val="18"/>
                <w:color w:val="auto"/>
                <w:w w:val="94"/>
              </w:rPr>
              <w:t>PERSON WITH</w:t>
            </w:r>
          </w:p>
        </w:tc>
        <w:tc>
          <w:tcPr>
            <w:tcW w:w="220" w:type="dxa"/>
            <w:vAlign w:val="bottom"/>
            <w:tcBorders>
              <w:bottom w:val="single" w:sz="8" w:color="auto"/>
            </w:tcBorders>
          </w:tcPr>
          <w:p>
            <w:pPr>
              <w:spacing w:after="0"/>
              <w:rPr>
                <w:sz w:val="12"/>
                <w:szCs w:val="12"/>
                <w:color w:val="auto"/>
              </w:rPr>
            </w:pPr>
          </w:p>
        </w:tc>
        <w:tc>
          <w:tcPr>
            <w:tcW w:w="906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1620" w:type="dxa"/>
            <w:vAlign w:val="bottom"/>
            <w:vMerge w:val="continue"/>
          </w:tcPr>
          <w:p>
            <w:pPr>
              <w:spacing w:after="0"/>
              <w:rPr>
                <w:sz w:val="5"/>
                <w:szCs w:val="5"/>
                <w:color w:val="auto"/>
              </w:rPr>
            </w:pPr>
          </w:p>
        </w:tc>
        <w:tc>
          <w:tcPr>
            <w:tcW w:w="220" w:type="dxa"/>
            <w:vAlign w:val="bottom"/>
            <w:vMerge w:val="restart"/>
          </w:tcPr>
          <w:p>
            <w:pPr>
              <w:jc w:val="right"/>
              <w:ind w:right="16"/>
              <w:spacing w:after="0"/>
              <w:rPr>
                <w:sz w:val="20"/>
                <w:szCs w:val="20"/>
                <w:color w:val="auto"/>
              </w:rPr>
            </w:pPr>
            <w:r>
              <w:rPr>
                <w:rFonts w:ascii="Arial" w:cs="Arial" w:eastAsia="Arial" w:hAnsi="Arial"/>
                <w:sz w:val="17"/>
                <w:szCs w:val="17"/>
                <w:color w:val="auto"/>
                <w:w w:val="70"/>
              </w:rPr>
              <w:t>8.</w:t>
            </w:r>
          </w:p>
        </w:tc>
        <w:tc>
          <w:tcPr>
            <w:tcW w:w="9060" w:type="dxa"/>
            <w:vAlign w:val="bottom"/>
            <w:vMerge w:val="restart"/>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63"/>
        </w:trPr>
        <w:tc>
          <w:tcPr>
            <w:tcW w:w="1620" w:type="dxa"/>
            <w:vAlign w:val="bottom"/>
          </w:tcPr>
          <w:p>
            <w:pPr>
              <w:spacing w:after="0"/>
              <w:rPr>
                <w:sz w:val="14"/>
                <w:szCs w:val="14"/>
                <w:color w:val="auto"/>
              </w:rPr>
            </w:pPr>
          </w:p>
        </w:tc>
        <w:tc>
          <w:tcPr>
            <w:tcW w:w="220" w:type="dxa"/>
            <w:vAlign w:val="bottom"/>
            <w:vMerge w:val="continue"/>
          </w:tcPr>
          <w:p>
            <w:pPr>
              <w:spacing w:after="0"/>
              <w:rPr>
                <w:sz w:val="14"/>
                <w:szCs w:val="14"/>
                <w:color w:val="auto"/>
              </w:rPr>
            </w:pPr>
          </w:p>
        </w:tc>
        <w:tc>
          <w:tcPr>
            <w:tcW w:w="9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18"/>
        </w:trPr>
        <w:tc>
          <w:tcPr>
            <w:tcW w:w="1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60" w:type="dxa"/>
            <w:vAlign w:val="bottom"/>
          </w:tcPr>
          <w:p>
            <w:pPr>
              <w:ind w:left="100"/>
              <w:spacing w:after="0"/>
              <w:rPr>
                <w:sz w:val="20"/>
                <w:szCs w:val="20"/>
                <w:color w:val="auto"/>
              </w:rPr>
            </w:pPr>
            <w:r>
              <w:rPr>
                <w:rFonts w:ascii="Arial" w:cs="Arial" w:eastAsia="Arial" w:hAnsi="Arial"/>
                <w:sz w:val="18"/>
                <w:szCs w:val="18"/>
                <w:color w:val="auto"/>
              </w:rPr>
              <w:t>1,376,658*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9.</w:t>
      </w:r>
      <w:r>
        <w:rPr>
          <w:sz w:val="20"/>
          <w:szCs w:val="20"/>
          <w:color w:val="auto"/>
        </w:rPr>
        <w:tab/>
      </w:r>
      <w:r>
        <w:rPr>
          <w:rFonts w:ascii="Arial" w:cs="Arial" w:eastAsia="Arial" w:hAnsi="Arial"/>
          <w:sz w:val="18"/>
          <w:szCs w:val="18"/>
          <w:color w:val="auto"/>
        </w:rPr>
        <w:t>AGGREGATE AMOUNT BENEFICIALLY OWNED BY EACH REPORTING PERSON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1,376,658*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8"/>
          <w:szCs w:val="18"/>
          <w:color w:val="auto"/>
        </w:rPr>
        <w:t>CHECK BOX IF THE AGGREGATE AMOUNT IN ROW (9) EXCLUDES CERTAIN SHARES (SEE INSTRUCTIONS)</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ind w:left="660" w:right="5520" w:hanging="652"/>
        <w:spacing w:after="0" w:line="391"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PERCENT OF CLASS REPRESENTED BY AMOUNT IN ROW (9) 6.64%*</w:t>
      </w:r>
    </w:p>
    <w:p>
      <w:pPr>
        <w:ind w:left="660" w:right="6260" w:hanging="652"/>
        <w:spacing w:after="0" w:line="52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TYPE OF REPORTING PERSON (SEE INSTRUCTIONS) IN, 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-584835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-156210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0"/>
        </w:trPr>
        <w:tc>
          <w:tcPr>
            <w:tcW w:w="900" w:type="dxa"/>
            <w:vAlign w:val="bottom"/>
          </w:tcPr>
          <w:p>
            <w:pPr>
              <w:spacing w:after="0"/>
              <w:rPr>
                <w:sz w:val="20"/>
                <w:szCs w:val="20"/>
                <w:color w:val="auto"/>
              </w:rPr>
            </w:pPr>
            <w:r>
              <w:rPr>
                <w:rFonts w:ascii="Arial" w:cs="Arial" w:eastAsia="Arial" w:hAnsi="Arial"/>
                <w:sz w:val="18"/>
                <w:szCs w:val="18"/>
                <w:color w:val="auto"/>
                <w:w w:val="99"/>
              </w:rPr>
              <w:t>CUSIP No.</w:t>
            </w:r>
          </w:p>
        </w:tc>
        <w:tc>
          <w:tcPr>
            <w:tcW w:w="720" w:type="dxa"/>
            <w:vAlign w:val="bottom"/>
          </w:tcPr>
          <w:p>
            <w:pPr>
              <w:spacing w:after="0"/>
              <w:rPr>
                <w:sz w:val="20"/>
                <w:szCs w:val="20"/>
                <w:color w:val="auto"/>
              </w:rPr>
            </w:pPr>
          </w:p>
        </w:tc>
        <w:tc>
          <w:tcPr>
            <w:tcW w:w="9620" w:type="dxa"/>
            <w:vAlign w:val="bottom"/>
          </w:tcPr>
          <w:p>
            <w:pPr>
              <w:spacing w:after="0"/>
              <w:rPr>
                <w:sz w:val="20"/>
                <w:szCs w:val="20"/>
                <w:color w:val="auto"/>
              </w:rPr>
            </w:pPr>
            <w:r>
              <w:rPr>
                <w:rFonts w:ascii="Arial" w:cs="Arial" w:eastAsia="Arial" w:hAnsi="Arial"/>
                <w:sz w:val="18"/>
                <w:szCs w:val="18"/>
                <w:color w:val="auto"/>
              </w:rPr>
              <w:t>G9441E100</w:t>
            </w: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Item 1.</w:t>
            </w:r>
          </w:p>
        </w:tc>
        <w:tc>
          <w:tcPr>
            <w:tcW w:w="720" w:type="dxa"/>
            <w:vAlign w:val="bottom"/>
          </w:tcPr>
          <w:p>
            <w:pPr>
              <w:ind w:left="80"/>
              <w:spacing w:after="0"/>
              <w:rPr>
                <w:sz w:val="20"/>
                <w:szCs w:val="20"/>
                <w:color w:val="auto"/>
              </w:rPr>
            </w:pPr>
            <w:r>
              <w:rPr>
                <w:rFonts w:ascii="Arial" w:cs="Arial" w:eastAsia="Arial" w:hAnsi="Arial"/>
                <w:sz w:val="18"/>
                <w:szCs w:val="18"/>
                <w:color w:val="auto"/>
              </w:rPr>
              <w:t>(a).</w:t>
            </w:r>
          </w:p>
        </w:tc>
        <w:tc>
          <w:tcPr>
            <w:tcW w:w="9620" w:type="dxa"/>
            <w:vAlign w:val="bottom"/>
          </w:tcPr>
          <w:p>
            <w:pPr>
              <w:spacing w:after="0"/>
              <w:rPr>
                <w:sz w:val="20"/>
                <w:szCs w:val="20"/>
                <w:color w:val="auto"/>
              </w:rPr>
            </w:pPr>
            <w:r>
              <w:rPr>
                <w:rFonts w:ascii="Arial" w:cs="Arial" w:eastAsia="Arial" w:hAnsi="Arial"/>
                <w:sz w:val="18"/>
                <w:szCs w:val="18"/>
                <w:color w:val="auto"/>
              </w:rPr>
              <w:t>Name of Issuer:</w:t>
            </w:r>
          </w:p>
        </w:tc>
      </w:tr>
      <w:tr>
        <w:trPr>
          <w:trHeight w:val="439"/>
        </w:trPr>
        <w:tc>
          <w:tcPr>
            <w:tcW w:w="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VPC Impact Acquisition Holdings</w:t>
            </w:r>
          </w:p>
        </w:tc>
      </w:tr>
      <w:tr>
        <w:trPr>
          <w:trHeight w:val="432"/>
        </w:trPr>
        <w:tc>
          <w:tcPr>
            <w:tcW w:w="900" w:type="dxa"/>
            <w:vAlign w:val="bottom"/>
          </w:tcPr>
          <w:p>
            <w:pPr>
              <w:spacing w:after="0"/>
              <w:rPr>
                <w:sz w:val="24"/>
                <w:szCs w:val="24"/>
                <w:color w:val="auto"/>
              </w:rPr>
            </w:pPr>
          </w:p>
        </w:tc>
        <w:tc>
          <w:tcPr>
            <w:tcW w:w="720" w:type="dxa"/>
            <w:vAlign w:val="bottom"/>
          </w:tcPr>
          <w:p>
            <w:pPr>
              <w:ind w:left="80"/>
              <w:spacing w:after="0"/>
              <w:rPr>
                <w:sz w:val="20"/>
                <w:szCs w:val="20"/>
                <w:color w:val="auto"/>
              </w:rPr>
            </w:pPr>
            <w:r>
              <w:rPr>
                <w:rFonts w:ascii="Arial" w:cs="Arial" w:eastAsia="Arial" w:hAnsi="Arial"/>
                <w:sz w:val="18"/>
                <w:szCs w:val="18"/>
                <w:color w:val="auto"/>
              </w:rPr>
              <w:t>(b).</w:t>
            </w:r>
          </w:p>
        </w:tc>
        <w:tc>
          <w:tcPr>
            <w:tcW w:w="9620" w:type="dxa"/>
            <w:vAlign w:val="bottom"/>
          </w:tcPr>
          <w:p>
            <w:pPr>
              <w:spacing w:after="0"/>
              <w:rPr>
                <w:sz w:val="20"/>
                <w:szCs w:val="20"/>
                <w:color w:val="auto"/>
              </w:rPr>
            </w:pPr>
            <w:r>
              <w:rPr>
                <w:rFonts w:ascii="Arial" w:cs="Arial" w:eastAsia="Arial" w:hAnsi="Arial"/>
                <w:sz w:val="18"/>
                <w:szCs w:val="18"/>
                <w:color w:val="auto"/>
              </w:rPr>
              <w:t>Address of issuer’s principal executive offices:</w:t>
            </w:r>
          </w:p>
        </w:tc>
      </w:tr>
      <w:tr>
        <w:trPr>
          <w:trHeight w:val="418"/>
        </w:trPr>
        <w:tc>
          <w:tcPr>
            <w:tcW w:w="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20" w:type="dxa"/>
            <w:vAlign w:val="bottom"/>
          </w:tcPr>
          <w:p>
            <w:pPr>
              <w:spacing w:after="0"/>
              <w:rPr>
                <w:sz w:val="20"/>
                <w:szCs w:val="20"/>
                <w:color w:val="auto"/>
              </w:rPr>
            </w:pPr>
            <w:r>
              <w:rPr>
                <w:rFonts w:ascii="Arial" w:cs="Arial" w:eastAsia="Arial" w:hAnsi="Arial"/>
                <w:sz w:val="18"/>
                <w:szCs w:val="18"/>
                <w:color w:val="auto"/>
              </w:rPr>
              <w:t>c/o Maples Corporate Services Limited</w:t>
            </w:r>
          </w:p>
        </w:tc>
      </w:tr>
      <w:tr>
        <w:trPr>
          <w:trHeight w:val="230"/>
        </w:trPr>
        <w:tc>
          <w:tcPr>
            <w:tcW w:w="9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620" w:type="dxa"/>
            <w:vAlign w:val="bottom"/>
          </w:tcPr>
          <w:p>
            <w:pPr>
              <w:spacing w:after="0"/>
              <w:rPr>
                <w:sz w:val="20"/>
                <w:szCs w:val="20"/>
                <w:color w:val="auto"/>
              </w:rPr>
            </w:pPr>
            <w:r>
              <w:rPr>
                <w:rFonts w:ascii="Arial" w:cs="Arial" w:eastAsia="Arial" w:hAnsi="Arial"/>
                <w:sz w:val="18"/>
                <w:szCs w:val="18"/>
                <w:color w:val="auto"/>
              </w:rPr>
              <w:t>PO Box 309, Ugland House, George Town, Cayman Islands, KY1-1104</w:t>
            </w:r>
          </w:p>
        </w:tc>
      </w:tr>
      <w:tr>
        <w:trPr>
          <w:trHeight w:val="223"/>
        </w:trPr>
        <w:tc>
          <w:tcPr>
            <w:tcW w:w="9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20" w:type="dxa"/>
            <w:vAlign w:val="bottom"/>
            <w:tcBorders>
              <w:bottom w:val="single" w:sz="8" w:color="auto"/>
            </w:tcBorders>
          </w:tcPr>
          <w:p>
            <w:pPr>
              <w:spacing w:after="0"/>
              <w:rPr>
                <w:sz w:val="19"/>
                <w:szCs w:val="19"/>
                <w:color w:val="auto"/>
              </w:rPr>
            </w:pP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Item 2.</w:t>
            </w:r>
          </w:p>
        </w:tc>
        <w:tc>
          <w:tcPr>
            <w:tcW w:w="720" w:type="dxa"/>
            <w:vAlign w:val="bottom"/>
          </w:tcPr>
          <w:p>
            <w:pPr>
              <w:ind w:left="80"/>
              <w:spacing w:after="0"/>
              <w:rPr>
                <w:sz w:val="20"/>
                <w:szCs w:val="20"/>
                <w:color w:val="auto"/>
              </w:rPr>
            </w:pPr>
            <w:r>
              <w:rPr>
                <w:rFonts w:ascii="Arial" w:cs="Arial" w:eastAsia="Arial" w:hAnsi="Arial"/>
                <w:sz w:val="18"/>
                <w:szCs w:val="18"/>
                <w:color w:val="auto"/>
              </w:rPr>
              <w:t>(a).</w:t>
            </w:r>
          </w:p>
        </w:tc>
        <w:tc>
          <w:tcPr>
            <w:tcW w:w="9620" w:type="dxa"/>
            <w:vAlign w:val="bottom"/>
          </w:tcPr>
          <w:p>
            <w:pPr>
              <w:spacing w:after="0"/>
              <w:rPr>
                <w:sz w:val="20"/>
                <w:szCs w:val="20"/>
                <w:color w:val="auto"/>
              </w:rPr>
            </w:pPr>
            <w:r>
              <w:rPr>
                <w:rFonts w:ascii="Arial" w:cs="Arial" w:eastAsia="Arial" w:hAnsi="Arial"/>
                <w:sz w:val="18"/>
                <w:szCs w:val="18"/>
                <w:color w:val="auto"/>
              </w:rPr>
              <w:t>Name of person filing:</w:t>
            </w:r>
          </w:p>
        </w:tc>
      </w:tr>
      <w:tr>
        <w:trPr>
          <w:trHeight w:val="418"/>
        </w:trPr>
        <w:tc>
          <w:tcPr>
            <w:tcW w:w="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20" w:type="dxa"/>
            <w:vAlign w:val="bottom"/>
          </w:tcPr>
          <w:p>
            <w:pPr>
              <w:spacing w:after="0"/>
              <w:rPr>
                <w:sz w:val="20"/>
                <w:szCs w:val="20"/>
                <w:color w:val="auto"/>
              </w:rPr>
            </w:pPr>
            <w:r>
              <w:rPr>
                <w:rFonts w:ascii="Arial" w:cs="Arial" w:eastAsia="Arial" w:hAnsi="Arial"/>
                <w:sz w:val="18"/>
                <w:szCs w:val="18"/>
                <w:color w:val="auto"/>
              </w:rPr>
              <w:t>Tenor Capital Management Company, L.P.</w:t>
            </w:r>
          </w:p>
        </w:tc>
      </w:tr>
      <w:tr>
        <w:trPr>
          <w:trHeight w:val="216"/>
        </w:trPr>
        <w:tc>
          <w:tcPr>
            <w:tcW w:w="9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620" w:type="dxa"/>
            <w:vAlign w:val="bottom"/>
          </w:tcPr>
          <w:p>
            <w:pPr>
              <w:spacing w:after="0"/>
              <w:rPr>
                <w:sz w:val="20"/>
                <w:szCs w:val="20"/>
                <w:color w:val="auto"/>
              </w:rPr>
            </w:pPr>
            <w:r>
              <w:rPr>
                <w:rFonts w:ascii="Arial" w:cs="Arial" w:eastAsia="Arial" w:hAnsi="Arial"/>
                <w:sz w:val="18"/>
                <w:szCs w:val="18"/>
                <w:color w:val="auto"/>
              </w:rPr>
              <w:t>Tenor Opportunity Master Fund, Ltd.</w:t>
            </w:r>
          </w:p>
        </w:tc>
      </w:tr>
      <w:tr>
        <w:trPr>
          <w:trHeight w:val="230"/>
        </w:trPr>
        <w:tc>
          <w:tcPr>
            <w:tcW w:w="9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620" w:type="dxa"/>
            <w:vAlign w:val="bottom"/>
          </w:tcPr>
          <w:p>
            <w:pPr>
              <w:spacing w:after="0"/>
              <w:rPr>
                <w:sz w:val="20"/>
                <w:szCs w:val="20"/>
                <w:color w:val="auto"/>
              </w:rPr>
            </w:pPr>
            <w:r>
              <w:rPr>
                <w:rFonts w:ascii="Arial" w:cs="Arial" w:eastAsia="Arial" w:hAnsi="Arial"/>
                <w:sz w:val="18"/>
                <w:szCs w:val="18"/>
                <w:color w:val="auto"/>
              </w:rPr>
              <w:t>Robin Shah</w:t>
            </w:r>
          </w:p>
        </w:tc>
      </w:tr>
      <w:tr>
        <w:trPr>
          <w:trHeight w:val="223"/>
        </w:trPr>
        <w:tc>
          <w:tcPr>
            <w:tcW w:w="9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20" w:type="dxa"/>
            <w:vAlign w:val="bottom"/>
            <w:tcBorders>
              <w:bottom w:val="single" w:sz="8" w:color="auto"/>
            </w:tcBorders>
          </w:tcPr>
          <w:p>
            <w:pPr>
              <w:spacing w:after="0"/>
              <w:rPr>
                <w:sz w:val="19"/>
                <w:szCs w:val="19"/>
                <w:color w:val="auto"/>
              </w:rPr>
            </w:pPr>
          </w:p>
        </w:tc>
      </w:tr>
      <w:tr>
        <w:trPr>
          <w:trHeight w:val="432"/>
        </w:trPr>
        <w:tc>
          <w:tcPr>
            <w:tcW w:w="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20" w:type="dxa"/>
            <w:vAlign w:val="bottom"/>
          </w:tcPr>
          <w:p>
            <w:pPr>
              <w:spacing w:after="0"/>
              <w:rPr>
                <w:sz w:val="20"/>
                <w:szCs w:val="20"/>
                <w:color w:val="auto"/>
              </w:rPr>
            </w:pPr>
            <w:r>
              <w:rPr>
                <w:rFonts w:ascii="Arial" w:cs="Arial" w:eastAsia="Arial" w:hAnsi="Arial"/>
                <w:sz w:val="18"/>
                <w:szCs w:val="18"/>
                <w:color w:val="auto"/>
              </w:rPr>
              <w:t>Address or principal business office or, if none, residence:</w:t>
            </w:r>
          </w:p>
        </w:tc>
      </w:tr>
      <w:tr>
        <w:trPr>
          <w:trHeight w:val="418"/>
        </w:trPr>
        <w:tc>
          <w:tcPr>
            <w:tcW w:w="900" w:type="dxa"/>
            <w:vAlign w:val="bottom"/>
          </w:tcPr>
          <w:p>
            <w:pPr>
              <w:spacing w:after="0"/>
              <w:rPr>
                <w:sz w:val="24"/>
                <w:szCs w:val="24"/>
                <w:color w:val="auto"/>
              </w:rPr>
            </w:pPr>
          </w:p>
        </w:tc>
        <w:tc>
          <w:tcPr>
            <w:tcW w:w="720" w:type="dxa"/>
            <w:vAlign w:val="bottom"/>
          </w:tcPr>
          <w:p>
            <w:pPr>
              <w:ind w:left="80"/>
              <w:spacing w:after="0"/>
              <w:rPr>
                <w:sz w:val="20"/>
                <w:szCs w:val="20"/>
                <w:color w:val="auto"/>
              </w:rPr>
            </w:pPr>
            <w:r>
              <w:rPr>
                <w:rFonts w:ascii="Arial" w:cs="Arial" w:eastAsia="Arial" w:hAnsi="Arial"/>
                <w:sz w:val="18"/>
                <w:szCs w:val="18"/>
                <w:color w:val="auto"/>
              </w:rPr>
              <w:t>(b).</w:t>
            </w:r>
          </w:p>
        </w:tc>
        <w:tc>
          <w:tcPr>
            <w:tcW w:w="9620" w:type="dxa"/>
            <w:vAlign w:val="bottom"/>
          </w:tcPr>
          <w:p>
            <w:pPr>
              <w:spacing w:after="0"/>
              <w:rPr>
                <w:sz w:val="20"/>
                <w:szCs w:val="20"/>
                <w:color w:val="auto"/>
              </w:rPr>
            </w:pPr>
            <w:r>
              <w:rPr>
                <w:rFonts w:ascii="Arial" w:cs="Arial" w:eastAsia="Arial" w:hAnsi="Arial"/>
                <w:sz w:val="18"/>
                <w:szCs w:val="18"/>
                <w:color w:val="auto"/>
              </w:rPr>
              <w:t>Tenor Capital Management Company, L.P.</w:t>
            </w:r>
          </w:p>
        </w:tc>
      </w:tr>
      <w:tr>
        <w:trPr>
          <w:trHeight w:val="216"/>
        </w:trPr>
        <w:tc>
          <w:tcPr>
            <w:tcW w:w="9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620" w:type="dxa"/>
            <w:vAlign w:val="bottom"/>
          </w:tcPr>
          <w:p>
            <w:pPr>
              <w:spacing w:after="0"/>
              <w:rPr>
                <w:sz w:val="20"/>
                <w:szCs w:val="20"/>
                <w:color w:val="auto"/>
              </w:rPr>
            </w:pPr>
            <w:r>
              <w:rPr>
                <w:rFonts w:ascii="Arial" w:cs="Arial" w:eastAsia="Arial" w:hAnsi="Arial"/>
                <w:sz w:val="18"/>
                <w:szCs w:val="18"/>
                <w:color w:val="auto"/>
              </w:rPr>
              <w:t>Tenor Opportunity Master Fund, Ltd.</w:t>
            </w:r>
          </w:p>
        </w:tc>
      </w:tr>
      <w:tr>
        <w:trPr>
          <w:trHeight w:val="230"/>
        </w:trPr>
        <w:tc>
          <w:tcPr>
            <w:tcW w:w="9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620" w:type="dxa"/>
            <w:vAlign w:val="bottom"/>
          </w:tcPr>
          <w:p>
            <w:pPr>
              <w:spacing w:after="0"/>
              <w:rPr>
                <w:sz w:val="20"/>
                <w:szCs w:val="20"/>
                <w:color w:val="auto"/>
              </w:rPr>
            </w:pPr>
            <w:r>
              <w:rPr>
                <w:rFonts w:ascii="Arial" w:cs="Arial" w:eastAsia="Arial" w:hAnsi="Arial"/>
                <w:sz w:val="18"/>
                <w:szCs w:val="18"/>
                <w:color w:val="auto"/>
              </w:rPr>
              <w:t>Robin Shah</w:t>
            </w:r>
          </w:p>
        </w:tc>
      </w:tr>
      <w:tr>
        <w:trPr>
          <w:trHeight w:val="432"/>
        </w:trPr>
        <w:tc>
          <w:tcPr>
            <w:tcW w:w="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20" w:type="dxa"/>
            <w:vAlign w:val="bottom"/>
          </w:tcPr>
          <w:p>
            <w:pPr>
              <w:spacing w:after="0"/>
              <w:rPr>
                <w:sz w:val="20"/>
                <w:szCs w:val="20"/>
                <w:color w:val="auto"/>
              </w:rPr>
            </w:pPr>
            <w:r>
              <w:rPr>
                <w:rFonts w:ascii="Arial" w:cs="Arial" w:eastAsia="Arial" w:hAnsi="Arial"/>
                <w:sz w:val="18"/>
                <w:szCs w:val="18"/>
                <w:color w:val="auto"/>
              </w:rPr>
              <w:t>810 Seventh Avenue, Suite 1905, New York, NY 10019</w:t>
            </w:r>
          </w:p>
        </w:tc>
      </w:tr>
      <w:tr>
        <w:trPr>
          <w:trHeight w:val="223"/>
        </w:trPr>
        <w:tc>
          <w:tcPr>
            <w:tcW w:w="9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20" w:type="dxa"/>
            <w:vAlign w:val="bottom"/>
            <w:tcBorders>
              <w:bottom w:val="single" w:sz="8" w:color="auto"/>
            </w:tcBorders>
          </w:tcPr>
          <w:p>
            <w:pPr>
              <w:spacing w:after="0"/>
              <w:rPr>
                <w:sz w:val="19"/>
                <w:szCs w:val="19"/>
                <w:color w:val="auto"/>
              </w:rPr>
            </w:pPr>
          </w:p>
        </w:tc>
      </w:tr>
      <w:tr>
        <w:trPr>
          <w:trHeight w:val="432"/>
        </w:trPr>
        <w:tc>
          <w:tcPr>
            <w:tcW w:w="900" w:type="dxa"/>
            <w:vAlign w:val="bottom"/>
          </w:tcPr>
          <w:p>
            <w:pPr>
              <w:spacing w:after="0"/>
              <w:rPr>
                <w:sz w:val="24"/>
                <w:szCs w:val="24"/>
                <w:color w:val="auto"/>
              </w:rPr>
            </w:pPr>
          </w:p>
        </w:tc>
        <w:tc>
          <w:tcPr>
            <w:tcW w:w="720" w:type="dxa"/>
            <w:vAlign w:val="bottom"/>
          </w:tcPr>
          <w:p>
            <w:pPr>
              <w:ind w:left="80"/>
              <w:spacing w:after="0"/>
              <w:rPr>
                <w:sz w:val="20"/>
                <w:szCs w:val="20"/>
                <w:color w:val="auto"/>
              </w:rPr>
            </w:pPr>
            <w:r>
              <w:rPr>
                <w:rFonts w:ascii="Arial" w:cs="Arial" w:eastAsia="Arial" w:hAnsi="Arial"/>
                <w:sz w:val="18"/>
                <w:szCs w:val="18"/>
                <w:color w:val="auto"/>
              </w:rPr>
              <w:t>(c).</w:t>
            </w:r>
          </w:p>
        </w:tc>
        <w:tc>
          <w:tcPr>
            <w:tcW w:w="9620" w:type="dxa"/>
            <w:vAlign w:val="bottom"/>
          </w:tcPr>
          <w:p>
            <w:pPr>
              <w:spacing w:after="0"/>
              <w:rPr>
                <w:sz w:val="20"/>
                <w:szCs w:val="20"/>
                <w:color w:val="auto"/>
              </w:rPr>
            </w:pPr>
            <w:r>
              <w:rPr>
                <w:rFonts w:ascii="Arial" w:cs="Arial" w:eastAsia="Arial" w:hAnsi="Arial"/>
                <w:sz w:val="18"/>
                <w:szCs w:val="18"/>
                <w:color w:val="auto"/>
              </w:rPr>
              <w:t>Citizenship:</w:t>
            </w:r>
          </w:p>
        </w:tc>
      </w:tr>
      <w:tr>
        <w:trPr>
          <w:trHeight w:val="418"/>
        </w:trPr>
        <w:tc>
          <w:tcPr>
            <w:tcW w:w="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20" w:type="dxa"/>
            <w:vAlign w:val="bottom"/>
          </w:tcPr>
          <w:p>
            <w:pPr>
              <w:spacing w:after="0"/>
              <w:rPr>
                <w:sz w:val="20"/>
                <w:szCs w:val="20"/>
                <w:color w:val="auto"/>
              </w:rPr>
            </w:pPr>
            <w:r>
              <w:rPr>
                <w:rFonts w:ascii="Arial" w:cs="Arial" w:eastAsia="Arial" w:hAnsi="Arial"/>
                <w:sz w:val="18"/>
                <w:szCs w:val="18"/>
                <w:color w:val="auto"/>
              </w:rPr>
              <w:t>Tenor Capital Management Company, L.P. – Delaware, USA</w:t>
            </w:r>
          </w:p>
        </w:tc>
      </w:tr>
      <w:tr>
        <w:trPr>
          <w:trHeight w:val="216"/>
        </w:trPr>
        <w:tc>
          <w:tcPr>
            <w:tcW w:w="9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620" w:type="dxa"/>
            <w:vAlign w:val="bottom"/>
          </w:tcPr>
          <w:p>
            <w:pPr>
              <w:spacing w:after="0"/>
              <w:rPr>
                <w:sz w:val="20"/>
                <w:szCs w:val="20"/>
                <w:color w:val="auto"/>
              </w:rPr>
            </w:pPr>
            <w:r>
              <w:rPr>
                <w:rFonts w:ascii="Arial" w:cs="Arial" w:eastAsia="Arial" w:hAnsi="Arial"/>
                <w:sz w:val="18"/>
                <w:szCs w:val="18"/>
                <w:color w:val="auto"/>
              </w:rPr>
              <w:t>Tenor Opportunity Master Fund, Ltd. – Cayman Islands</w:t>
            </w:r>
          </w:p>
        </w:tc>
      </w:tr>
      <w:tr>
        <w:trPr>
          <w:trHeight w:val="230"/>
        </w:trPr>
        <w:tc>
          <w:tcPr>
            <w:tcW w:w="9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620" w:type="dxa"/>
            <w:vAlign w:val="bottom"/>
          </w:tcPr>
          <w:p>
            <w:pPr>
              <w:spacing w:after="0"/>
              <w:rPr>
                <w:sz w:val="20"/>
                <w:szCs w:val="20"/>
                <w:color w:val="auto"/>
              </w:rPr>
            </w:pPr>
            <w:r>
              <w:rPr>
                <w:rFonts w:ascii="Arial" w:cs="Arial" w:eastAsia="Arial" w:hAnsi="Arial"/>
                <w:sz w:val="18"/>
                <w:szCs w:val="18"/>
                <w:color w:val="auto"/>
              </w:rPr>
              <w:t>Robin Shah – USA</w:t>
            </w:r>
          </w:p>
        </w:tc>
      </w:tr>
      <w:tr>
        <w:trPr>
          <w:trHeight w:val="223"/>
        </w:trPr>
        <w:tc>
          <w:tcPr>
            <w:tcW w:w="9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20" w:type="dxa"/>
            <w:vAlign w:val="bottom"/>
            <w:tcBorders>
              <w:bottom w:val="single" w:sz="8" w:color="auto"/>
            </w:tcBorders>
          </w:tcPr>
          <w:p>
            <w:pPr>
              <w:spacing w:after="0"/>
              <w:rPr>
                <w:sz w:val="19"/>
                <w:szCs w:val="19"/>
                <w:color w:val="auto"/>
              </w:rPr>
            </w:pPr>
          </w:p>
        </w:tc>
      </w:tr>
      <w:tr>
        <w:trPr>
          <w:trHeight w:val="432"/>
        </w:trPr>
        <w:tc>
          <w:tcPr>
            <w:tcW w:w="900" w:type="dxa"/>
            <w:vAlign w:val="bottom"/>
          </w:tcPr>
          <w:p>
            <w:pPr>
              <w:spacing w:after="0"/>
              <w:rPr>
                <w:sz w:val="24"/>
                <w:szCs w:val="24"/>
                <w:color w:val="auto"/>
              </w:rPr>
            </w:pPr>
          </w:p>
        </w:tc>
        <w:tc>
          <w:tcPr>
            <w:tcW w:w="720" w:type="dxa"/>
            <w:vAlign w:val="bottom"/>
          </w:tcPr>
          <w:p>
            <w:pPr>
              <w:ind w:left="80"/>
              <w:spacing w:after="0"/>
              <w:rPr>
                <w:sz w:val="20"/>
                <w:szCs w:val="20"/>
                <w:color w:val="auto"/>
              </w:rPr>
            </w:pPr>
            <w:r>
              <w:rPr>
                <w:rFonts w:ascii="Arial" w:cs="Arial" w:eastAsia="Arial" w:hAnsi="Arial"/>
                <w:sz w:val="18"/>
                <w:szCs w:val="18"/>
                <w:color w:val="auto"/>
              </w:rPr>
              <w:t>(d)</w:t>
            </w:r>
          </w:p>
        </w:tc>
        <w:tc>
          <w:tcPr>
            <w:tcW w:w="9620" w:type="dxa"/>
            <w:vAlign w:val="bottom"/>
          </w:tcPr>
          <w:p>
            <w:pPr>
              <w:spacing w:after="0"/>
              <w:rPr>
                <w:sz w:val="20"/>
                <w:szCs w:val="20"/>
                <w:color w:val="auto"/>
              </w:rPr>
            </w:pPr>
            <w:r>
              <w:rPr>
                <w:rFonts w:ascii="Arial" w:cs="Arial" w:eastAsia="Arial" w:hAnsi="Arial"/>
                <w:sz w:val="18"/>
                <w:szCs w:val="18"/>
                <w:color w:val="auto"/>
              </w:rPr>
              <w:t>Title of class of securities:</w:t>
            </w:r>
          </w:p>
        </w:tc>
      </w:tr>
      <w:tr>
        <w:trPr>
          <w:trHeight w:val="439"/>
        </w:trPr>
        <w:tc>
          <w:tcPr>
            <w:tcW w:w="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Class A ordinary shares</w:t>
            </w:r>
          </w:p>
        </w:tc>
      </w:tr>
      <w:tr>
        <w:trPr>
          <w:trHeight w:val="432"/>
        </w:trPr>
        <w:tc>
          <w:tcPr>
            <w:tcW w:w="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20" w:type="dxa"/>
            <w:vAlign w:val="bottom"/>
          </w:tcPr>
          <w:p>
            <w:pPr>
              <w:spacing w:after="0"/>
              <w:rPr>
                <w:sz w:val="20"/>
                <w:szCs w:val="20"/>
                <w:color w:val="auto"/>
              </w:rPr>
            </w:pPr>
            <w:r>
              <w:rPr>
                <w:rFonts w:ascii="Arial" w:cs="Arial" w:eastAsia="Arial" w:hAnsi="Arial"/>
                <w:sz w:val="18"/>
                <w:szCs w:val="18"/>
                <w:color w:val="auto"/>
              </w:rPr>
              <w:t>CUSIP No.:</w:t>
            </w:r>
          </w:p>
        </w:tc>
      </w:tr>
      <w:tr>
        <w:trPr>
          <w:trHeight w:val="439"/>
        </w:trPr>
        <w:tc>
          <w:tcPr>
            <w:tcW w:w="900" w:type="dxa"/>
            <w:vAlign w:val="bottom"/>
          </w:tcPr>
          <w:p>
            <w:pPr>
              <w:spacing w:after="0"/>
              <w:rPr>
                <w:sz w:val="24"/>
                <w:szCs w:val="24"/>
                <w:color w:val="auto"/>
              </w:rPr>
            </w:pPr>
          </w:p>
        </w:tc>
        <w:tc>
          <w:tcPr>
            <w:tcW w:w="720" w:type="dxa"/>
            <w:vAlign w:val="bottom"/>
          </w:tcPr>
          <w:p>
            <w:pPr>
              <w:ind w:left="80"/>
              <w:spacing w:after="0"/>
              <w:rPr>
                <w:sz w:val="20"/>
                <w:szCs w:val="20"/>
                <w:color w:val="auto"/>
              </w:rPr>
            </w:pPr>
            <w:r>
              <w:rPr>
                <w:rFonts w:ascii="Arial" w:cs="Arial" w:eastAsia="Arial" w:hAnsi="Arial"/>
                <w:sz w:val="18"/>
                <w:szCs w:val="18"/>
                <w:color w:val="auto"/>
              </w:rPr>
              <w:t>(e).</w:t>
            </w:r>
          </w:p>
        </w:tc>
        <w:tc>
          <w:tcPr>
            <w:tcW w:w="9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G9441E100</w:t>
            </w:r>
          </w:p>
        </w:tc>
      </w:tr>
      <w:tr>
        <w:trPr>
          <w:trHeight w:val="655"/>
        </w:trPr>
        <w:tc>
          <w:tcPr>
            <w:tcW w:w="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20" w:type="dxa"/>
            <w:vAlign w:val="bottom"/>
            <w:tcBorders>
              <w:bottom w:val="single" w:sz="8" w:color="auto"/>
            </w:tcBorders>
          </w:tcPr>
          <w:p>
            <w:pPr>
              <w:spacing w:after="0"/>
              <w:rPr>
                <w:sz w:val="24"/>
                <w:szCs w:val="24"/>
                <w:color w:val="auto"/>
              </w:rPr>
            </w:pPr>
          </w:p>
        </w:tc>
      </w:tr>
      <w:tr>
        <w:trPr>
          <w:trHeight w:val="655"/>
        </w:trPr>
        <w:tc>
          <w:tcPr>
            <w:tcW w:w="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20" w:type="dxa"/>
            <w:vAlign w:val="bottom"/>
            <w:tcBorders>
              <w:bottom w:val="single" w:sz="8" w:color="auto"/>
            </w:tcBorders>
          </w:tcPr>
          <w:p>
            <w:pPr>
              <w:spacing w:after="0"/>
              <w:rPr>
                <w:sz w:val="24"/>
                <w:szCs w:val="24"/>
                <w:color w:val="auto"/>
              </w:rPr>
            </w:pPr>
          </w:p>
        </w:tc>
      </w:tr>
      <w:tr>
        <w:trPr>
          <w:trHeight w:val="439"/>
        </w:trPr>
        <w:tc>
          <w:tcPr>
            <w:tcW w:w="9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96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5" w:right="339" w:bottom="1440" w:gutter="0" w:footer="0" w:header="0"/>
        </w:sectPr>
      </w:pPr>
    </w:p>
    <w:bookmarkStart w:id="5" w:name="page6"/>
    <w:bookmarkEnd w:id="5"/>
    <w:p>
      <w:pPr>
        <w:spacing w:after="0"/>
        <w:tabs>
          <w:tab w:leader="none" w:pos="96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6"/>
          <w:szCs w:val="16"/>
          <w:color w:val="auto"/>
        </w:rPr>
        <w:t>If This Statement is filed pursuant to §§.240.13d-1(b) or 240.13d-2(b), or (c), check whether the person filing is a</w:t>
      </w:r>
    </w:p>
    <w:p>
      <w:pPr>
        <w:spacing w:after="0" w:line="225" w:lineRule="exact"/>
        <w:rPr>
          <w:sz w:val="20"/>
          <w:szCs w:val="20"/>
          <w:color w:val="auto"/>
        </w:rPr>
      </w:pPr>
    </w:p>
    <w:p>
      <w:pPr>
        <w:ind w:left="1620" w:hanging="640"/>
        <w:spacing w:after="0"/>
        <w:tabs>
          <w:tab w:leader="none" w:pos="1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Broker or dealer registered under section 15 of the Act (15 U.S.C. 78o).</w:t>
      </w:r>
    </w:p>
    <w:p>
      <w:pPr>
        <w:spacing w:after="0" w:line="225" w:lineRule="exact"/>
        <w:rPr>
          <w:rFonts w:ascii="Arial" w:cs="Arial" w:eastAsia="Arial" w:hAnsi="Arial"/>
          <w:sz w:val="18"/>
          <w:szCs w:val="18"/>
          <w:color w:val="auto"/>
        </w:rPr>
      </w:pPr>
    </w:p>
    <w:p>
      <w:pPr>
        <w:ind w:left="1620" w:hanging="640"/>
        <w:spacing w:after="0"/>
        <w:tabs>
          <w:tab w:leader="none" w:pos="1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Bank as defined in section 3(a)(6) of the Act (15 U.S.C. 78c).</w:t>
      </w:r>
    </w:p>
    <w:p>
      <w:pPr>
        <w:spacing w:after="0" w:line="225" w:lineRule="exact"/>
        <w:rPr>
          <w:rFonts w:ascii="Arial" w:cs="Arial" w:eastAsia="Arial" w:hAnsi="Arial"/>
          <w:sz w:val="18"/>
          <w:szCs w:val="18"/>
          <w:color w:val="auto"/>
        </w:rPr>
      </w:pPr>
    </w:p>
    <w:p>
      <w:pPr>
        <w:ind w:left="1620" w:hanging="640"/>
        <w:spacing w:after="0"/>
        <w:tabs>
          <w:tab w:leader="none" w:pos="1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Insurance company as defined in section 3(a)(19) of the Act (15 U.S.C. 78c).</w:t>
      </w:r>
    </w:p>
    <w:p>
      <w:pPr>
        <w:spacing w:after="0" w:line="225" w:lineRule="exact"/>
        <w:rPr>
          <w:rFonts w:ascii="Arial" w:cs="Arial" w:eastAsia="Arial" w:hAnsi="Arial"/>
          <w:sz w:val="18"/>
          <w:szCs w:val="18"/>
          <w:color w:val="auto"/>
        </w:rPr>
      </w:pPr>
    </w:p>
    <w:p>
      <w:pPr>
        <w:ind w:left="1620" w:hanging="640"/>
        <w:spacing w:after="0"/>
        <w:tabs>
          <w:tab w:leader="none" w:pos="1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Investment company registered under section 8 of the Investment Company Act of 1940 (15 U.S.C. 80a-8).</w:t>
      </w:r>
    </w:p>
    <w:p>
      <w:pPr>
        <w:spacing w:after="0" w:line="225" w:lineRule="exact"/>
        <w:rPr>
          <w:rFonts w:ascii="Arial" w:cs="Arial" w:eastAsia="Arial" w:hAnsi="Arial"/>
          <w:sz w:val="18"/>
          <w:szCs w:val="18"/>
          <w:color w:val="auto"/>
        </w:rPr>
      </w:pPr>
    </w:p>
    <w:p>
      <w:pPr>
        <w:ind w:left="1620" w:hanging="640"/>
        <w:spacing w:after="0"/>
        <w:tabs>
          <w:tab w:leader="none" w:pos="1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An investment adviser in accordance with § 240.13d-1(b)(1)(ii)(E);</w:t>
      </w:r>
    </w:p>
    <w:p>
      <w:pPr>
        <w:spacing w:after="0" w:line="225" w:lineRule="exact"/>
        <w:rPr>
          <w:rFonts w:ascii="Arial" w:cs="Arial" w:eastAsia="Arial" w:hAnsi="Arial"/>
          <w:sz w:val="18"/>
          <w:szCs w:val="18"/>
          <w:color w:val="auto"/>
        </w:rPr>
      </w:pPr>
    </w:p>
    <w:p>
      <w:pPr>
        <w:ind w:left="1620" w:hanging="640"/>
        <w:spacing w:after="0"/>
        <w:tabs>
          <w:tab w:leader="none" w:pos="1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An employee benefit plan or endowment fund in accordance with § 240.13d-1(b)(1)(ii)(F);</w:t>
      </w:r>
    </w:p>
    <w:p>
      <w:pPr>
        <w:spacing w:after="0" w:line="225" w:lineRule="exact"/>
        <w:rPr>
          <w:rFonts w:ascii="Arial" w:cs="Arial" w:eastAsia="Arial" w:hAnsi="Arial"/>
          <w:sz w:val="18"/>
          <w:szCs w:val="18"/>
          <w:color w:val="auto"/>
        </w:rPr>
      </w:pPr>
    </w:p>
    <w:p>
      <w:pPr>
        <w:ind w:left="1620" w:hanging="640"/>
        <w:spacing w:after="0"/>
        <w:tabs>
          <w:tab w:leader="none" w:pos="1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A parent holding company or control person in accordance with §240.13d-1(b)(1)(ii)(G);</w:t>
      </w:r>
    </w:p>
    <w:p>
      <w:pPr>
        <w:spacing w:after="0" w:line="225" w:lineRule="exact"/>
        <w:rPr>
          <w:rFonts w:ascii="Arial" w:cs="Arial" w:eastAsia="Arial" w:hAnsi="Arial"/>
          <w:sz w:val="18"/>
          <w:szCs w:val="18"/>
          <w:color w:val="auto"/>
        </w:rPr>
      </w:pPr>
    </w:p>
    <w:p>
      <w:pPr>
        <w:ind w:left="1620" w:hanging="640"/>
        <w:spacing w:after="0"/>
        <w:tabs>
          <w:tab w:leader="none" w:pos="1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A savings association as defined in Section 3(b) of the Federal Deposit Insurance Act (12 U.S.C.1813);</w:t>
      </w:r>
    </w:p>
    <w:p>
      <w:pPr>
        <w:spacing w:after="0" w:line="225" w:lineRule="exact"/>
        <w:rPr>
          <w:rFonts w:ascii="Arial" w:cs="Arial" w:eastAsia="Arial" w:hAnsi="Arial"/>
          <w:sz w:val="18"/>
          <w:szCs w:val="18"/>
          <w:color w:val="auto"/>
        </w:rPr>
      </w:pPr>
    </w:p>
    <w:p>
      <w:pPr>
        <w:ind w:left="2280" w:right="20" w:hanging="1300"/>
        <w:spacing w:after="0" w:line="277" w:lineRule="auto"/>
        <w:tabs>
          <w:tab w:leader="none" w:pos="1632" w:val="left"/>
        </w:tabs>
        <w:numPr>
          <w:ilvl w:val="0"/>
          <w:numId w:val="15"/>
        </w:numPr>
        <w:rPr>
          <w:rFonts w:ascii="Arial" w:cs="Arial" w:eastAsia="Arial" w:hAnsi="Arial"/>
          <w:sz w:val="18"/>
          <w:szCs w:val="18"/>
          <w:color w:val="auto"/>
        </w:rPr>
      </w:pPr>
      <w:r>
        <w:rPr>
          <w:rFonts w:ascii="Arial" w:cs="Arial" w:eastAsia="Arial" w:hAnsi="Arial"/>
          <w:sz w:val="18"/>
          <w:szCs w:val="18"/>
          <w:color w:val="auto"/>
        </w:rPr>
        <w:t>[_]A church plan that is excluded from the definition of an investment company under section 3(c)(14) of the Investment Company Act of 1940 (15 U.S.C. 80a-3);</w:t>
      </w:r>
    </w:p>
    <w:p>
      <w:pPr>
        <w:spacing w:after="0" w:line="170" w:lineRule="exact"/>
        <w:rPr>
          <w:rFonts w:ascii="Arial" w:cs="Arial" w:eastAsia="Arial" w:hAnsi="Arial"/>
          <w:sz w:val="18"/>
          <w:szCs w:val="18"/>
          <w:color w:val="auto"/>
        </w:rPr>
      </w:pPr>
    </w:p>
    <w:p>
      <w:pPr>
        <w:ind w:left="1620" w:hanging="640"/>
        <w:spacing w:after="0"/>
        <w:tabs>
          <w:tab w:leader="none" w:pos="1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A non-U.S. institution in accordance with §240.13d-1(b)(1)(ii)(J);</w:t>
      </w:r>
    </w:p>
    <w:p>
      <w:pPr>
        <w:spacing w:after="0" w:line="225" w:lineRule="exact"/>
        <w:rPr>
          <w:rFonts w:ascii="Arial" w:cs="Arial" w:eastAsia="Arial" w:hAnsi="Arial"/>
          <w:sz w:val="18"/>
          <w:szCs w:val="18"/>
          <w:color w:val="auto"/>
        </w:rPr>
      </w:pPr>
    </w:p>
    <w:p>
      <w:pPr>
        <w:ind w:left="2280" w:hanging="1300"/>
        <w:spacing w:after="0" w:line="277" w:lineRule="auto"/>
        <w:tabs>
          <w:tab w:leader="none" w:pos="1632" w:val="left"/>
        </w:tabs>
        <w:numPr>
          <w:ilvl w:val="0"/>
          <w:numId w:val="15"/>
        </w:numPr>
        <w:rPr>
          <w:rFonts w:ascii="Arial" w:cs="Arial" w:eastAsia="Arial" w:hAnsi="Arial"/>
          <w:sz w:val="18"/>
          <w:szCs w:val="18"/>
          <w:color w:val="auto"/>
        </w:rPr>
      </w:pPr>
      <w:r>
        <w:rPr>
          <w:rFonts w:ascii="Arial" w:cs="Arial" w:eastAsia="Arial" w:hAnsi="Arial"/>
          <w:sz w:val="18"/>
          <w:szCs w:val="18"/>
          <w:color w:val="auto"/>
        </w:rPr>
        <w:t>[_]Group, in accordance with §240.13d-1(b)(1)(ii)(K). If filing as a non-U.S. institution in accordance with §240.13d-1(b)(1) (ii)(J), please specify the type of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6" w:name="page7"/>
    <w:bookmarkEnd w:id="6"/>
    <w:p>
      <w:pPr>
        <w:spacing w:after="0"/>
        <w:tabs>
          <w:tab w:leader="none" w:pos="128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6"/>
          <w:szCs w:val="16"/>
          <w:color w:val="auto"/>
        </w:rPr>
        <w:t>Ownership.</w:t>
      </w:r>
    </w:p>
    <w:p>
      <w:pPr>
        <w:spacing w:after="0" w:line="225" w:lineRule="exact"/>
        <w:rPr>
          <w:sz w:val="20"/>
          <w:szCs w:val="20"/>
          <w:color w:val="auto"/>
        </w:rPr>
      </w:pPr>
    </w:p>
    <w:p>
      <w:pPr>
        <w:ind w:left="1300" w:right="20"/>
        <w:spacing w:after="0" w:line="277" w:lineRule="auto"/>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  Amount beneficially owned:</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Tenor Capital Management Company, L.P. – 1,376,658 *</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Tenor Opportunity Master Fund, Ltd. – 1,376,658 *</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Robin Shah – 1,376,658 *</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(b)  Percent of class:</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Tenor Capital Management Company, L.P. – 6.64%*</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Tenor Opportunity Master Fund, Ltd. – 6.64%*</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Robin Shah – 6.64%*</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  Number of shares as to which Tenor Capital Management Company, L.P. has:</w:t>
      </w:r>
    </w:p>
    <w:p>
      <w:pPr>
        <w:spacing w:after="0" w:line="225" w:lineRule="exact"/>
        <w:rPr>
          <w:sz w:val="20"/>
          <w:szCs w:val="20"/>
          <w:color w:val="auto"/>
        </w:rPr>
      </w:pPr>
    </w:p>
    <w:tbl>
      <w:tblPr>
        <w:tblLayout w:type="fixed"/>
        <w:tblInd w:w="1620" w:type="dxa"/>
        <w:tblCellMar>
          <w:top w:w="0" w:type="dxa"/>
          <w:left w:w="0" w:type="dxa"/>
          <w:bottom w:w="0" w:type="dxa"/>
          <w:right w:w="0" w:type="dxa"/>
        </w:tblCellMar>
      </w:tblPr>
      <w:tr>
        <w:trPr>
          <w:trHeight w:val="237"/>
        </w:trPr>
        <w:tc>
          <w:tcPr>
            <w:tcW w:w="460" w:type="dxa"/>
            <w:vAlign w:val="bottom"/>
          </w:tcPr>
          <w:p>
            <w:pPr>
              <w:spacing w:after="0"/>
              <w:rPr>
                <w:sz w:val="20"/>
                <w:szCs w:val="20"/>
                <w:color w:val="auto"/>
              </w:rPr>
            </w:pPr>
            <w:r>
              <w:rPr>
                <w:rFonts w:ascii="Arial" w:cs="Arial" w:eastAsia="Arial" w:hAnsi="Arial"/>
                <w:sz w:val="18"/>
                <w:szCs w:val="18"/>
                <w:color w:val="auto"/>
              </w:rPr>
              <w:t>(i)</w:t>
            </w:r>
          </w:p>
        </w:tc>
        <w:tc>
          <w:tcPr>
            <w:tcW w:w="7740" w:type="dxa"/>
            <w:vAlign w:val="bottom"/>
          </w:tcPr>
          <w:p>
            <w:pPr>
              <w:ind w:left="200"/>
              <w:spacing w:after="0"/>
              <w:rPr>
                <w:sz w:val="20"/>
                <w:szCs w:val="20"/>
                <w:color w:val="auto"/>
              </w:rPr>
            </w:pPr>
            <w:r>
              <w:rPr>
                <w:rFonts w:ascii="Arial" w:cs="Arial" w:eastAsia="Arial" w:hAnsi="Arial"/>
                <w:sz w:val="18"/>
                <w:szCs w:val="18"/>
                <w:color w:val="auto"/>
              </w:rPr>
              <w:t>Sole power to vote or to direct the vote</w:t>
            </w:r>
          </w:p>
        </w:tc>
        <w:tc>
          <w:tcPr>
            <w:tcW w:w="1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40" w:type="dxa"/>
            <w:vAlign w:val="bottom"/>
          </w:tcPr>
          <w:p>
            <w:pPr>
              <w:jc w:val="right"/>
              <w:spacing w:after="0"/>
              <w:rPr>
                <w:sz w:val="20"/>
                <w:szCs w:val="20"/>
                <w:color w:val="auto"/>
              </w:rPr>
            </w:pPr>
            <w:r>
              <w:rPr>
                <w:rFonts w:ascii="Arial" w:cs="Arial" w:eastAsia="Arial" w:hAnsi="Arial"/>
                <w:sz w:val="10"/>
                <w:szCs w:val="10"/>
                <w:color w:val="auto"/>
                <w:w w:val="70"/>
              </w:rPr>
              <w:t>,</w:t>
            </w:r>
          </w:p>
        </w:tc>
      </w:tr>
      <w:tr>
        <w:trPr>
          <w:trHeight w:val="439"/>
        </w:trPr>
        <w:tc>
          <w:tcPr>
            <w:tcW w:w="460" w:type="dxa"/>
            <w:vAlign w:val="bottom"/>
          </w:tcPr>
          <w:p>
            <w:pPr>
              <w:spacing w:after="0"/>
              <w:rPr>
                <w:sz w:val="20"/>
                <w:szCs w:val="20"/>
                <w:color w:val="auto"/>
              </w:rPr>
            </w:pPr>
            <w:r>
              <w:rPr>
                <w:rFonts w:ascii="Arial" w:cs="Arial" w:eastAsia="Arial" w:hAnsi="Arial"/>
                <w:sz w:val="18"/>
                <w:szCs w:val="18"/>
                <w:color w:val="auto"/>
              </w:rPr>
              <w:t>(ii)</w:t>
            </w:r>
          </w:p>
        </w:tc>
        <w:tc>
          <w:tcPr>
            <w:tcW w:w="7740" w:type="dxa"/>
            <w:vAlign w:val="bottom"/>
          </w:tcPr>
          <w:p>
            <w:pPr>
              <w:ind w:left="200"/>
              <w:spacing w:after="0"/>
              <w:rPr>
                <w:sz w:val="20"/>
                <w:szCs w:val="20"/>
                <w:color w:val="auto"/>
              </w:rPr>
            </w:pPr>
            <w:r>
              <w:rPr>
                <w:rFonts w:ascii="Arial" w:cs="Arial" w:eastAsia="Arial" w:hAnsi="Arial"/>
                <w:sz w:val="18"/>
                <w:szCs w:val="18"/>
                <w:color w:val="auto"/>
              </w:rPr>
              <w:t>Shared power to vote or to direct the vote</w:t>
            </w:r>
          </w:p>
        </w:tc>
        <w:tc>
          <w:tcPr>
            <w:tcW w:w="1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1,376,658</w:t>
            </w:r>
          </w:p>
        </w:tc>
        <w:tc>
          <w:tcPr>
            <w:tcW w:w="40" w:type="dxa"/>
            <w:vAlign w:val="bottom"/>
          </w:tcPr>
          <w:p>
            <w:pPr>
              <w:jc w:val="right"/>
              <w:spacing w:after="0"/>
              <w:rPr>
                <w:sz w:val="20"/>
                <w:szCs w:val="20"/>
                <w:color w:val="auto"/>
              </w:rPr>
            </w:pPr>
            <w:r>
              <w:rPr>
                <w:rFonts w:ascii="Arial" w:cs="Arial" w:eastAsia="Arial" w:hAnsi="Arial"/>
                <w:sz w:val="10"/>
                <w:szCs w:val="10"/>
                <w:color w:val="auto"/>
                <w:w w:val="70"/>
              </w:rPr>
              <w:t>,</w:t>
            </w:r>
          </w:p>
        </w:tc>
      </w:tr>
      <w:tr>
        <w:trPr>
          <w:trHeight w:val="439"/>
        </w:trPr>
        <w:tc>
          <w:tcPr>
            <w:tcW w:w="460" w:type="dxa"/>
            <w:vAlign w:val="bottom"/>
          </w:tcPr>
          <w:p>
            <w:pPr>
              <w:spacing w:after="0"/>
              <w:rPr>
                <w:sz w:val="20"/>
                <w:szCs w:val="20"/>
                <w:color w:val="auto"/>
              </w:rPr>
            </w:pPr>
            <w:r>
              <w:rPr>
                <w:rFonts w:ascii="Arial" w:cs="Arial" w:eastAsia="Arial" w:hAnsi="Arial"/>
                <w:sz w:val="18"/>
                <w:szCs w:val="18"/>
                <w:color w:val="auto"/>
              </w:rPr>
              <w:t>(iii)</w:t>
            </w:r>
          </w:p>
        </w:tc>
        <w:tc>
          <w:tcPr>
            <w:tcW w:w="7740" w:type="dxa"/>
            <w:vAlign w:val="bottom"/>
          </w:tcPr>
          <w:p>
            <w:pPr>
              <w:ind w:left="200"/>
              <w:spacing w:after="0"/>
              <w:rPr>
                <w:sz w:val="20"/>
                <w:szCs w:val="20"/>
                <w:color w:val="auto"/>
              </w:rPr>
            </w:pPr>
            <w:r>
              <w:rPr>
                <w:rFonts w:ascii="Arial" w:cs="Arial" w:eastAsia="Arial" w:hAnsi="Arial"/>
                <w:sz w:val="18"/>
                <w:szCs w:val="18"/>
                <w:color w:val="auto"/>
              </w:rPr>
              <w:t>Sole power to dispose or to direct the disposition of</w:t>
            </w:r>
          </w:p>
        </w:tc>
        <w:tc>
          <w:tcPr>
            <w:tcW w:w="1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40" w:type="dxa"/>
            <w:vAlign w:val="bottom"/>
          </w:tcPr>
          <w:p>
            <w:pPr>
              <w:jc w:val="right"/>
              <w:spacing w:after="0"/>
              <w:rPr>
                <w:sz w:val="20"/>
                <w:szCs w:val="20"/>
                <w:color w:val="auto"/>
              </w:rPr>
            </w:pPr>
            <w:r>
              <w:rPr>
                <w:rFonts w:ascii="Arial" w:cs="Arial" w:eastAsia="Arial" w:hAnsi="Arial"/>
                <w:sz w:val="10"/>
                <w:szCs w:val="10"/>
                <w:color w:val="auto"/>
                <w:w w:val="70"/>
              </w:rPr>
              <w:t>,</w:t>
            </w:r>
          </w:p>
        </w:tc>
      </w:tr>
      <w:tr>
        <w:trPr>
          <w:trHeight w:val="439"/>
        </w:trPr>
        <w:tc>
          <w:tcPr>
            <w:tcW w:w="460" w:type="dxa"/>
            <w:vAlign w:val="bottom"/>
          </w:tcPr>
          <w:p>
            <w:pPr>
              <w:spacing w:after="0"/>
              <w:rPr>
                <w:sz w:val="20"/>
                <w:szCs w:val="20"/>
                <w:color w:val="auto"/>
              </w:rPr>
            </w:pPr>
            <w:r>
              <w:rPr>
                <w:rFonts w:ascii="Arial" w:cs="Arial" w:eastAsia="Arial" w:hAnsi="Arial"/>
                <w:sz w:val="18"/>
                <w:szCs w:val="18"/>
                <w:color w:val="auto"/>
              </w:rPr>
              <w:t>(iv)</w:t>
            </w:r>
          </w:p>
        </w:tc>
        <w:tc>
          <w:tcPr>
            <w:tcW w:w="7740" w:type="dxa"/>
            <w:vAlign w:val="bottom"/>
          </w:tcPr>
          <w:p>
            <w:pPr>
              <w:ind w:left="200"/>
              <w:spacing w:after="0"/>
              <w:rPr>
                <w:sz w:val="20"/>
                <w:szCs w:val="20"/>
                <w:color w:val="auto"/>
              </w:rPr>
            </w:pPr>
            <w:r>
              <w:rPr>
                <w:rFonts w:ascii="Arial" w:cs="Arial" w:eastAsia="Arial" w:hAnsi="Arial"/>
                <w:sz w:val="18"/>
                <w:szCs w:val="18"/>
                <w:color w:val="auto"/>
              </w:rPr>
              <w:t>Shared power to dispose or to direct the disposition of</w:t>
            </w:r>
          </w:p>
        </w:tc>
        <w:tc>
          <w:tcPr>
            <w:tcW w:w="1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1,376,658</w:t>
            </w:r>
          </w:p>
        </w:tc>
        <w:tc>
          <w:tcPr>
            <w:tcW w:w="40" w:type="dxa"/>
            <w:vAlign w:val="bottom"/>
          </w:tcPr>
          <w:p>
            <w:pPr>
              <w:jc w:val="right"/>
              <w:spacing w:after="0"/>
              <w:rPr>
                <w:sz w:val="20"/>
                <w:szCs w:val="20"/>
                <w:color w:val="auto"/>
              </w:rPr>
            </w:pPr>
            <w:r>
              <w:rPr>
                <w:rFonts w:ascii="Arial" w:cs="Arial" w:eastAsia="Arial" w:hAnsi="Arial"/>
                <w:sz w:val="10"/>
                <w:szCs w:val="10"/>
                <w:color w:val="auto"/>
                <w:w w:val="70"/>
              </w:rPr>
              <w:t>.</w:t>
            </w:r>
          </w:p>
        </w:tc>
      </w:tr>
    </w:tbl>
    <w:p>
      <w:pPr>
        <w:spacing w:after="0" w:line="20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Number of shares as to which Tenor Opportunity Master Fund, Ltd. has:</w:t>
      </w:r>
    </w:p>
    <w:p>
      <w:pPr>
        <w:spacing w:after="0" w:line="225" w:lineRule="exact"/>
        <w:rPr>
          <w:sz w:val="20"/>
          <w:szCs w:val="20"/>
          <w:color w:val="auto"/>
        </w:rPr>
      </w:pPr>
    </w:p>
    <w:tbl>
      <w:tblPr>
        <w:tblLayout w:type="fixed"/>
        <w:tblInd w:w="1620" w:type="dxa"/>
        <w:tblCellMar>
          <w:top w:w="0" w:type="dxa"/>
          <w:left w:w="0" w:type="dxa"/>
          <w:bottom w:w="0" w:type="dxa"/>
          <w:right w:w="0" w:type="dxa"/>
        </w:tblCellMar>
      </w:tblPr>
      <w:tr>
        <w:trPr>
          <w:trHeight w:val="237"/>
        </w:trPr>
        <w:tc>
          <w:tcPr>
            <w:tcW w:w="460" w:type="dxa"/>
            <w:vAlign w:val="bottom"/>
          </w:tcPr>
          <w:p>
            <w:pPr>
              <w:spacing w:after="0"/>
              <w:rPr>
                <w:sz w:val="20"/>
                <w:szCs w:val="20"/>
                <w:color w:val="auto"/>
              </w:rPr>
            </w:pPr>
            <w:r>
              <w:rPr>
                <w:rFonts w:ascii="Arial" w:cs="Arial" w:eastAsia="Arial" w:hAnsi="Arial"/>
                <w:sz w:val="18"/>
                <w:szCs w:val="18"/>
                <w:color w:val="auto"/>
              </w:rPr>
              <w:t>(i)</w:t>
            </w:r>
          </w:p>
        </w:tc>
        <w:tc>
          <w:tcPr>
            <w:tcW w:w="7740" w:type="dxa"/>
            <w:vAlign w:val="bottom"/>
          </w:tcPr>
          <w:p>
            <w:pPr>
              <w:ind w:left="200"/>
              <w:spacing w:after="0"/>
              <w:rPr>
                <w:sz w:val="20"/>
                <w:szCs w:val="20"/>
                <w:color w:val="auto"/>
              </w:rPr>
            </w:pPr>
            <w:r>
              <w:rPr>
                <w:rFonts w:ascii="Arial" w:cs="Arial" w:eastAsia="Arial" w:hAnsi="Arial"/>
                <w:sz w:val="18"/>
                <w:szCs w:val="18"/>
                <w:color w:val="auto"/>
              </w:rPr>
              <w:t>Sole power to vote or to direct the vote</w:t>
            </w:r>
          </w:p>
        </w:tc>
        <w:tc>
          <w:tcPr>
            <w:tcW w:w="1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40" w:type="dxa"/>
            <w:vAlign w:val="bottom"/>
          </w:tcPr>
          <w:p>
            <w:pPr>
              <w:jc w:val="right"/>
              <w:spacing w:after="0"/>
              <w:rPr>
                <w:sz w:val="20"/>
                <w:szCs w:val="20"/>
                <w:color w:val="auto"/>
              </w:rPr>
            </w:pPr>
            <w:r>
              <w:rPr>
                <w:rFonts w:ascii="Arial" w:cs="Arial" w:eastAsia="Arial" w:hAnsi="Arial"/>
                <w:sz w:val="10"/>
                <w:szCs w:val="10"/>
                <w:color w:val="auto"/>
                <w:w w:val="70"/>
              </w:rPr>
              <w:t>,</w:t>
            </w:r>
          </w:p>
        </w:tc>
      </w:tr>
      <w:tr>
        <w:trPr>
          <w:trHeight w:val="439"/>
        </w:trPr>
        <w:tc>
          <w:tcPr>
            <w:tcW w:w="460" w:type="dxa"/>
            <w:vAlign w:val="bottom"/>
          </w:tcPr>
          <w:p>
            <w:pPr>
              <w:spacing w:after="0"/>
              <w:rPr>
                <w:sz w:val="20"/>
                <w:szCs w:val="20"/>
                <w:color w:val="auto"/>
              </w:rPr>
            </w:pPr>
            <w:r>
              <w:rPr>
                <w:rFonts w:ascii="Arial" w:cs="Arial" w:eastAsia="Arial" w:hAnsi="Arial"/>
                <w:sz w:val="18"/>
                <w:szCs w:val="18"/>
                <w:color w:val="auto"/>
              </w:rPr>
              <w:t>(ii)</w:t>
            </w:r>
          </w:p>
        </w:tc>
        <w:tc>
          <w:tcPr>
            <w:tcW w:w="7740" w:type="dxa"/>
            <w:vAlign w:val="bottom"/>
          </w:tcPr>
          <w:p>
            <w:pPr>
              <w:ind w:left="200"/>
              <w:spacing w:after="0"/>
              <w:rPr>
                <w:sz w:val="20"/>
                <w:szCs w:val="20"/>
                <w:color w:val="auto"/>
              </w:rPr>
            </w:pPr>
            <w:r>
              <w:rPr>
                <w:rFonts w:ascii="Arial" w:cs="Arial" w:eastAsia="Arial" w:hAnsi="Arial"/>
                <w:sz w:val="18"/>
                <w:szCs w:val="18"/>
                <w:color w:val="auto"/>
              </w:rPr>
              <w:t>Shared power to vote or to direct the vote</w:t>
            </w:r>
          </w:p>
        </w:tc>
        <w:tc>
          <w:tcPr>
            <w:tcW w:w="1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1,376,658</w:t>
            </w:r>
          </w:p>
        </w:tc>
        <w:tc>
          <w:tcPr>
            <w:tcW w:w="40" w:type="dxa"/>
            <w:vAlign w:val="bottom"/>
          </w:tcPr>
          <w:p>
            <w:pPr>
              <w:jc w:val="right"/>
              <w:spacing w:after="0"/>
              <w:rPr>
                <w:sz w:val="20"/>
                <w:szCs w:val="20"/>
                <w:color w:val="auto"/>
              </w:rPr>
            </w:pPr>
            <w:r>
              <w:rPr>
                <w:rFonts w:ascii="Arial" w:cs="Arial" w:eastAsia="Arial" w:hAnsi="Arial"/>
                <w:sz w:val="10"/>
                <w:szCs w:val="10"/>
                <w:color w:val="auto"/>
                <w:w w:val="70"/>
              </w:rPr>
              <w:t>,</w:t>
            </w:r>
          </w:p>
        </w:tc>
      </w:tr>
      <w:tr>
        <w:trPr>
          <w:trHeight w:val="439"/>
        </w:trPr>
        <w:tc>
          <w:tcPr>
            <w:tcW w:w="460" w:type="dxa"/>
            <w:vAlign w:val="bottom"/>
          </w:tcPr>
          <w:p>
            <w:pPr>
              <w:spacing w:after="0"/>
              <w:rPr>
                <w:sz w:val="20"/>
                <w:szCs w:val="20"/>
                <w:color w:val="auto"/>
              </w:rPr>
            </w:pPr>
            <w:r>
              <w:rPr>
                <w:rFonts w:ascii="Arial" w:cs="Arial" w:eastAsia="Arial" w:hAnsi="Arial"/>
                <w:sz w:val="18"/>
                <w:szCs w:val="18"/>
                <w:color w:val="auto"/>
              </w:rPr>
              <w:t>(iii)</w:t>
            </w:r>
          </w:p>
        </w:tc>
        <w:tc>
          <w:tcPr>
            <w:tcW w:w="7740" w:type="dxa"/>
            <w:vAlign w:val="bottom"/>
          </w:tcPr>
          <w:p>
            <w:pPr>
              <w:ind w:left="200"/>
              <w:spacing w:after="0"/>
              <w:rPr>
                <w:sz w:val="20"/>
                <w:szCs w:val="20"/>
                <w:color w:val="auto"/>
              </w:rPr>
            </w:pPr>
            <w:r>
              <w:rPr>
                <w:rFonts w:ascii="Arial" w:cs="Arial" w:eastAsia="Arial" w:hAnsi="Arial"/>
                <w:sz w:val="18"/>
                <w:szCs w:val="18"/>
                <w:color w:val="auto"/>
              </w:rPr>
              <w:t>Sole power to dispose or to direct the disposition of</w:t>
            </w:r>
          </w:p>
        </w:tc>
        <w:tc>
          <w:tcPr>
            <w:tcW w:w="1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40" w:type="dxa"/>
            <w:vAlign w:val="bottom"/>
          </w:tcPr>
          <w:p>
            <w:pPr>
              <w:jc w:val="right"/>
              <w:spacing w:after="0"/>
              <w:rPr>
                <w:sz w:val="20"/>
                <w:szCs w:val="20"/>
                <w:color w:val="auto"/>
              </w:rPr>
            </w:pPr>
            <w:r>
              <w:rPr>
                <w:rFonts w:ascii="Arial" w:cs="Arial" w:eastAsia="Arial" w:hAnsi="Arial"/>
                <w:sz w:val="10"/>
                <w:szCs w:val="10"/>
                <w:color w:val="auto"/>
                <w:w w:val="70"/>
              </w:rPr>
              <w:t>,</w:t>
            </w:r>
          </w:p>
        </w:tc>
      </w:tr>
      <w:tr>
        <w:trPr>
          <w:trHeight w:val="439"/>
        </w:trPr>
        <w:tc>
          <w:tcPr>
            <w:tcW w:w="460" w:type="dxa"/>
            <w:vAlign w:val="bottom"/>
          </w:tcPr>
          <w:p>
            <w:pPr>
              <w:spacing w:after="0"/>
              <w:rPr>
                <w:sz w:val="20"/>
                <w:szCs w:val="20"/>
                <w:color w:val="auto"/>
              </w:rPr>
            </w:pPr>
            <w:r>
              <w:rPr>
                <w:rFonts w:ascii="Arial" w:cs="Arial" w:eastAsia="Arial" w:hAnsi="Arial"/>
                <w:sz w:val="18"/>
                <w:szCs w:val="18"/>
                <w:color w:val="auto"/>
              </w:rPr>
              <w:t>(iv)</w:t>
            </w:r>
          </w:p>
        </w:tc>
        <w:tc>
          <w:tcPr>
            <w:tcW w:w="7740" w:type="dxa"/>
            <w:vAlign w:val="bottom"/>
          </w:tcPr>
          <w:p>
            <w:pPr>
              <w:ind w:left="200"/>
              <w:spacing w:after="0"/>
              <w:rPr>
                <w:sz w:val="20"/>
                <w:szCs w:val="20"/>
                <w:color w:val="auto"/>
              </w:rPr>
            </w:pPr>
            <w:r>
              <w:rPr>
                <w:rFonts w:ascii="Arial" w:cs="Arial" w:eastAsia="Arial" w:hAnsi="Arial"/>
                <w:sz w:val="18"/>
                <w:szCs w:val="18"/>
                <w:color w:val="auto"/>
              </w:rPr>
              <w:t>Shared power to dispose or to direct the disposition of</w:t>
            </w:r>
          </w:p>
        </w:tc>
        <w:tc>
          <w:tcPr>
            <w:tcW w:w="1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1,376,658</w:t>
            </w:r>
          </w:p>
        </w:tc>
        <w:tc>
          <w:tcPr>
            <w:tcW w:w="40" w:type="dxa"/>
            <w:vAlign w:val="bottom"/>
          </w:tcPr>
          <w:p>
            <w:pPr>
              <w:jc w:val="right"/>
              <w:spacing w:after="0"/>
              <w:rPr>
                <w:sz w:val="20"/>
                <w:szCs w:val="20"/>
                <w:color w:val="auto"/>
              </w:rPr>
            </w:pPr>
            <w:r>
              <w:rPr>
                <w:rFonts w:ascii="Arial" w:cs="Arial" w:eastAsia="Arial" w:hAnsi="Arial"/>
                <w:sz w:val="10"/>
                <w:szCs w:val="10"/>
                <w:color w:val="auto"/>
                <w:w w:val="70"/>
              </w:rPr>
              <w:t>.</w:t>
            </w:r>
          </w:p>
        </w:tc>
      </w:tr>
    </w:tbl>
    <w:p>
      <w:pPr>
        <w:spacing w:after="0" w:line="20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Number of shares as to which Robin Shah has:</w:t>
      </w:r>
    </w:p>
    <w:p>
      <w:pPr>
        <w:spacing w:after="0" w:line="225" w:lineRule="exact"/>
        <w:rPr>
          <w:sz w:val="20"/>
          <w:szCs w:val="20"/>
          <w:color w:val="auto"/>
        </w:rPr>
      </w:pPr>
    </w:p>
    <w:tbl>
      <w:tblPr>
        <w:tblLayout w:type="fixed"/>
        <w:tblInd w:w="1620" w:type="dxa"/>
        <w:tblCellMar>
          <w:top w:w="0" w:type="dxa"/>
          <w:left w:w="0" w:type="dxa"/>
          <w:bottom w:w="0" w:type="dxa"/>
          <w:right w:w="0" w:type="dxa"/>
        </w:tblCellMar>
      </w:tblPr>
      <w:tr>
        <w:trPr>
          <w:trHeight w:val="237"/>
        </w:trPr>
        <w:tc>
          <w:tcPr>
            <w:tcW w:w="460" w:type="dxa"/>
            <w:vAlign w:val="bottom"/>
          </w:tcPr>
          <w:p>
            <w:pPr>
              <w:spacing w:after="0"/>
              <w:rPr>
                <w:sz w:val="20"/>
                <w:szCs w:val="20"/>
                <w:color w:val="auto"/>
              </w:rPr>
            </w:pPr>
            <w:r>
              <w:rPr>
                <w:rFonts w:ascii="Arial" w:cs="Arial" w:eastAsia="Arial" w:hAnsi="Arial"/>
                <w:sz w:val="18"/>
                <w:szCs w:val="18"/>
                <w:color w:val="auto"/>
              </w:rPr>
              <w:t>(i)</w:t>
            </w:r>
          </w:p>
        </w:tc>
        <w:tc>
          <w:tcPr>
            <w:tcW w:w="7740" w:type="dxa"/>
            <w:vAlign w:val="bottom"/>
          </w:tcPr>
          <w:p>
            <w:pPr>
              <w:ind w:left="200"/>
              <w:spacing w:after="0"/>
              <w:rPr>
                <w:sz w:val="20"/>
                <w:szCs w:val="20"/>
                <w:color w:val="auto"/>
              </w:rPr>
            </w:pPr>
            <w:r>
              <w:rPr>
                <w:rFonts w:ascii="Arial" w:cs="Arial" w:eastAsia="Arial" w:hAnsi="Arial"/>
                <w:sz w:val="18"/>
                <w:szCs w:val="18"/>
                <w:color w:val="auto"/>
              </w:rPr>
              <w:t>Sole power to vote or to direct the vote</w:t>
            </w:r>
          </w:p>
        </w:tc>
        <w:tc>
          <w:tcPr>
            <w:tcW w:w="1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40" w:type="dxa"/>
            <w:vAlign w:val="bottom"/>
          </w:tcPr>
          <w:p>
            <w:pPr>
              <w:jc w:val="right"/>
              <w:spacing w:after="0"/>
              <w:rPr>
                <w:sz w:val="20"/>
                <w:szCs w:val="20"/>
                <w:color w:val="auto"/>
              </w:rPr>
            </w:pPr>
            <w:r>
              <w:rPr>
                <w:rFonts w:ascii="Arial" w:cs="Arial" w:eastAsia="Arial" w:hAnsi="Arial"/>
                <w:sz w:val="10"/>
                <w:szCs w:val="10"/>
                <w:color w:val="auto"/>
                <w:w w:val="70"/>
              </w:rPr>
              <w:t>,</w:t>
            </w:r>
          </w:p>
        </w:tc>
      </w:tr>
      <w:tr>
        <w:trPr>
          <w:trHeight w:val="439"/>
        </w:trPr>
        <w:tc>
          <w:tcPr>
            <w:tcW w:w="460" w:type="dxa"/>
            <w:vAlign w:val="bottom"/>
          </w:tcPr>
          <w:p>
            <w:pPr>
              <w:spacing w:after="0"/>
              <w:rPr>
                <w:sz w:val="20"/>
                <w:szCs w:val="20"/>
                <w:color w:val="auto"/>
              </w:rPr>
            </w:pPr>
            <w:r>
              <w:rPr>
                <w:rFonts w:ascii="Arial" w:cs="Arial" w:eastAsia="Arial" w:hAnsi="Arial"/>
                <w:sz w:val="18"/>
                <w:szCs w:val="18"/>
                <w:color w:val="auto"/>
              </w:rPr>
              <w:t>(ii)</w:t>
            </w:r>
          </w:p>
        </w:tc>
        <w:tc>
          <w:tcPr>
            <w:tcW w:w="7740" w:type="dxa"/>
            <w:vAlign w:val="bottom"/>
          </w:tcPr>
          <w:p>
            <w:pPr>
              <w:ind w:left="200"/>
              <w:spacing w:after="0"/>
              <w:rPr>
                <w:sz w:val="20"/>
                <w:szCs w:val="20"/>
                <w:color w:val="auto"/>
              </w:rPr>
            </w:pPr>
            <w:r>
              <w:rPr>
                <w:rFonts w:ascii="Arial" w:cs="Arial" w:eastAsia="Arial" w:hAnsi="Arial"/>
                <w:sz w:val="18"/>
                <w:szCs w:val="18"/>
                <w:color w:val="auto"/>
              </w:rPr>
              <w:t>Shared power to vote or to direct the vote</w:t>
            </w:r>
          </w:p>
        </w:tc>
        <w:tc>
          <w:tcPr>
            <w:tcW w:w="1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1,376,658</w:t>
            </w:r>
          </w:p>
        </w:tc>
        <w:tc>
          <w:tcPr>
            <w:tcW w:w="40" w:type="dxa"/>
            <w:vAlign w:val="bottom"/>
          </w:tcPr>
          <w:p>
            <w:pPr>
              <w:jc w:val="right"/>
              <w:spacing w:after="0"/>
              <w:rPr>
                <w:sz w:val="20"/>
                <w:szCs w:val="20"/>
                <w:color w:val="auto"/>
              </w:rPr>
            </w:pPr>
            <w:r>
              <w:rPr>
                <w:rFonts w:ascii="Arial" w:cs="Arial" w:eastAsia="Arial" w:hAnsi="Arial"/>
                <w:sz w:val="10"/>
                <w:szCs w:val="10"/>
                <w:color w:val="auto"/>
                <w:w w:val="70"/>
              </w:rPr>
              <w:t>,</w:t>
            </w:r>
          </w:p>
        </w:tc>
      </w:tr>
      <w:tr>
        <w:trPr>
          <w:trHeight w:val="439"/>
        </w:trPr>
        <w:tc>
          <w:tcPr>
            <w:tcW w:w="460" w:type="dxa"/>
            <w:vAlign w:val="bottom"/>
          </w:tcPr>
          <w:p>
            <w:pPr>
              <w:spacing w:after="0"/>
              <w:rPr>
                <w:sz w:val="20"/>
                <w:szCs w:val="20"/>
                <w:color w:val="auto"/>
              </w:rPr>
            </w:pPr>
            <w:r>
              <w:rPr>
                <w:rFonts w:ascii="Arial" w:cs="Arial" w:eastAsia="Arial" w:hAnsi="Arial"/>
                <w:sz w:val="18"/>
                <w:szCs w:val="18"/>
                <w:color w:val="auto"/>
              </w:rPr>
              <w:t>(iii)</w:t>
            </w:r>
          </w:p>
        </w:tc>
        <w:tc>
          <w:tcPr>
            <w:tcW w:w="7740" w:type="dxa"/>
            <w:vAlign w:val="bottom"/>
          </w:tcPr>
          <w:p>
            <w:pPr>
              <w:ind w:left="200"/>
              <w:spacing w:after="0"/>
              <w:rPr>
                <w:sz w:val="20"/>
                <w:szCs w:val="20"/>
                <w:color w:val="auto"/>
              </w:rPr>
            </w:pPr>
            <w:r>
              <w:rPr>
                <w:rFonts w:ascii="Arial" w:cs="Arial" w:eastAsia="Arial" w:hAnsi="Arial"/>
                <w:sz w:val="18"/>
                <w:szCs w:val="18"/>
                <w:color w:val="auto"/>
              </w:rPr>
              <w:t>Sole power to dispose or to direct the disposition of</w:t>
            </w:r>
          </w:p>
        </w:tc>
        <w:tc>
          <w:tcPr>
            <w:tcW w:w="1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40" w:type="dxa"/>
            <w:vAlign w:val="bottom"/>
          </w:tcPr>
          <w:p>
            <w:pPr>
              <w:jc w:val="right"/>
              <w:spacing w:after="0"/>
              <w:rPr>
                <w:sz w:val="20"/>
                <w:szCs w:val="20"/>
                <w:color w:val="auto"/>
              </w:rPr>
            </w:pPr>
            <w:r>
              <w:rPr>
                <w:rFonts w:ascii="Arial" w:cs="Arial" w:eastAsia="Arial" w:hAnsi="Arial"/>
                <w:sz w:val="10"/>
                <w:szCs w:val="10"/>
                <w:color w:val="auto"/>
                <w:w w:val="70"/>
              </w:rPr>
              <w:t>,</w:t>
            </w:r>
          </w:p>
        </w:tc>
      </w:tr>
      <w:tr>
        <w:trPr>
          <w:trHeight w:val="439"/>
        </w:trPr>
        <w:tc>
          <w:tcPr>
            <w:tcW w:w="460" w:type="dxa"/>
            <w:vAlign w:val="bottom"/>
          </w:tcPr>
          <w:p>
            <w:pPr>
              <w:spacing w:after="0"/>
              <w:rPr>
                <w:sz w:val="20"/>
                <w:szCs w:val="20"/>
                <w:color w:val="auto"/>
              </w:rPr>
            </w:pPr>
            <w:r>
              <w:rPr>
                <w:rFonts w:ascii="Arial" w:cs="Arial" w:eastAsia="Arial" w:hAnsi="Arial"/>
                <w:sz w:val="18"/>
                <w:szCs w:val="18"/>
                <w:color w:val="auto"/>
              </w:rPr>
              <w:t>(iv)</w:t>
            </w:r>
          </w:p>
        </w:tc>
        <w:tc>
          <w:tcPr>
            <w:tcW w:w="7740" w:type="dxa"/>
            <w:vAlign w:val="bottom"/>
          </w:tcPr>
          <w:p>
            <w:pPr>
              <w:ind w:left="200"/>
              <w:spacing w:after="0"/>
              <w:rPr>
                <w:sz w:val="20"/>
                <w:szCs w:val="20"/>
                <w:color w:val="auto"/>
              </w:rPr>
            </w:pPr>
            <w:r>
              <w:rPr>
                <w:rFonts w:ascii="Arial" w:cs="Arial" w:eastAsia="Arial" w:hAnsi="Arial"/>
                <w:sz w:val="18"/>
                <w:szCs w:val="18"/>
                <w:color w:val="auto"/>
              </w:rPr>
              <w:t>Shared power to dispose or to direct the disposition of</w:t>
            </w:r>
          </w:p>
        </w:tc>
        <w:tc>
          <w:tcPr>
            <w:tcW w:w="1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1,376,658</w:t>
            </w:r>
          </w:p>
        </w:tc>
        <w:tc>
          <w:tcPr>
            <w:tcW w:w="40" w:type="dxa"/>
            <w:vAlign w:val="bottom"/>
          </w:tcPr>
          <w:p>
            <w:pPr>
              <w:jc w:val="right"/>
              <w:spacing w:after="0"/>
              <w:rPr>
                <w:sz w:val="20"/>
                <w:szCs w:val="20"/>
                <w:color w:val="auto"/>
              </w:rPr>
            </w:pPr>
            <w:r>
              <w:rPr>
                <w:rFonts w:ascii="Arial" w:cs="Arial" w:eastAsia="Arial" w:hAnsi="Arial"/>
                <w:sz w:val="10"/>
                <w:szCs w:val="10"/>
                <w:color w:val="auto"/>
                <w:w w:val="70"/>
              </w:rPr>
              <w:t>.</w:t>
            </w: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Class A ordinary shares (the “Shares”) reported herein are held by Tenor Opportunity Master Fund, Ltd. (the “Master Fund”). Tenor Capital Management Company, L.P. (“Tenor Capital”) serves as the investment manager to the Master Fund. Robin Shah serves as the managing member of Tenor Management GP, LLC, the general partner of Tenor Capital.</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By virtue of these relationships, the Reporting Persons may be deemed to have shared voting and dispositive power with respect to the Shares owned directly by the Master Fund. This report shall not be deemed an admission that the Reporting Persons are beneficial owners of the Shares for purposes of Section 13 of the Securities Exchange Act of 1934, as amended, or for any other purpose. Each of the Reporting Persons disclaims beneficial ownership of the Shares reported herein except to the extent of the Reporting Person’s pecuniary interest therein.</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the date hereof, the Reporting Persons held 1,376,658 Shares. The percentages herein are calculated based upon a statement in VPC Impact Acquisition Holdings’ Prospectus dated September 17, 2021, that there are 20,737,202 Shares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7" w:name="page8"/>
    <w:bookmarkEnd w:id="7"/>
    <w:p>
      <w:pPr>
        <w:spacing w:after="0"/>
        <w:tabs>
          <w:tab w:leader="none" w:pos="128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6"/>
          <w:szCs w:val="16"/>
          <w:color w:val="auto"/>
        </w:rPr>
        <w:t>Ownership of Five Percent or Less of a Class.</w:t>
      </w:r>
    </w:p>
    <w:p>
      <w:pPr>
        <w:spacing w:after="0" w:line="225" w:lineRule="exact"/>
        <w:rPr>
          <w:sz w:val="20"/>
          <w:szCs w:val="20"/>
          <w:color w:val="auto"/>
        </w:rPr>
      </w:pPr>
    </w:p>
    <w:p>
      <w:pPr>
        <w:jc w:val="both"/>
        <w:ind w:left="1300" w:right="20"/>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color w:val="auto"/>
        </w:rPr>
        <w:t>Ownership of More Than Five Percent on Behalf of Another Person.</w:t>
      </w:r>
    </w:p>
    <w:p>
      <w:pPr>
        <w:spacing w:after="0" w:line="225" w:lineRule="exact"/>
        <w:rPr>
          <w:sz w:val="20"/>
          <w:szCs w:val="20"/>
          <w:color w:val="auto"/>
        </w:rPr>
      </w:pPr>
    </w:p>
    <w:p>
      <w:pPr>
        <w:jc w:val="both"/>
        <w:ind w:left="1300"/>
        <w:spacing w:after="0" w:line="301" w:lineRule="auto"/>
        <w:rPr>
          <w:sz w:val="20"/>
          <w:szCs w:val="20"/>
          <w:color w:val="auto"/>
        </w:rPr>
      </w:pPr>
      <w:r>
        <w:rPr>
          <w:rFonts w:ascii="Arial" w:cs="Arial" w:eastAsia="Arial" w:hAnsi="Arial"/>
          <w:sz w:val="16"/>
          <w:szCs w:val="16"/>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5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46" w:lineRule="exact"/>
        <w:rPr>
          <w:sz w:val="20"/>
          <w:szCs w:val="20"/>
          <w:color w:val="auto"/>
        </w:rPr>
      </w:pPr>
    </w:p>
    <w:p>
      <w:pPr>
        <w:ind w:left="1300" w:hanging="1295"/>
        <w:spacing w:after="0" w:line="277" w:lineRule="auto"/>
        <w:tabs>
          <w:tab w:leader="none" w:pos="128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8"/>
          <w:szCs w:val="18"/>
          <w:color w:val="auto"/>
        </w:rPr>
        <w:t>Identification and Classification of the Subsidiary Which Acquired the Security Being Reported on by the Parent Holding Company or Control Person.</w:t>
      </w:r>
    </w:p>
    <w:p>
      <w:pPr>
        <w:spacing w:after="0" w:line="170" w:lineRule="exact"/>
        <w:rPr>
          <w:sz w:val="20"/>
          <w:szCs w:val="20"/>
          <w:color w:val="auto"/>
        </w:rPr>
      </w:pPr>
    </w:p>
    <w:p>
      <w:pPr>
        <w:jc w:val="both"/>
        <w:ind w:left="1300"/>
        <w:spacing w:after="0" w:line="311" w:lineRule="auto"/>
        <w:rPr>
          <w:sz w:val="20"/>
          <w:szCs w:val="20"/>
          <w:color w:val="auto"/>
        </w:rPr>
      </w:pPr>
      <w:r>
        <w:rPr>
          <w:rFonts w:ascii="Arial" w:cs="Arial" w:eastAsia="Arial" w:hAnsi="Arial"/>
          <w:sz w:val="16"/>
          <w:szCs w:val="16"/>
          <w:color w:val="auto"/>
        </w:rPr>
        <w:t>If a parent holding company or control person has filed this schedule, pursuant to Rule 13d-1(b)(1)(ii)(G), so indicate under Item 3(g) and attach an exhibit stating the identity and the Item 3 classification of the relevant subsidiary. If a parent holding company or control person has filed this schedule pursuant to Rule 13d-1(c) or Rule 13d-1(d), attach an exhibit stating the identification of the relevant subsidiary.</w:t>
      </w:r>
    </w:p>
    <w:p>
      <w:pPr>
        <w:spacing w:after="0" w:line="14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314960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8" w:name="page9"/>
    <w:bookmarkEnd w:id="8"/>
    <w:p>
      <w:pPr>
        <w:spacing w:after="0"/>
        <w:tabs>
          <w:tab w:leader="none" w:pos="1280" w:val="left"/>
        </w:tabs>
        <w:rPr>
          <w:sz w:val="20"/>
          <w:szCs w:val="20"/>
          <w:color w:val="auto"/>
        </w:rPr>
      </w:pPr>
      <w:r>
        <w:rPr>
          <w:rFonts w:ascii="Arial" w:cs="Arial" w:eastAsia="Arial" w:hAnsi="Arial"/>
          <w:sz w:val="18"/>
          <w:szCs w:val="18"/>
          <w:color w:val="auto"/>
        </w:rPr>
        <w:t>Item 8.</w:t>
      </w:r>
      <w:r>
        <w:rPr>
          <w:sz w:val="20"/>
          <w:szCs w:val="20"/>
          <w:color w:val="auto"/>
        </w:rPr>
        <w:tab/>
      </w:r>
      <w:r>
        <w:rPr>
          <w:rFonts w:ascii="Arial" w:cs="Arial" w:eastAsia="Arial" w:hAnsi="Arial"/>
          <w:sz w:val="16"/>
          <w:szCs w:val="16"/>
          <w:color w:val="auto"/>
        </w:rPr>
        <w:t>Identification and Classification of Members of the Group.</w:t>
      </w:r>
    </w:p>
    <w:p>
      <w:pPr>
        <w:spacing w:after="0" w:line="225" w:lineRule="exact"/>
        <w:rPr>
          <w:sz w:val="20"/>
          <w:szCs w:val="20"/>
          <w:color w:val="auto"/>
        </w:rPr>
      </w:pPr>
    </w:p>
    <w:p>
      <w:pPr>
        <w:jc w:val="both"/>
        <w:ind w:left="1300"/>
        <w:spacing w:after="0" w:line="263" w:lineRule="auto"/>
        <w:rPr>
          <w:sz w:val="20"/>
          <w:szCs w:val="20"/>
          <w:color w:val="auto"/>
        </w:rPr>
      </w:pPr>
      <w:r>
        <w:rPr>
          <w:rFonts w:ascii="Arial" w:cs="Arial" w:eastAsia="Arial" w:hAnsi="Arial"/>
          <w:sz w:val="18"/>
          <w:szCs w:val="18"/>
          <w:color w:val="auto"/>
        </w:rPr>
        <w:t>If a group has filed this schedule pursuant to §240.13d-1(b)(1)(ii)(J), so indicate under Item 3(j) and attach an exhibit stating the identity and Item 3 classification of each member of the group. If a group has filed this schedule pursuant to Rule 13d- 1(c) or Rule 13d-1(d), attach an exhibit stating the identity of each member of the group.</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4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9.</w:t>
      </w:r>
      <w:r>
        <w:rPr>
          <w:sz w:val="20"/>
          <w:szCs w:val="20"/>
          <w:color w:val="auto"/>
        </w:rPr>
        <w:tab/>
      </w:r>
      <w:r>
        <w:rPr>
          <w:rFonts w:ascii="Arial" w:cs="Arial" w:eastAsia="Arial" w:hAnsi="Arial"/>
          <w:sz w:val="16"/>
          <w:szCs w:val="16"/>
          <w:color w:val="auto"/>
        </w:rPr>
        <w:t>Notice of Dissolution of Group.</w:t>
      </w:r>
    </w:p>
    <w:p>
      <w:pPr>
        <w:spacing w:after="0" w:line="225" w:lineRule="exact"/>
        <w:rPr>
          <w:sz w:val="20"/>
          <w:szCs w:val="20"/>
          <w:color w:val="auto"/>
        </w:rPr>
      </w:pPr>
    </w:p>
    <w:p>
      <w:pPr>
        <w:jc w:val="both"/>
        <w:ind w:left="1300"/>
        <w:spacing w:after="0" w:line="342" w:lineRule="auto"/>
        <w:rPr>
          <w:sz w:val="20"/>
          <w:szCs w:val="20"/>
          <w:color w:val="auto"/>
        </w:rPr>
      </w:pPr>
      <w:r>
        <w:rPr>
          <w:rFonts w:ascii="Arial" w:cs="Arial" w:eastAsia="Arial" w:hAnsi="Arial"/>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spacing w:after="0" w:line="12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4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10.</w:t>
      </w:r>
      <w:r>
        <w:rPr>
          <w:sz w:val="20"/>
          <w:szCs w:val="20"/>
          <w:color w:val="auto"/>
        </w:rPr>
        <w:tab/>
      </w:r>
      <w:r>
        <w:rPr>
          <w:rFonts w:ascii="Arial" w:cs="Arial" w:eastAsia="Arial" w:hAnsi="Arial"/>
          <w:sz w:val="17"/>
          <w:szCs w:val="17"/>
          <w:color w:val="auto"/>
        </w:rPr>
        <w:t>Certification.</w:t>
      </w:r>
    </w:p>
    <w:p>
      <w:pPr>
        <w:spacing w:after="0" w:line="225" w:lineRule="exact"/>
        <w:rPr>
          <w:sz w:val="20"/>
          <w:szCs w:val="20"/>
          <w:color w:val="auto"/>
        </w:rPr>
      </w:pPr>
    </w:p>
    <w:p>
      <w:pPr>
        <w:jc w:val="both"/>
        <w:ind w:left="1300"/>
        <w:spacing w:after="0" w:line="259"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264795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11" w:lineRule="exact"/>
        <w:rPr>
          <w:sz w:val="20"/>
          <w:szCs w:val="20"/>
          <w:color w:val="auto"/>
        </w:rPr>
      </w:pPr>
    </w:p>
    <w:p>
      <w:pPr>
        <w:spacing w:after="0"/>
        <w:tabs>
          <w:tab w:leader="none" w:pos="5620" w:val="left"/>
        </w:tabs>
        <w:rPr>
          <w:sz w:val="20"/>
          <w:szCs w:val="20"/>
          <w:color w:val="auto"/>
        </w:rPr>
      </w:pPr>
      <w:r>
        <w:rPr>
          <w:rFonts w:ascii="Arial" w:cs="Arial" w:eastAsia="Arial" w:hAnsi="Arial"/>
          <w:sz w:val="18"/>
          <w:szCs w:val="18"/>
          <w:color w:val="auto"/>
        </w:rPr>
        <w:t>Dated: October 12, 2021</w:t>
      </w:r>
      <w:r>
        <w:rPr>
          <w:sz w:val="20"/>
          <w:szCs w:val="20"/>
          <w:color w:val="auto"/>
        </w:rPr>
        <w:tab/>
      </w:r>
      <w:r>
        <w:rPr>
          <w:rFonts w:ascii="Arial" w:cs="Arial" w:eastAsia="Arial" w:hAnsi="Arial"/>
          <w:sz w:val="16"/>
          <w:szCs w:val="16"/>
          <w:color w:val="auto"/>
        </w:rPr>
        <w:t>Tenor Capital Management Company, L.P.</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Robin Shah</w:t>
      </w:r>
    </w:p>
    <w:p>
      <w:pPr>
        <w:spacing w:after="0" w:line="3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Robin Shah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-130175</wp:posOffset>
            </wp:positionV>
            <wp:extent cx="320611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7"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Member of its general partner, Tenor Management GP,</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LLC</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Tenor Opportunity Master Fund, Ltd.</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Robin Shah</w:t>
      </w:r>
    </w:p>
    <w:p>
      <w:pPr>
        <w:spacing w:after="0" w:line="3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Robin Shah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-130175</wp:posOffset>
            </wp:positionV>
            <wp:extent cx="320611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7"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Authorized Signatory</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Robin Shah</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Robin Shah</w:t>
      </w:r>
    </w:p>
    <w:p>
      <w:pPr>
        <w:spacing w:after="0" w:line="3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Robin Shah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-130175</wp:posOffset>
            </wp:positionV>
            <wp:extent cx="320611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21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Note. Schedules filed in paper format shall include a signed original and five copies of the schedule, including all exhibits. See s.240.13d-7 for other parties for whom copies are to be sent.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Attention. 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0" w:name="page11"/>
    <w:bookmarkEnd w:id="10"/>
    <w:p>
      <w:pPr>
        <w:jc w:val="right"/>
        <w:spacing w:after="0"/>
        <w:rPr>
          <w:sz w:val="20"/>
          <w:szCs w:val="20"/>
          <w:color w:val="auto"/>
        </w:rPr>
      </w:pPr>
      <w:r>
        <w:rPr>
          <w:rFonts w:ascii="Arial" w:cs="Arial" w:eastAsia="Arial" w:hAnsi="Arial"/>
          <w:sz w:val="18"/>
          <w:szCs w:val="18"/>
          <w:b w:val="1"/>
          <w:bCs w:val="1"/>
          <w:color w:val="auto"/>
        </w:rPr>
        <w:t>Exhibit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Joint Filing Statement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Pursuant to Rule 13d-1(k)(1)</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undersigned hereby consent and agree to file a joint statement on Schedule 13G under the Securities Exchange Act of 1934, as amended, with respect to the Class A ordinary shares of VPC Impact Acquisition Holdings, beneficially owned by them, together with any or all amendments thereto, when and if appropriate. The parties hereto further consent and agree to file this Statement pursuant to Rule 13d-1(k)(1)(iii) as an exhibit to Schedule 13G, thereby incorporating the same into such Schedule 13G.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Dated: October 12, 2021</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Tenor Capital Management Company, L.P.</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Robin Shah</w:t>
      </w:r>
    </w:p>
    <w:p>
      <w:pPr>
        <w:spacing w:after="0" w:line="3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Robin Shah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-130175</wp:posOffset>
            </wp:positionV>
            <wp:extent cx="320611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7"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Member of its general partner, Tenor</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Management GP, LLC</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Tenor Opportunity Master Fund, Ltd.</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Robin Shah</w:t>
      </w:r>
    </w:p>
    <w:p>
      <w:pPr>
        <w:spacing w:after="0" w:line="3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Robin Shah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-130175</wp:posOffset>
            </wp:positionV>
            <wp:extent cx="320611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7"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Authorized Signatory</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Robin Shah</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Robin Shah</w:t>
      </w:r>
    </w:p>
    <w:p>
      <w:pPr>
        <w:spacing w:after="0" w:line="3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Robin Shah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-130175</wp:posOffset>
            </wp:positionV>
            <wp:extent cx="320611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20611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297815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66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1."/>
      <w:numFmt w:val="decimal"/>
      <w:start w:val="1"/>
    </w:lvl>
  </w:abstractNum>
  <w:abstractNum w:abstractNumId="4">
    <w:nsid w:val="4DB127F8"/>
    <w:multiLevelType w:val="hybridMultilevel"/>
    <w:lvl w:ilvl="0">
      <w:lvlJc w:val="left"/>
      <w:lvlText w:val="%1."/>
      <w:numFmt w:val="decimal"/>
      <w:start w:val="3"/>
    </w:lvl>
    <w:lvl w:ilvl="1">
      <w:lvlJc w:val="left"/>
      <w:lvlText w:val="%2."/>
      <w:numFmt w:val="decimal"/>
      <w:start w:val="5"/>
    </w:lvl>
  </w:abstractNum>
  <w:abstractNum w:abstractNumId="5">
    <w:nsid w:val="216231B"/>
    <w:multiLevelType w:val="hybridMultilevel"/>
    <w:lvl w:ilvl="0">
      <w:lvlJc w:val="left"/>
      <w:lvlText w:val="%1"/>
      <w:numFmt w:val="decimal"/>
      <w:start w:val="1"/>
    </w:lvl>
    <w:lvl w:ilvl="1">
      <w:lvlJc w:val="left"/>
      <w:lvlText w:val="%2."/>
      <w:numFmt w:val="decimal"/>
      <w:start w:val="8"/>
    </w:lvl>
  </w:abstractNum>
  <w:abstractNum w:abstractNumId="6">
    <w:nsid w:val="1F16E9E8"/>
    <w:multiLevelType w:val="hybridMultilevel"/>
    <w:lvl w:ilvl="0">
      <w:lvlJc w:val="left"/>
      <w:lvlText w:val="%1."/>
      <w:numFmt w:val="decimal"/>
      <w:start w:val="9"/>
    </w:lvl>
    <w:lvl w:ilvl="1">
      <w:lvlJc w:val="left"/>
      <w:lvlText w:val="%2"/>
      <w:numFmt w:val="decimal"/>
      <w:start w:val="1"/>
    </w:lvl>
  </w:abstractNum>
  <w:abstractNum w:abstractNumId="7">
    <w:nsid w:val="1190CDE7"/>
    <w:multiLevelType w:val="hybridMultilevel"/>
    <w:lvl w:ilvl="0">
      <w:lvlJc w:val="left"/>
      <w:lvlText w:val="%1."/>
      <w:numFmt w:val="decimal"/>
      <w:start w:val="11"/>
    </w:lvl>
  </w:abstractNum>
  <w:abstractNum w:abstractNumId="8">
    <w:nsid w:val="66EF438D"/>
    <w:multiLevelType w:val="hybridMultilevel"/>
    <w:lvl w:ilvl="0">
      <w:lvlJc w:val="left"/>
      <w:lvlText w:val="%1."/>
      <w:numFmt w:val="decimal"/>
      <w:start w:val="1"/>
    </w:lvl>
  </w:abstractNum>
  <w:abstractNum w:abstractNumId="9">
    <w:nsid w:val="140E0F76"/>
    <w:multiLevelType w:val="hybridMultilevel"/>
    <w:lvl w:ilvl="0">
      <w:lvlJc w:val="left"/>
      <w:lvlText w:val="%1."/>
      <w:numFmt w:val="decimal"/>
      <w:start w:val="3"/>
    </w:lvl>
    <w:lvl w:ilvl="1">
      <w:lvlJc w:val="left"/>
      <w:lvlText w:val="%2."/>
      <w:numFmt w:val="decimal"/>
      <w:start w:val="5"/>
    </w:lvl>
  </w:abstractNum>
  <w:abstractNum w:abstractNumId="10">
    <w:nsid w:val="3352255A"/>
    <w:multiLevelType w:val="hybridMultilevel"/>
    <w:lvl w:ilvl="0">
      <w:lvlJc w:val="left"/>
      <w:lvlText w:val="%1."/>
      <w:numFmt w:val="decimal"/>
      <w:start w:val="11"/>
    </w:lvl>
  </w:abstractNum>
  <w:abstractNum w:abstractNumId="11">
    <w:nsid w:val="109CF92E"/>
    <w:multiLevelType w:val="hybridMultilevel"/>
    <w:lvl w:ilvl="0">
      <w:lvlJc w:val="left"/>
      <w:lvlText w:val="%1."/>
      <w:numFmt w:val="decimal"/>
      <w:start w:val="1"/>
    </w:lvl>
  </w:abstractNum>
  <w:abstractNum w:abstractNumId="12">
    <w:nsid w:val="DED7263"/>
    <w:multiLevelType w:val="hybridMultilevel"/>
    <w:lvl w:ilvl="0">
      <w:lvlJc w:val="left"/>
      <w:lvlText w:val="%1."/>
      <w:numFmt w:val="decimal"/>
      <w:start w:val="3"/>
    </w:lvl>
    <w:lvl w:ilvl="1">
      <w:lvlJc w:val="left"/>
      <w:lvlText w:val="%2."/>
      <w:numFmt w:val="decimal"/>
      <w:start w:val="5"/>
    </w:lvl>
  </w:abstractNum>
  <w:abstractNum w:abstractNumId="13">
    <w:nsid w:val="7FDCC233"/>
    <w:multiLevelType w:val="hybridMultilevel"/>
    <w:lvl w:ilvl="0">
      <w:lvlJc w:val="left"/>
      <w:lvlText w:val="%1."/>
      <w:numFmt w:val="decimal"/>
      <w:start w:val="11"/>
    </w:lvl>
  </w:abstractNum>
  <w:abstractNum w:abstractNumId="14">
    <w:nsid w:val="1BEFD79F"/>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2021-10-12T16:03:09Z</dcterms:created>
  <dcterms:modified xsi:type="dcterms:W3CDTF">2021-10-12T16:03:09Z</dcterms:modified>
</cp:coreProperties>
</file>