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GOLDBERG MICHELLE J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BAKKT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10000 AVALON BOULEVARD, SUITE 1000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ALPHARETTA 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30009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Bakkt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BKKT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06/06/2023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880" w:type="dxa"/>
            <w:vAlign w:val="bottom"/>
            <w:gridSpan w:val="3"/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06/08/2023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06/06/2023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142,858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242,544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 w:right="220" w:firstLine="9"/>
        <w:spacing w:after="0" w:line="305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These securities are Restricted Stock Units ("RSUs"). Each RSU represents a contingent right to receive one share of the Issuer's Class A Common Stock. 100% of the RSUs shall vest on the date of the Issuer's next annual meeting of stockholders, provided that the Reporting Person continues to provide service to the Issuer through such date.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142,858 shares of Class A Common Stock subject to RSUs that remain subject to vesting.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Marc D'Annunzio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-13970</wp:posOffset>
            </wp:positionV>
            <wp:extent cx="937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Michelle 06/08/2023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190436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Goldberg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41973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7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  <w:tab/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50305" TargetMode="External"/><Relationship Id="rId13" Type="http://schemas.openxmlformats.org/officeDocument/2006/relationships/hyperlink" Target="http://www.sec.gov/cgi-bin/browse-edgar?action=getcompany&amp;CIK=0001820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2023-06-08T16:36:09Z</dcterms:created>
  <dcterms:modified xsi:type="dcterms:W3CDTF">2023-06-08T16:36:09Z</dcterms:modified>
</cp:coreProperties>
</file>